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2.png" ContentType="image/png"/>
  <Override PartName="/word/media/rId47.png" ContentType="image/png"/>
  <Override PartName="/word/media/rId55.png" ContentType="image/png"/>
  <Override PartName="/word/media/rId63.png" ContentType="image/png"/>
  <Override PartName="/word/media/rId75.png" ContentType="image/png"/>
  <Override PartName="/word/media/rId69.png" ContentType="image/png"/>
  <Override PartName="/word/media/rId84.png" ContentType="image/png"/>
  <Override PartName="/word/media/rId34.png" ContentType="image/png"/>
  <Override PartName="/word/media/rId29.png" ContentType="image/png"/>
  <Override PartName="/word/media/rId24.png" ContentType="image/png"/>
  <Override PartName="/word/media/rId18.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Fuzzy Audiogram — Comprehensive Technical Report</w:t>
      </w:r>
    </w:p>
    <w:p>
      <w:pPr>
        <w:pStyle w:val="Subtitle"/>
      </w:pPr>
      <w:r>
        <w:t xml:space="preserve">NHANES-Based Development and Validation of a Fuzzy Inference System for Sensorineural Hearing Loss Classification</w:t>
      </w:r>
    </w:p>
    <w:p>
      <w:pPr>
        <w:pStyle w:val="Author"/>
      </w:pPr>
      <w:r>
        <w:t xml:space="preserve">Dr Sanyaolu Ameye</w:t>
      </w:r>
    </w:p>
    <w:p>
      <w:pPr>
        <w:pStyle w:val="Date"/>
      </w:pPr>
      <w:r>
        <w:t xml:space="preserve">2026-07-01</w:t>
      </w:r>
    </w:p>
    <w:bookmarkStart w:id="9" w:name="executive-summary"/>
    <w:p>
      <w:pPr>
        <w:pStyle w:val="Heading1"/>
      </w:pPr>
      <w:r>
        <w:t xml:space="preserve">Executive Summary</w:t>
      </w:r>
    </w:p>
    <w:p>
      <w:pPr>
        <w:pStyle w:val="FirstParagraph"/>
      </w:pPr>
      <w:r>
        <w:t xml:space="preserve">This report documents the complete development and validation pipeline for a Mamdani-type</w:t>
      </w:r>
      <w:r>
        <w:t xml:space="preserve"> </w:t>
      </w:r>
      <w:r>
        <w:rPr>
          <w:b/>
          <w:bCs/>
        </w:rPr>
        <w:t xml:space="preserve">Fuzzy Inference System (FIS)</w:t>
      </w:r>
      <w:r>
        <w:t xml:space="preserve"> </w:t>
      </w:r>
      <w:r>
        <w:t xml:space="preserve">for sensorineural hearing loss classification using pure-tone audiometry. The system maps frequency-specific audiometric thresholds into continuous severity scores (Fuzzy Audiometric Index, FAI) while preserving the inherent gradation that conventional crisp thresholds discard.</w:t>
      </w:r>
    </w:p>
    <w:p>
      <w:pPr>
        <w:pStyle w:val="BodyText"/>
      </w:pPr>
      <w:r>
        <w:rPr>
          <w:b/>
          <w:bCs/>
        </w:rPr>
        <w:t xml:space="preserve">Key achievements:</w:t>
      </w:r>
    </w:p>
    <w:tbl>
      <w:tblPr>
        <w:tblStyle w:val="Table"/>
        <w:tblW w:type="pct" w:w="5000"/>
        <w:tblLayout w:type="fixed"/>
        <w:tblLook w:firstRow="1" w:lastRow="0" w:firstColumn="0" w:lastColumn="0" w:noHBand="0" w:noVBand="0" w:val="0020"/>
      </w:tblPr>
      <w:tblGrid>
        <w:gridCol w:w="4224"/>
        <w:gridCol w:w="3696"/>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Dataset</w:t>
            </w:r>
          </w:p>
        </w:tc>
        <w:tc>
          <w:tcPr/>
          <w:p>
            <w:pPr>
              <w:pStyle w:val="Compact"/>
            </w:pPr>
            <w:r>
              <w:t xml:space="preserve">NHANES adult cycles 20–69 y (1999–2000, 2011–12, 2015–16; n = 10,889; 19,568 clean ears)</w:t>
            </w:r>
          </w:p>
        </w:tc>
      </w:tr>
      <w:tr>
        <w:tc>
          <w:tcPr/>
          <w:p>
            <w:pPr>
              <w:pStyle w:val="Compact"/>
            </w:pPr>
            <w:r>
              <w:t xml:space="preserve">FIS Rule Base</w:t>
            </w:r>
          </w:p>
        </w:tc>
        <w:tc>
          <w:tcPr/>
          <w:p>
            <w:pPr>
              <w:pStyle w:val="Compact"/>
            </w:pPr>
            <w:r>
              <w:t xml:space="preserve">48 Mamdani-type rules (4 functional groups)</w:t>
            </w:r>
          </w:p>
        </w:tc>
      </w:tr>
      <w:tr>
        <w:tc>
          <w:tcPr/>
          <w:p>
            <w:pPr>
              <w:pStyle w:val="Compact"/>
            </w:pPr>
            <w:r>
              <w:t xml:space="preserve">Classification Agreement</w:t>
            </w:r>
          </w:p>
        </w:tc>
        <w:tc>
          <w:tcPr/>
          <w:p>
            <w:pPr>
              <w:pStyle w:val="Compact"/>
            </w:pPr>
            <w:r>
              <w:t xml:space="preserve">Weighted κ = 0.73</w:t>
            </w:r>
          </w:p>
        </w:tc>
      </w:tr>
      <w:tr>
        <w:tc>
          <w:tcPr/>
          <w:p>
            <w:pPr>
              <w:pStyle w:val="Compact"/>
            </w:pPr>
            <w:r>
              <w:t xml:space="preserve">Overall Agreement (FAI vs WHO grade)</w:t>
            </w:r>
          </w:p>
        </w:tc>
        <w:tc>
          <w:tcPr/>
          <w:p>
            <w:pPr>
              <w:pStyle w:val="Compact"/>
            </w:pPr>
            <w:r>
              <w:t xml:space="preserve">92.3%</w:t>
            </w:r>
          </w:p>
        </w:tc>
      </w:tr>
      <w:tr>
        <w:tc>
          <w:tcPr/>
          <w:p>
            <w:pPr>
              <w:pStyle w:val="Compact"/>
            </w:pPr>
            <w:r>
              <w:t xml:space="preserve">Clear-case Agreement</w:t>
            </w:r>
          </w:p>
        </w:tc>
        <w:tc>
          <w:tcPr/>
          <w:p>
            <w:pPr>
              <w:pStyle w:val="Compact"/>
            </w:pPr>
            <w:r>
              <w:t xml:space="preserve">96.9%</w:t>
            </w:r>
          </w:p>
        </w:tc>
      </w:tr>
      <w:tr>
        <w:tc>
          <w:tcPr/>
          <w:p>
            <w:pPr>
              <w:pStyle w:val="Compact"/>
            </w:pPr>
            <w:r>
              <w:t xml:space="preserve">Borderline Agreement (±5 dB)</w:t>
            </w:r>
          </w:p>
        </w:tc>
        <w:tc>
          <w:tcPr/>
          <w:p>
            <w:pPr>
              <w:pStyle w:val="Compact"/>
            </w:pPr>
            <w:r>
              <w:t xml:space="preserve">70.6% (deliberate graded reclassification)</w:t>
            </w:r>
          </w:p>
        </w:tc>
      </w:tr>
      <w:tr>
        <w:tc>
          <w:tcPr/>
          <w:p>
            <w:pPr>
              <w:pStyle w:val="Compact"/>
            </w:pPr>
            <w:r>
              <w:t xml:space="preserve">Configuration Classification</w:t>
            </w:r>
          </w:p>
        </w:tc>
        <w:tc>
          <w:tcPr/>
          <w:p>
            <w:pPr>
              <w:pStyle w:val="Compact"/>
            </w:pPr>
            <w:r>
              <w:t xml:space="preserve">6 canonical shapes (slope-based)</w:t>
            </w:r>
          </w:p>
        </w:tc>
      </w:tr>
      <w:tr>
        <w:tc>
          <w:tcPr/>
          <w:p>
            <w:pPr>
              <w:pStyle w:val="Compact"/>
            </w:pPr>
            <w:r>
              <w:t xml:space="preserve">Spearman ρ vs. PTA-4</w:t>
            </w:r>
          </w:p>
        </w:tc>
        <w:tc>
          <w:tcPr/>
          <w:p>
            <w:pPr>
              <w:pStyle w:val="Compact"/>
            </w:pPr>
            <w:r>
              <w:t xml:space="preserve">0.58*</w:t>
            </w:r>
          </w:p>
        </w:tc>
      </w:tr>
    </w:tbl>
    <w:p>
      <w:pPr>
        <w:pStyle w:val="BodyText"/>
      </w:pPr>
      <w:r>
        <w:t xml:space="preserve">*Range-restricted: 88.6% of the working-age test set is Normal, attenuating rank correlation; κ and MAE are the more direct agreement measures here.</w:t>
      </w:r>
    </w:p>
    <w:bookmarkEnd w:id="9"/>
    <w:bookmarkStart w:id="12" w:name="data-source-nhanes-20172020"/>
    <w:p>
      <w:pPr>
        <w:pStyle w:val="Heading1"/>
      </w:pPr>
      <w:r>
        <w:t xml:space="preserve">Data Source: NHANES 2017–2020</w:t>
      </w:r>
    </w:p>
    <w:bookmarkStart w:id="10" w:name="dataset-description"/>
    <w:p>
      <w:pPr>
        <w:pStyle w:val="Heading2"/>
      </w:pPr>
      <w:r>
        <w:t xml:space="preserve">Dataset Description</w:t>
      </w:r>
    </w:p>
    <w:p>
      <w:pPr>
        <w:pStyle w:val="FirstParagraph"/>
      </w:pPr>
      <w:r>
        <w:t xml:space="preserve">Audiometric data were obtained from the</w:t>
      </w:r>
      <w:r>
        <w:t xml:space="preserve"> </w:t>
      </w:r>
      <w:r>
        <w:rPr>
          <w:b/>
          <w:bCs/>
        </w:rPr>
        <w:t xml:space="preserve">National Health and Nutrition Examination Survey (NHANES)</w:t>
      </w:r>
      <w:r>
        <w:t xml:space="preserve">, specifically the</w:t>
      </w:r>
      <w:r>
        <w:t xml:space="preserve"> </w:t>
      </w:r>
      <w:r>
        <w:rPr>
          <w:b/>
          <w:bCs/>
        </w:rPr>
        <w:t xml:space="preserve">P_AUX examination file</w:t>
      </w:r>
      <w:r>
        <w:t xml:space="preserve"> </w:t>
      </w:r>
      <w:r>
        <w:t xml:space="preserve">for the 2017–2020 cycle.</w:t>
      </w:r>
    </w:p>
    <w:p>
      <w:pPr>
        <w:pStyle w:val="BodyText"/>
      </w:pPr>
      <w:r>
        <w:rPr>
          <w:b/>
          <w:bCs/>
        </w:rPr>
        <w:t xml:space="preserve">Dataset characteristics:</w:t>
      </w:r>
    </w:p>
    <w:tbl>
      <w:tblPr>
        <w:tblStyle w:val="Table"/>
        <w:tblW w:type="pct" w:w="5000"/>
        <w:tblLayout w:type="fixed"/>
        <w:tblLook w:firstRow="1" w:lastRow="0" w:firstColumn="0" w:lastColumn="0" w:noHBand="0" w:noVBand="0" w:val="0020"/>
      </w:tblPr>
      <w:tblGrid>
        <w:gridCol w:w="4840"/>
        <w:gridCol w:w="308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Total participants</w:t>
            </w:r>
          </w:p>
        </w:tc>
        <w:tc>
          <w:tcPr/>
          <w:p>
            <w:pPr>
              <w:pStyle w:val="Compact"/>
            </w:pPr>
            <w:r>
              <w:t xml:space="preserve">5,147</w:t>
            </w:r>
          </w:p>
        </w:tc>
      </w:tr>
      <w:tr>
        <w:tc>
          <w:tcPr/>
          <w:p>
            <w:pPr>
              <w:pStyle w:val="Compact"/>
            </w:pPr>
            <w:r>
              <w:t xml:space="preserve">Complete exams (≥14 thresholds)</w:t>
            </w:r>
          </w:p>
        </w:tc>
        <w:tc>
          <w:tcPr/>
          <w:p>
            <w:pPr>
              <w:pStyle w:val="Compact"/>
            </w:pPr>
            <w:r>
              <w:t xml:space="preserve">3,775</w:t>
            </w:r>
          </w:p>
        </w:tc>
      </w:tr>
      <w:tr>
        <w:tc>
          <w:tcPr/>
          <w:p>
            <w:pPr>
              <w:pStyle w:val="Compact"/>
            </w:pPr>
            <w:r>
              <w:t xml:space="preserve">Paired bilateral exams</w:t>
            </w:r>
          </w:p>
        </w:tc>
        <w:tc>
          <w:tcPr/>
          <w:p>
            <w:pPr>
              <w:pStyle w:val="Compact"/>
            </w:pPr>
            <w:r>
              <w:t xml:space="preserve">1,817</w:t>
            </w:r>
          </w:p>
        </w:tc>
      </w:tr>
      <w:tr>
        <w:tc>
          <w:tcPr/>
          <w:p>
            <w:pPr>
              <w:pStyle w:val="Compact"/>
            </w:pPr>
            <w:r>
              <w:t xml:space="preserve">Test frequencies</w:t>
            </w:r>
          </w:p>
        </w:tc>
        <w:tc>
          <w:tcPr/>
          <w:p>
            <w:pPr>
              <w:pStyle w:val="Compact"/>
            </w:pPr>
            <w:r>
              <w:t xml:space="preserve">500, 1000, 2000, 3000, 4000, 6000, 8000 Hz</w:t>
            </w:r>
          </w:p>
        </w:tc>
      </w:tr>
      <w:tr>
        <w:tc>
          <w:tcPr/>
          <w:p>
            <w:pPr>
              <w:pStyle w:val="Compact"/>
            </w:pPr>
            <w:r>
              <w:t xml:space="preserve">Test type</w:t>
            </w:r>
          </w:p>
        </w:tc>
        <w:tc>
          <w:tcPr/>
          <w:p>
            <w:pPr>
              <w:pStyle w:val="Compact"/>
            </w:pPr>
            <w:r>
              <w:t xml:space="preserve">Air-conduction pure-tone audiometry</w:t>
            </w:r>
          </w:p>
        </w:tc>
      </w:tr>
      <w:tr>
        <w:tc>
          <w:tcPr/>
          <w:p>
            <w:pPr>
              <w:pStyle w:val="Compact"/>
            </w:pPr>
            <w:r>
              <w:t xml:space="preserve">Additional data</w:t>
            </w:r>
          </w:p>
        </w:tc>
        <w:tc>
          <w:tcPr/>
          <w:p>
            <w:pPr>
              <w:pStyle w:val="Compact"/>
            </w:pPr>
            <w:r>
              <w:t xml:space="preserve">Tympanometry, acoustic reflexes, hearing questionnaire</w:t>
            </w:r>
          </w:p>
        </w:tc>
      </w:tr>
    </w:tbl>
    <w:p>
      <w:pPr>
        <w:pStyle w:val="BodyText"/>
      </w:pPr>
      <w:r>
        <w:t xml:space="preserve">All analyses in this report use three NHANES cycles that administered audiometry to adults aged 20–69 y: 1999–2000 (AUX1), 2011–2012 (AUX_G) and 2015–2016 (AUX_I), totalling 10,889 participants. The cleaned analysis set comprises 19,568 ears with complete thresholds from 9,832 adults (see Train–Test Split). The exam-status figures above describe the raw files.</w:t>
      </w:r>
    </w:p>
    <w:p>
      <w:pPr>
        <w:pStyle w:val="BodyText"/>
      </w:pPr>
      <w:r>
        <w:rPr>
          <w:b/>
          <w:bCs/>
        </w:rPr>
        <w:t xml:space="preserve">Data cleaning:</w:t>
      </w:r>
      <w:r>
        <w:t xml:space="preserve"> </w:t>
      </w:r>
      <w:r>
        <w:t xml:space="preserve">NHANES sentinel codes were filtered:</w:t>
      </w:r>
      <w:r>
        <w:t xml:space="preserve"> </w:t>
      </w:r>
      <w:r>
        <w:t xml:space="preserve">-</w:t>
      </w:r>
      <w:r>
        <w:t xml:space="preserve"> </w:t>
      </w:r>
      <w:r>
        <w:rPr>
          <w:b/>
          <w:bCs/>
        </w:rPr>
        <w:t xml:space="preserve">666</w:t>
      </w:r>
      <w:r>
        <w:t xml:space="preserve"> </w:t>
      </w:r>
      <w:r>
        <w:t xml:space="preserve">— No response at maximum output</w:t>
      </w:r>
      <w:r>
        <w:t xml:space="preserve"> </w:t>
      </w:r>
      <w:r>
        <w:t xml:space="preserve">-</w:t>
      </w:r>
      <w:r>
        <w:t xml:space="preserve"> </w:t>
      </w:r>
      <w:r>
        <w:rPr>
          <w:b/>
          <w:bCs/>
        </w:rPr>
        <w:t xml:space="preserve">888</w:t>
      </w:r>
      <w:r>
        <w:t xml:space="preserve"> </w:t>
      </w:r>
      <w:r>
        <w:t xml:space="preserve">— Could not obtain test result</w:t>
      </w:r>
      <w:r>
        <w:t xml:space="preserve"> </w:t>
      </w:r>
      <w:r>
        <w:t xml:space="preserve">- SAS subnormal values (&lt; 1e-70) handled by ETL pipeline</w:t>
      </w:r>
    </w:p>
    <w:p>
      <w:pPr>
        <w:pStyle w:val="BodyText"/>
      </w:pPr>
      <w:r>
        <w:t xml:space="preserve">Valid range clipped to −10 to 120 dB HL.</w:t>
      </w:r>
    </w:p>
    <w:bookmarkEnd w:id="10"/>
    <w:bookmarkStart w:id="11" w:name="traintest-split"/>
    <w:p>
      <w:pPr>
        <w:pStyle w:val="Heading2"/>
      </w:pPr>
      <w:r>
        <w:t xml:space="preserve">Train–Test Split</w:t>
      </w:r>
    </w:p>
    <w:p>
      <w:pPr>
        <w:pStyle w:val="FirstParagraph"/>
      </w:pPr>
      <w:r>
        <w:t xml:space="preserve">The analysis used the 19,568 clean ears with complete thresholds at all seven frequencies (from 9,832 adults aged 20–69 y), split 80/20 at the ear level into training and held-out test sets:</w:t>
      </w:r>
    </w:p>
    <w:tbl>
      <w:tblPr>
        <w:tblStyle w:val="Table"/>
        <w:tblW w:type="pct" w:w="5000"/>
        <w:tblLayout w:type="fixed"/>
        <w:tblLook w:firstRow="1" w:lastRow="0" w:firstColumn="0" w:lastColumn="0" w:noHBand="0" w:noVBand="0" w:val="0020"/>
      </w:tblPr>
      <w:tblGrid>
        <w:gridCol w:w="2233"/>
        <w:gridCol w:w="2640"/>
        <w:gridCol w:w="1218"/>
        <w:gridCol w:w="1827"/>
      </w:tblGrid>
      <w:tr>
        <w:trPr>
          <w:tblHeader w:val="on"/>
        </w:trPr>
        <w:tc>
          <w:tcPr/>
          <w:p>
            <w:pPr>
              <w:pStyle w:val="Compact"/>
            </w:pPr>
            <w:r>
              <w:t xml:space="preserve">Partition</w:t>
            </w:r>
          </w:p>
        </w:tc>
        <w:tc>
          <w:tcPr/>
          <w:p>
            <w:pPr>
              <w:pStyle w:val="Compact"/>
            </w:pPr>
            <w:r>
              <w:t xml:space="preserve">Participants</w:t>
            </w:r>
          </w:p>
        </w:tc>
        <w:tc>
          <w:tcPr/>
          <w:p>
            <w:pPr>
              <w:pStyle w:val="Compact"/>
            </w:pPr>
            <w:r>
              <w:t xml:space="preserve">Ears</w:t>
            </w:r>
          </w:p>
        </w:tc>
        <w:tc>
          <w:tcPr/>
          <w:p>
            <w:pPr>
              <w:pStyle w:val="Compact"/>
            </w:pPr>
            <w:r>
              <w:t xml:space="preserve">Purpose</w:t>
            </w:r>
          </w:p>
        </w:tc>
      </w:tr>
      <w:tr>
        <w:tc>
          <w:tcPr/>
          <w:p>
            <w:pPr>
              <w:pStyle w:val="Compact"/>
            </w:pPr>
            <w:r>
              <w:t xml:space="preserve">Training (80%)</w:t>
            </w:r>
          </w:p>
        </w:tc>
        <w:tc>
          <w:tcPr/>
          <w:p>
            <w:pPr>
              <w:pStyle w:val="Compact"/>
            </w:pPr>
            <w:r>
              <w:t xml:space="preserve">9,421</w:t>
            </w:r>
          </w:p>
        </w:tc>
        <w:tc>
          <w:tcPr/>
          <w:p>
            <w:pPr>
              <w:pStyle w:val="Compact"/>
            </w:pPr>
            <w:r>
              <w:t xml:space="preserve">15,654</w:t>
            </w:r>
          </w:p>
        </w:tc>
        <w:tc>
          <w:tcPr/>
          <w:p>
            <w:pPr>
              <w:pStyle w:val="Compact"/>
            </w:pPr>
            <w:r>
              <w:t xml:space="preserve">MF optimization, rule base development</w:t>
            </w:r>
          </w:p>
        </w:tc>
      </w:tr>
      <w:tr>
        <w:tc>
          <w:tcPr/>
          <w:p>
            <w:pPr>
              <w:pStyle w:val="Compact"/>
            </w:pPr>
            <w:r>
              <w:t xml:space="preserve">Held-out test (20%)</w:t>
            </w:r>
          </w:p>
        </w:tc>
        <w:tc>
          <w:tcPr/>
          <w:p>
            <w:pPr>
              <w:pStyle w:val="Compact"/>
            </w:pPr>
            <w:r>
              <w:t xml:space="preserve">3,519</w:t>
            </w:r>
          </w:p>
        </w:tc>
        <w:tc>
          <w:tcPr/>
          <w:p>
            <w:pPr>
              <w:pStyle w:val="Compact"/>
            </w:pPr>
            <w:r>
              <w:t xml:space="preserve">3,914</w:t>
            </w:r>
          </w:p>
        </w:tc>
        <w:tc>
          <w:tcPr/>
          <w:p>
            <w:pPr>
              <w:pStyle w:val="Compact"/>
            </w:pPr>
            <w:r>
              <w:t xml:space="preserve">All reported metrics and figures</w:t>
            </w:r>
          </w:p>
        </w:tc>
      </w:tr>
    </w:tbl>
    <w:p>
      <w:pPr>
        <w:pStyle w:val="BodyText"/>
      </w:pPr>
      <w:r>
        <w:t xml:space="preserve">No stratification was applied; the split used a fixed random seed (random_state 42) for reproducibility.</w:t>
      </w:r>
    </w:p>
    <w:bookmarkEnd w:id="11"/>
    <w:bookmarkEnd w:id="12"/>
    <w:bookmarkStart w:id="39" w:name="exploratory-data-analysis"/>
    <w:p>
      <w:pPr>
        <w:pStyle w:val="Heading1"/>
      </w:pPr>
      <w:r>
        <w:t xml:space="preserve">Exploratory Data Analysis</w:t>
      </w:r>
    </w:p>
    <w:bookmarkStart w:id="17" w:name="threshold-distributions"/>
    <w:p>
      <w:pPr>
        <w:pStyle w:val="Heading2"/>
      </w:pPr>
      <w:r>
        <w:t xml:space="preserve">Threshold Distributions</w:t>
      </w:r>
    </w:p>
    <w:p>
      <w:pPr>
        <w:pStyle w:val="FirstParagraph"/>
      </w:pPr>
      <w:r>
        <w:t xml:space="preserve">Hearing thresholds across all frequencies exhibited</w:t>
      </w:r>
      <w:r>
        <w:t xml:space="preserve"> </w:t>
      </w:r>
      <w:r>
        <w:rPr>
          <w:b/>
          <w:bCs/>
        </w:rPr>
        <w:t xml:space="preserve">right-skewed distributions</w:t>
      </w:r>
      <w:r>
        <w:t xml:space="preserve"> </w:t>
      </w:r>
      <w:r>
        <w:t xml:space="preserve">with a floor effect at 0–10 dB HL. Mean thresholds increased progressively with frequency: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Frequency</w:t>
            </w:r>
          </w:p>
        </w:tc>
        <w:tc>
          <w:tcPr/>
          <w:p>
            <w:pPr>
              <w:pStyle w:val="Compact"/>
            </w:pPr>
            <w:r>
              <w:t xml:space="preserve">Mean (dB HL)</w:t>
            </w:r>
          </w:p>
        </w:tc>
        <w:tc>
          <w:tcPr/>
          <w:p>
            <w:pPr>
              <w:pStyle w:val="Compact"/>
            </w:pPr>
            <w:r>
              <w:t xml:space="preserve">SD</w:t>
            </w:r>
          </w:p>
        </w:tc>
        <w:tc>
          <w:tcPr/>
          <w:p>
            <w:pPr>
              <w:pStyle w:val="Compact"/>
            </w:pPr>
            <w:r>
              <w:t xml:space="preserve">Median</w:t>
            </w:r>
          </w:p>
        </w:tc>
      </w:tr>
      <w:tr>
        <w:tc>
          <w:tcPr/>
          <w:p>
            <w:pPr>
              <w:pStyle w:val="Compact"/>
            </w:pPr>
            <w:r>
              <w:t xml:space="preserve">500 Hz</w:t>
            </w:r>
          </w:p>
        </w:tc>
        <w:tc>
          <w:tcPr/>
          <w:p>
            <w:pPr>
              <w:pStyle w:val="Compact"/>
            </w:pPr>
            <w:r>
              <w:t xml:space="preserve">11.2</w:t>
            </w:r>
          </w:p>
        </w:tc>
        <w:tc>
          <w:tcPr/>
          <w:p>
            <w:pPr>
              <w:pStyle w:val="Compact"/>
            </w:pPr>
            <w:r>
              <w:t xml:space="preserve">10.8</w:t>
            </w:r>
          </w:p>
        </w:tc>
        <w:tc>
          <w:tcPr/>
          <w:p>
            <w:pPr>
              <w:pStyle w:val="Compact"/>
            </w:pPr>
            <w:r>
              <w:t xml:space="preserve">10.0</w:t>
            </w:r>
          </w:p>
        </w:tc>
      </w:tr>
      <w:tr>
        <w:tc>
          <w:tcPr/>
          <w:p>
            <w:pPr>
              <w:pStyle w:val="Compact"/>
            </w:pPr>
            <w:r>
              <w:t xml:space="preserve">1 kHz</w:t>
            </w:r>
          </w:p>
        </w:tc>
        <w:tc>
          <w:tcPr/>
          <w:p>
            <w:pPr>
              <w:pStyle w:val="Compact"/>
            </w:pPr>
            <w:r>
              <w:t xml:space="preserve">11.3</w:t>
            </w:r>
          </w:p>
        </w:tc>
        <w:tc>
          <w:tcPr/>
          <w:p>
            <w:pPr>
              <w:pStyle w:val="Compact"/>
            </w:pPr>
            <w:r>
              <w:t xml:space="preserve">11.5</w:t>
            </w:r>
          </w:p>
        </w:tc>
        <w:tc>
          <w:tcPr/>
          <w:p>
            <w:pPr>
              <w:pStyle w:val="Compact"/>
            </w:pPr>
            <w:r>
              <w:t xml:space="preserve">10.0</w:t>
            </w:r>
          </w:p>
        </w:tc>
      </w:tr>
      <w:tr>
        <w:tc>
          <w:tcPr/>
          <w:p>
            <w:pPr>
              <w:pStyle w:val="Compact"/>
            </w:pPr>
            <w:r>
              <w:t xml:space="preserve">2 kHz</w:t>
            </w:r>
          </w:p>
        </w:tc>
        <w:tc>
          <w:tcPr/>
          <w:p>
            <w:pPr>
              <w:pStyle w:val="Compact"/>
            </w:pPr>
            <w:r>
              <w:t xml:space="preserve">11.9</w:t>
            </w:r>
          </w:p>
        </w:tc>
        <w:tc>
          <w:tcPr/>
          <w:p>
            <w:pPr>
              <w:pStyle w:val="Compact"/>
            </w:pPr>
            <w:r>
              <w:t xml:space="preserve">13.8</w:t>
            </w:r>
          </w:p>
        </w:tc>
        <w:tc>
          <w:tcPr/>
          <w:p>
            <w:pPr>
              <w:pStyle w:val="Compact"/>
            </w:pPr>
            <w:r>
              <w:t xml:space="preserve">10.0</w:t>
            </w:r>
          </w:p>
        </w:tc>
      </w:tr>
      <w:tr>
        <w:tc>
          <w:tcPr/>
          <w:p>
            <w:pPr>
              <w:pStyle w:val="Compact"/>
            </w:pPr>
            <w:r>
              <w:t xml:space="preserve">3 kHz</w:t>
            </w:r>
          </w:p>
        </w:tc>
        <w:tc>
          <w:tcPr/>
          <w:p>
            <w:pPr>
              <w:pStyle w:val="Compact"/>
            </w:pPr>
            <w:r>
              <w:t xml:space="preserve">16.3</w:t>
            </w:r>
          </w:p>
        </w:tc>
        <w:tc>
          <w:tcPr/>
          <w:p>
            <w:pPr>
              <w:pStyle w:val="Compact"/>
            </w:pPr>
            <w:r>
              <w:t xml:space="preserve">17.2</w:t>
            </w:r>
          </w:p>
        </w:tc>
        <w:tc>
          <w:tcPr/>
          <w:p>
            <w:pPr>
              <w:pStyle w:val="Compact"/>
            </w:pPr>
            <w:r>
              <w:t xml:space="preserve">10.0</w:t>
            </w:r>
          </w:p>
        </w:tc>
      </w:tr>
      <w:tr>
        <w:tc>
          <w:tcPr/>
          <w:p>
            <w:pPr>
              <w:pStyle w:val="Compact"/>
            </w:pPr>
            <w:r>
              <w:t xml:space="preserve">4 kHz</w:t>
            </w:r>
          </w:p>
        </w:tc>
        <w:tc>
          <w:tcPr/>
          <w:p>
            <w:pPr>
              <w:pStyle w:val="Compact"/>
            </w:pPr>
            <w:r>
              <w:t xml:space="preserve">19.5</w:t>
            </w:r>
          </w:p>
        </w:tc>
        <w:tc>
          <w:tcPr/>
          <w:p>
            <w:pPr>
              <w:pStyle w:val="Compact"/>
            </w:pPr>
            <w:r>
              <w:t xml:space="preserve">19.3</w:t>
            </w:r>
          </w:p>
        </w:tc>
        <w:tc>
          <w:tcPr/>
          <w:p>
            <w:pPr>
              <w:pStyle w:val="Compact"/>
            </w:pPr>
            <w:r>
              <w:t xml:space="preserve">15.0</w:t>
            </w:r>
          </w:p>
        </w:tc>
      </w:tr>
      <w:tr>
        <w:tc>
          <w:tcPr/>
          <w:p>
            <w:pPr>
              <w:pStyle w:val="Compact"/>
            </w:pPr>
            <w:r>
              <w:t xml:space="preserve">6 kHz</w:t>
            </w:r>
          </w:p>
        </w:tc>
        <w:tc>
          <w:tcPr/>
          <w:p>
            <w:pPr>
              <w:pStyle w:val="Compact"/>
            </w:pPr>
            <w:r>
              <w:t xml:space="preserve">25.5</w:t>
            </w:r>
          </w:p>
        </w:tc>
        <w:tc>
          <w:tcPr/>
          <w:p>
            <w:pPr>
              <w:pStyle w:val="Compact"/>
            </w:pPr>
            <w:r>
              <w:t xml:space="preserve">20.1</w:t>
            </w:r>
          </w:p>
        </w:tc>
        <w:tc>
          <w:tcPr/>
          <w:p>
            <w:pPr>
              <w:pStyle w:val="Compact"/>
            </w:pPr>
            <w:r>
              <w:t xml:space="preserve">20.0</w:t>
            </w:r>
          </w:p>
        </w:tc>
      </w:tr>
      <w:tr>
        <w:tc>
          <w:tcPr/>
          <w:p>
            <w:pPr>
              <w:pStyle w:val="Compact"/>
            </w:pPr>
            <w:r>
              <w:t xml:space="preserve">8 kHz</w:t>
            </w:r>
          </w:p>
        </w:tc>
        <w:tc>
          <w:tcPr/>
          <w:p>
            <w:pPr>
              <w:pStyle w:val="Compact"/>
            </w:pPr>
            <w:r>
              <w:t xml:space="preserve">27.4</w:t>
            </w:r>
          </w:p>
        </w:tc>
        <w:tc>
          <w:tcPr/>
          <w:p>
            <w:pPr>
              <w:pStyle w:val="Compact"/>
            </w:pPr>
            <w:r>
              <w:t xml:space="preserve">22.4</w:t>
            </w:r>
          </w:p>
        </w:tc>
        <w:tc>
          <w:tcPr/>
          <w:p>
            <w:pPr>
              <w:pStyle w:val="Compact"/>
            </w:pPr>
            <w:r>
              <w:t xml:space="preserve">20.0</w:t>
            </w:r>
          </w:p>
        </w:tc>
      </w:tr>
    </w:tbl>
    <w:p>
      <w:pPr>
        <w:pStyle w:val="BodyText"/>
      </w:pPr>
      <w:r>
        <w:t xml:space="preserve">The monotonic increase in thresholds with frequency is consistent with age-related and noise-induced high-frequency hearing loss; absolute levels are lower than in older (70+) cohorts because this is a working-age sample.</w:t>
      </w:r>
    </w:p>
    <w:tbl>
      <w:tblPr>
        <w:tblStyle w:val="Table"/>
        <w:tblW w:type="pct" w:w="5000"/>
        <w:tblLayout w:type="fixed"/>
        <w:tblLook w:firstRow="0" w:lastRow="0" w:firstColumn="0" w:lastColumn="0" w:noHBand="0" w:noVBand="0" w:val="0000"/>
      </w:tblPr>
      <w:tblGrid>
        <w:gridCol w:w="7920"/>
      </w:tblGrid>
      <w:tr>
        <w:tc>
          <w:tcPr/>
          <w:bookmarkStart w:id="16" w:name="fig-threshold-dist"/>
          <w:p>
            <w:pPr>
              <w:pStyle w:val="Compact"/>
              <w:jc w:val="center"/>
            </w:pPr>
            <w:r>
              <w:drawing>
                <wp:inline>
                  <wp:extent cx="5334000" cy="2902085"/>
                  <wp:effectExtent b="0" l="0" r="0" t="0"/>
                  <wp:docPr descr="" title="" id="14" name="Picture"/>
                  <a:graphic>
                    <a:graphicData uri="http://schemas.openxmlformats.org/drawingml/2006/picture">
                      <pic:pic>
                        <pic:nvPicPr>
                          <pic:cNvPr descr="figures/fig_eda_threshold_dist.png" id="15" name="Picture"/>
                          <pic:cNvPicPr>
                            <a:picLocks noChangeArrowheads="1" noChangeAspect="1"/>
                          </pic:cNvPicPr>
                        </pic:nvPicPr>
                        <pic:blipFill>
                          <a:blip r:embed="rId13"/>
                          <a:stretch>
                            <a:fillRect/>
                          </a:stretch>
                        </pic:blipFill>
                        <pic:spPr bwMode="auto">
                          <a:xfrm>
                            <a:off x="0" y="0"/>
                            <a:ext cx="5334000" cy="290208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Threshold distribution by frequency (right ear, violin plot)</w:t>
            </w:r>
          </w:p>
          <w:bookmarkEnd w:id="16"/>
        </w:tc>
      </w:tr>
    </w:tbl>
    <w:bookmarkEnd w:id="17"/>
    <w:bookmarkStart w:id="22" w:name="hearing-loss-prevalence"/>
    <w:p>
      <w:pPr>
        <w:pStyle w:val="Heading2"/>
      </w:pPr>
      <w:r>
        <w:t xml:space="preserve">Hearing Loss Prevalence</w:t>
      </w:r>
    </w:p>
    <w:p>
      <w:pPr>
        <w:pStyle w:val="FirstParagraph"/>
      </w:pPr>
      <w:r>
        <w:t xml:space="preserve">Using WHO PTA-4 classification criteria (clean ears):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 Grade</w:t>
            </w:r>
          </w:p>
        </w:tc>
        <w:tc>
          <w:tcPr/>
          <w:p>
            <w:pPr>
              <w:pStyle w:val="Compact"/>
            </w:pPr>
            <w:r>
              <w:t xml:space="preserve">Threshold Range</w:t>
            </w:r>
          </w:p>
        </w:tc>
        <w:tc>
          <w:tcPr/>
          <w:p>
            <w:pPr>
              <w:pStyle w:val="Compact"/>
            </w:pPr>
            <w:r>
              <w:t xml:space="preserve">Prevalence (%)</w:t>
            </w:r>
          </w:p>
        </w:tc>
      </w:tr>
      <w:tr>
        <w:tc>
          <w:tcPr/>
          <w:p>
            <w:pPr>
              <w:pStyle w:val="Compact"/>
            </w:pPr>
            <w:r>
              <w:t xml:space="preserve">Normal</w:t>
            </w:r>
          </w:p>
        </w:tc>
        <w:tc>
          <w:tcPr/>
          <w:p>
            <w:pPr>
              <w:pStyle w:val="Compact"/>
            </w:pPr>
            <w:r>
              <w:t xml:space="preserve">≤25 dB</w:t>
            </w:r>
          </w:p>
        </w:tc>
        <w:tc>
          <w:tcPr/>
          <w:p>
            <w:pPr>
              <w:pStyle w:val="Compact"/>
            </w:pPr>
            <w:r>
              <w:t xml:space="preserve">88.1%</w:t>
            </w:r>
          </w:p>
        </w:tc>
      </w:tr>
      <w:tr>
        <w:tc>
          <w:tcPr/>
          <w:p>
            <w:pPr>
              <w:pStyle w:val="Compact"/>
            </w:pPr>
            <w:r>
              <w:t xml:space="preserve">Mild</w:t>
            </w:r>
          </w:p>
        </w:tc>
        <w:tc>
          <w:tcPr/>
          <w:p>
            <w:pPr>
              <w:pStyle w:val="Compact"/>
            </w:pPr>
            <w:r>
              <w:t xml:space="preserve">26–40 dB</w:t>
            </w:r>
          </w:p>
        </w:tc>
        <w:tc>
          <w:tcPr/>
          <w:p>
            <w:pPr>
              <w:pStyle w:val="Compact"/>
            </w:pPr>
            <w:r>
              <w:t xml:space="preserve">8.7%</w:t>
            </w:r>
          </w:p>
        </w:tc>
      </w:tr>
      <w:tr>
        <w:tc>
          <w:tcPr/>
          <w:p>
            <w:pPr>
              <w:pStyle w:val="Compact"/>
            </w:pPr>
            <w:r>
              <w:t xml:space="preserve">Moderate</w:t>
            </w:r>
          </w:p>
        </w:tc>
        <w:tc>
          <w:tcPr/>
          <w:p>
            <w:pPr>
              <w:pStyle w:val="Compact"/>
            </w:pPr>
            <w:r>
              <w:t xml:space="preserve">41–55 dB</w:t>
            </w:r>
          </w:p>
        </w:tc>
        <w:tc>
          <w:tcPr/>
          <w:p>
            <w:pPr>
              <w:pStyle w:val="Compact"/>
            </w:pPr>
            <w:r>
              <w:t xml:space="preserve">2.2%</w:t>
            </w:r>
          </w:p>
        </w:tc>
      </w:tr>
      <w:tr>
        <w:tc>
          <w:tcPr/>
          <w:p>
            <w:pPr>
              <w:pStyle w:val="Compact"/>
            </w:pPr>
            <w:r>
              <w:t xml:space="preserve">Moderately Severe</w:t>
            </w:r>
          </w:p>
        </w:tc>
        <w:tc>
          <w:tcPr/>
          <w:p>
            <w:pPr>
              <w:pStyle w:val="Compact"/>
            </w:pPr>
            <w:r>
              <w:t xml:space="preserve">56–70 dB</w:t>
            </w:r>
          </w:p>
        </w:tc>
        <w:tc>
          <w:tcPr/>
          <w:p>
            <w:pPr>
              <w:pStyle w:val="Compact"/>
            </w:pPr>
            <w:r>
              <w:t xml:space="preserve">0.6%</w:t>
            </w:r>
          </w:p>
        </w:tc>
      </w:tr>
      <w:tr>
        <w:tc>
          <w:tcPr/>
          <w:p>
            <w:pPr>
              <w:pStyle w:val="Compact"/>
            </w:pPr>
            <w:r>
              <w:t xml:space="preserve">Severe</w:t>
            </w:r>
          </w:p>
        </w:tc>
        <w:tc>
          <w:tcPr/>
          <w:p>
            <w:pPr>
              <w:pStyle w:val="Compact"/>
            </w:pPr>
            <w:r>
              <w:t xml:space="preserve">71–90 dB</w:t>
            </w:r>
          </w:p>
        </w:tc>
        <w:tc>
          <w:tcPr/>
          <w:p>
            <w:pPr>
              <w:pStyle w:val="Compact"/>
            </w:pPr>
            <w:r>
              <w:t xml:space="preserve">0.3%</w:t>
            </w:r>
          </w:p>
        </w:tc>
      </w:tr>
      <w:tr>
        <w:tc>
          <w:tcPr/>
          <w:p>
            <w:pPr>
              <w:pStyle w:val="Compact"/>
            </w:pPr>
            <w:r>
              <w:t xml:space="preserve">Profound</w:t>
            </w:r>
          </w:p>
        </w:tc>
        <w:tc>
          <w:tcPr/>
          <w:p>
            <w:pPr>
              <w:pStyle w:val="Compact"/>
            </w:pPr>
            <w:r>
              <w:t xml:space="preserve">≥91 dB</w:t>
            </w:r>
          </w:p>
        </w:tc>
        <w:tc>
          <w:tcPr/>
          <w:p>
            <w:pPr>
              <w:pStyle w:val="Compact"/>
            </w:pPr>
            <w:r>
              <w:t xml:space="preserve">0.1%</w:t>
            </w:r>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1" w:name="fig-pta-dist"/>
          <w:p>
            <w:pPr>
              <w:pStyle w:val="Compact"/>
              <w:jc w:val="center"/>
            </w:pPr>
            <w:r>
              <w:drawing>
                <wp:inline>
                  <wp:extent cx="5334000" cy="2902085"/>
                  <wp:effectExtent b="0" l="0" r="0" t="0"/>
                  <wp:docPr descr="" title="" id="19" name="Picture"/>
                  <a:graphic>
                    <a:graphicData uri="http://schemas.openxmlformats.org/drawingml/2006/picture">
                      <pic:pic>
                        <pic:nvPicPr>
                          <pic:cNvPr descr="figures/fig_eda_pta_dist.png" id="20" name="Picture"/>
                          <pic:cNvPicPr>
                            <a:picLocks noChangeArrowheads="1" noChangeAspect="1"/>
                          </pic:cNvPicPr>
                        </pic:nvPicPr>
                        <pic:blipFill>
                          <a:blip r:embed="rId18"/>
                          <a:stretch>
                            <a:fillRect/>
                          </a:stretch>
                        </pic:blipFill>
                        <pic:spPr bwMode="auto">
                          <a:xfrm>
                            <a:off x="0" y="0"/>
                            <a:ext cx="5334000" cy="290208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PTA-4 distribution with WHO severity bands</w:t>
            </w:r>
          </w:p>
          <w:bookmarkEnd w:id="21"/>
        </w:tc>
      </w:tr>
    </w:tbl>
    <w:bookmarkEnd w:id="22"/>
    <w:bookmarkStart w:id="23" w:name="the-borderline-problem"/>
    <w:p>
      <w:pPr>
        <w:pStyle w:val="Heading2"/>
      </w:pPr>
      <w:r>
        <w:t xml:space="preserve">The Borderline Problem</w:t>
      </w:r>
    </w:p>
    <w:p>
      <w:pPr>
        <w:pStyle w:val="FirstParagraph"/>
      </w:pPr>
      <w:r>
        <w:rPr>
          <w:b/>
          <w:bCs/>
        </w:rPr>
        <w:t xml:space="preserve">18.2%</w:t>
      </w:r>
      <w:r>
        <w:t xml:space="preserve"> </w:t>
      </w:r>
      <w:r>
        <w:t xml:space="preserve">of clean ears fell within ±5 dB of a WHO severity boundary — the population where crisp classification is most clinically uncertain: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Boundary Zone</w:t>
            </w:r>
          </w:p>
        </w:tc>
        <w:tc>
          <w:tcPr/>
          <w:p>
            <w:pPr>
              <w:pStyle w:val="Compact"/>
            </w:pPr>
            <w:r>
              <w:t xml:space="preserve">dB Range</w:t>
            </w:r>
          </w:p>
        </w:tc>
        <w:tc>
          <w:tcPr/>
          <w:p>
            <w:pPr>
              <w:pStyle w:val="Compact"/>
            </w:pPr>
            <w:r>
              <w:t xml:space="preserve">% of Ears</w:t>
            </w:r>
          </w:p>
        </w:tc>
      </w:tr>
      <w:tr>
        <w:tc>
          <w:tcPr/>
          <w:p>
            <w:pPr>
              <w:pStyle w:val="Compact"/>
            </w:pPr>
            <w:r>
              <w:t xml:space="preserve">Normal–Mild</w:t>
            </w:r>
          </w:p>
        </w:tc>
        <w:tc>
          <w:tcPr/>
          <w:p>
            <w:pPr>
              <w:pStyle w:val="Compact"/>
            </w:pPr>
            <w:r>
              <w:t xml:space="preserve">20–30 dB</w:t>
            </w:r>
          </w:p>
        </w:tc>
        <w:tc>
          <w:tcPr/>
          <w:p>
            <w:pPr>
              <w:pStyle w:val="Compact"/>
            </w:pPr>
            <w:r>
              <w:t xml:space="preserve">13.9%</w:t>
            </w:r>
          </w:p>
        </w:tc>
      </w:tr>
      <w:tr>
        <w:tc>
          <w:tcPr/>
          <w:p>
            <w:pPr>
              <w:pStyle w:val="Compact"/>
            </w:pPr>
            <w:r>
              <w:t xml:space="preserve">Mild–Moderate</w:t>
            </w:r>
          </w:p>
        </w:tc>
        <w:tc>
          <w:tcPr/>
          <w:p>
            <w:pPr>
              <w:pStyle w:val="Compact"/>
            </w:pPr>
            <w:r>
              <w:t xml:space="preserve">35–45 dB</w:t>
            </w:r>
          </w:p>
        </w:tc>
        <w:tc>
          <w:tcPr/>
          <w:p>
            <w:pPr>
              <w:pStyle w:val="Compact"/>
            </w:pPr>
            <w:r>
              <w:t xml:space="preserve">3.1%</w:t>
            </w:r>
          </w:p>
        </w:tc>
      </w:tr>
      <w:tr>
        <w:tc>
          <w:tcPr/>
          <w:p>
            <w:pPr>
              <w:pStyle w:val="Compact"/>
            </w:pPr>
            <w:r>
              <w:t xml:space="preserve">Moderate–Mod-Sev</w:t>
            </w:r>
          </w:p>
        </w:tc>
        <w:tc>
          <w:tcPr/>
          <w:p>
            <w:pPr>
              <w:pStyle w:val="Compact"/>
            </w:pPr>
            <w:r>
              <w:t xml:space="preserve">50–60 dB</w:t>
            </w:r>
          </w:p>
        </w:tc>
        <w:tc>
          <w:tcPr/>
          <w:p>
            <w:pPr>
              <w:pStyle w:val="Compact"/>
            </w:pPr>
            <w:r>
              <w:t xml:space="preserve">0.9%</w:t>
            </w:r>
          </w:p>
        </w:tc>
      </w:tr>
      <w:tr>
        <w:tc>
          <w:tcPr/>
          <w:p>
            <w:pPr>
              <w:pStyle w:val="Compact"/>
            </w:pPr>
            <w:r>
              <w:t xml:space="preserve">Mod-Sev–Severe</w:t>
            </w:r>
          </w:p>
        </w:tc>
        <w:tc>
          <w:tcPr/>
          <w:p>
            <w:pPr>
              <w:pStyle w:val="Compact"/>
            </w:pPr>
            <w:r>
              <w:t xml:space="preserve">65–75 dB</w:t>
            </w:r>
          </w:p>
        </w:tc>
        <w:tc>
          <w:tcPr/>
          <w:p>
            <w:pPr>
              <w:pStyle w:val="Compact"/>
            </w:pPr>
            <w:r>
              <w:t xml:space="preserve">0.3%</w:t>
            </w:r>
          </w:p>
        </w:tc>
      </w:tr>
      <w:tr>
        <w:tc>
          <w:tcPr/>
          <w:p>
            <w:pPr>
              <w:pStyle w:val="Compact"/>
            </w:pPr>
            <w:r>
              <w:t xml:space="preserve">Severe–Profound</w:t>
            </w:r>
          </w:p>
        </w:tc>
        <w:tc>
          <w:tcPr/>
          <w:p>
            <w:pPr>
              <w:pStyle w:val="Compact"/>
            </w:pPr>
            <w:r>
              <w:t xml:space="preserve">85–95 dB</w:t>
            </w:r>
          </w:p>
        </w:tc>
        <w:tc>
          <w:tcPr/>
          <w:p>
            <w:pPr>
              <w:pStyle w:val="Compact"/>
            </w:pPr>
            <w:r>
              <w:t xml:space="preserve">0.0%</w:t>
            </w:r>
          </w:p>
        </w:tc>
      </w:tr>
    </w:tbl>
    <w:p>
      <w:pPr>
        <w:pStyle w:val="BodyText"/>
      </w:pPr>
      <w:r>
        <w:t xml:space="preserve">This finding directly motivates the fuzzy logic approach — nearly one in five ears falls in the zone where crisp classification is least reliable.</w:t>
      </w:r>
    </w:p>
    <w:bookmarkEnd w:id="23"/>
    <w:bookmarkStart w:id="28" w:name="inter-frequency-correlation"/>
    <w:p>
      <w:pPr>
        <w:pStyle w:val="Heading2"/>
      </w:pPr>
      <w:r>
        <w:t xml:space="preserve">Inter-Frequency Correlation</w:t>
      </w:r>
    </w:p>
    <w:p>
      <w:pPr>
        <w:pStyle w:val="FirstParagraph"/>
      </w:pPr>
      <w:r>
        <w:t xml:space="preserve">Thresholds at adjacent frequencies were</w:t>
      </w:r>
      <w:r>
        <w:t xml:space="preserve"> </w:t>
      </w:r>
      <w:r>
        <w:rPr>
          <w:b/>
          <w:bCs/>
        </w:rPr>
        <w:t xml:space="preserve">highly correlated</w:t>
      </w:r>
      <w:r>
        <w:t xml:space="preserve"> </w:t>
      </w:r>
      <w:r>
        <w:t xml:space="preserve">(mean adjacent Pearson r = 0.80), while correlations between distant frequencies (500 Hz vs. 8 kHz) were moderate (r = 0.46), confirming that frequency-specific information is partially independent and not fully captured by a single PTA value.</w:t>
      </w:r>
    </w:p>
    <w:tbl>
      <w:tblPr>
        <w:tblStyle w:val="Table"/>
        <w:tblW w:type="pct" w:w="5000"/>
        <w:tblLayout w:type="fixed"/>
        <w:tblLook w:firstRow="0" w:lastRow="0" w:firstColumn="0" w:lastColumn="0" w:noHBand="0" w:noVBand="0" w:val="0000"/>
      </w:tblPr>
      <w:tblGrid>
        <w:gridCol w:w="7920"/>
      </w:tblGrid>
      <w:tr>
        <w:tc>
          <w:tcPr/>
          <w:bookmarkStart w:id="27" w:name="fig-correlation"/>
          <w:p>
            <w:pPr>
              <w:pStyle w:val="Compact"/>
              <w:jc w:val="center"/>
            </w:pPr>
            <w:r>
              <w:drawing>
                <wp:inline>
                  <wp:extent cx="5334000" cy="4681850"/>
                  <wp:effectExtent b="0" l="0" r="0" t="0"/>
                  <wp:docPr descr="" title="" id="25" name="Picture"/>
                  <a:graphic>
                    <a:graphicData uri="http://schemas.openxmlformats.org/drawingml/2006/picture">
                      <pic:pic>
                        <pic:nvPicPr>
                          <pic:cNvPr descr="figures/fig_eda_correlation.png" id="26" name="Picture"/>
                          <pic:cNvPicPr>
                            <a:picLocks noChangeArrowheads="1" noChangeAspect="1"/>
                          </pic:cNvPicPr>
                        </pic:nvPicPr>
                        <pic:blipFill>
                          <a:blip r:embed="rId24"/>
                          <a:stretch>
                            <a:fillRect/>
                          </a:stretch>
                        </pic:blipFill>
                        <pic:spPr bwMode="auto">
                          <a:xfrm>
                            <a:off x="0" y="0"/>
                            <a:ext cx="5334000" cy="468185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Frequency correlation matrix (both ears)</w:t>
            </w:r>
          </w:p>
          <w:bookmarkEnd w:id="27"/>
        </w:tc>
      </w:tr>
    </w:tbl>
    <w:bookmarkEnd w:id="28"/>
    <w:bookmarkStart w:id="33" w:name="audiogram-configuration"/>
    <w:p>
      <w:pPr>
        <w:pStyle w:val="Heading2"/>
      </w:pPr>
      <w:r>
        <w:t xml:space="preserve">Audiogram Configuration</w:t>
      </w:r>
    </w:p>
    <w:p>
      <w:pPr>
        <w:pStyle w:val="FirstParagraph"/>
      </w:pPr>
      <w:r>
        <w:t xml:space="preserve">Using slope-based classification (4 kHz − 500 Hz dB change), the speech-frequency range that anchors PTA-4 and defines the functionally relevant window for communication: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Configuration</w:t>
            </w:r>
          </w:p>
        </w:tc>
        <w:tc>
          <w:tcPr/>
          <w:p>
            <w:pPr>
              <w:pStyle w:val="Compact"/>
            </w:pPr>
            <w:r>
              <w:t xml:space="preserve">Prevalence (%)</w:t>
            </w:r>
          </w:p>
        </w:tc>
        <w:tc>
          <w:tcPr/>
          <w:p>
            <w:pPr>
              <w:pStyle w:val="Compact"/>
            </w:pPr>
            <w:r>
              <w:t xml:space="preserve">Slope Range</w:t>
            </w:r>
          </w:p>
        </w:tc>
      </w:tr>
      <w:tr>
        <w:tc>
          <w:tcPr/>
          <w:p>
            <w:pPr>
              <w:pStyle w:val="Compact"/>
            </w:pPr>
            <w:r>
              <w:t xml:space="preserve">Flat</w:t>
            </w:r>
          </w:p>
        </w:tc>
        <w:tc>
          <w:tcPr/>
          <w:p>
            <w:pPr>
              <w:pStyle w:val="Compact"/>
            </w:pPr>
            <w:r>
              <w:t xml:space="preserve">56.7%</w:t>
            </w:r>
          </w:p>
        </w:tc>
        <w:tc>
          <w:tcPr/>
          <w:p>
            <w:pPr>
              <w:pStyle w:val="Compact"/>
            </w:pPr>
            <w:r>
              <w:t xml:space="preserve">−5 to 12 dB</w:t>
            </w:r>
          </w:p>
        </w:tc>
      </w:tr>
      <w:tr>
        <w:tc>
          <w:tcPr/>
          <w:p>
            <w:pPr>
              <w:pStyle w:val="Compact"/>
            </w:pPr>
            <w:r>
              <w:t xml:space="preserve">Gently Sloping</w:t>
            </w:r>
          </w:p>
        </w:tc>
        <w:tc>
          <w:tcPr/>
          <w:p>
            <w:pPr>
              <w:pStyle w:val="Compact"/>
            </w:pPr>
            <w:r>
              <w:t xml:space="preserve">18.0%</w:t>
            </w:r>
          </w:p>
        </w:tc>
        <w:tc>
          <w:tcPr/>
          <w:p>
            <w:pPr>
              <w:pStyle w:val="Compact"/>
            </w:pPr>
            <w:r>
              <w:t xml:space="preserve">12–28 dB</w:t>
            </w:r>
          </w:p>
        </w:tc>
      </w:tr>
      <w:tr>
        <w:tc>
          <w:tcPr/>
          <w:p>
            <w:pPr>
              <w:pStyle w:val="Compact"/>
            </w:pPr>
            <w:r>
              <w:t xml:space="preserve">Steeply Sloping</w:t>
            </w:r>
          </w:p>
        </w:tc>
        <w:tc>
          <w:tcPr/>
          <w:p>
            <w:pPr>
              <w:pStyle w:val="Compact"/>
            </w:pPr>
            <w:r>
              <w:t xml:space="preserve">8.8%</w:t>
            </w:r>
          </w:p>
        </w:tc>
        <w:tc>
          <w:tcPr/>
          <w:p>
            <w:pPr>
              <w:pStyle w:val="Compact"/>
            </w:pPr>
            <w:r>
              <w:t xml:space="preserve">28–45 dB</w:t>
            </w:r>
          </w:p>
        </w:tc>
      </w:tr>
      <w:tr>
        <w:tc>
          <w:tcPr/>
          <w:p>
            <w:pPr>
              <w:pStyle w:val="Compact"/>
            </w:pPr>
            <w:r>
              <w:t xml:space="preserve">Precipitous</w:t>
            </w:r>
          </w:p>
        </w:tc>
        <w:tc>
          <w:tcPr/>
          <w:p>
            <w:pPr>
              <w:pStyle w:val="Compact"/>
            </w:pPr>
            <w:r>
              <w:t xml:space="preserve">3.5%</w:t>
            </w:r>
          </w:p>
        </w:tc>
        <w:tc>
          <w:tcPr/>
          <w:p>
            <w:pPr>
              <w:pStyle w:val="Compact"/>
            </w:pPr>
            <w:r>
              <w:t xml:space="preserve">&gt;45 dB</w:t>
            </w:r>
          </w:p>
        </w:tc>
      </w:tr>
      <w:tr>
        <w:tc>
          <w:tcPr/>
          <w:p>
            <w:pPr>
              <w:pStyle w:val="Compact"/>
            </w:pPr>
            <w:r>
              <w:t xml:space="preserve">Rising</w:t>
            </w:r>
          </w:p>
        </w:tc>
        <w:tc>
          <w:tcPr/>
          <w:p>
            <w:pPr>
              <w:pStyle w:val="Compact"/>
            </w:pPr>
            <w:r>
              <w:t xml:space="preserve">13.0%</w:t>
            </w:r>
          </w:p>
        </w:tc>
        <w:tc>
          <w:tcPr/>
          <w:p>
            <w:pPr>
              <w:pStyle w:val="Compact"/>
            </w:pPr>
            <w:r>
              <w:t xml:space="preserve">&lt;−5 dB</w:t>
            </w:r>
          </w:p>
        </w:tc>
      </w:tr>
    </w:tbl>
    <w:p>
      <w:pPr>
        <w:pStyle w:val="BodyText"/>
      </w:pPr>
      <w:r>
        <w:t xml:space="preserve">We deliberately defined configuration slope over 500 Hz–4 kHz rather than the full 0.5–8 kHz test range. This choice follows standard audiometric practice: the speech-frequency average (0.5, 1, 2, 4 kHz) is the conventional anchor for both severity grading</w:t>
      </w:r>
      <w:r>
        <w:t xml:space="preserve"> </w:t>
      </w:r>
      <w:r>
        <w:t xml:space="preserve">(Clark 1981; World Health Organization 2021)</w:t>
      </w:r>
      <w:r>
        <w:t xml:space="preserve"> </w:t>
      </w:r>
      <w:r>
        <w:t xml:space="preserve">and configuration typing, because it is the band that determines communication handicap and hearing-aid candidacy. Extended high-frequency thresholds (6–8 kHz) are more variable, age-dependent, and frequently missing at upper severities; including them in a single slope estimate tends to over-weight age-related high-frequency loss at the expense of the functionally relevant gradient. Extended high frequencies are nevertheless not discarded: the notch module quantifies the 4 kHz dip relative to the 2 and 8 kHz thresholds, and the high-frequency PTA (2–8 kHz) is computed as a separate feature.</w:t>
      </w:r>
    </w:p>
    <w:tbl>
      <w:tblPr>
        <w:tblStyle w:val="Table"/>
        <w:tblW w:type="pct" w:w="5000"/>
        <w:tblLayout w:type="fixed"/>
        <w:tblLook w:firstRow="0" w:lastRow="0" w:firstColumn="0" w:lastColumn="0" w:noHBand="0" w:noVBand="0" w:val="0000"/>
      </w:tblPr>
      <w:tblGrid>
        <w:gridCol w:w="7920"/>
      </w:tblGrid>
      <w:tr>
        <w:tc>
          <w:tcPr/>
          <w:bookmarkStart w:id="32" w:name="fig-config"/>
          <w:p>
            <w:pPr>
              <w:pStyle w:val="Compact"/>
              <w:jc w:val="center"/>
            </w:pPr>
            <w:r>
              <w:drawing>
                <wp:inline>
                  <wp:extent cx="5334000" cy="3229264"/>
                  <wp:effectExtent b="0" l="0" r="0" t="0"/>
                  <wp:docPr descr="" title="" id="30" name="Picture"/>
                  <a:graphic>
                    <a:graphicData uri="http://schemas.openxmlformats.org/drawingml/2006/picture">
                      <pic:pic>
                        <pic:nvPicPr>
                          <pic:cNvPr descr="figures/fig_eda_config_dist.png" id="31" name="Picture"/>
                          <pic:cNvPicPr>
                            <a:picLocks noChangeArrowheads="1" noChangeAspect="1"/>
                          </pic:cNvPicPr>
                        </pic:nvPicPr>
                        <pic:blipFill>
                          <a:blip r:embed="rId29"/>
                          <a:stretch>
                            <a:fillRect/>
                          </a:stretch>
                        </pic:blipFill>
                        <pic:spPr bwMode="auto">
                          <a:xfrm>
                            <a:off x="0" y="0"/>
                            <a:ext cx="5334000" cy="3229264"/>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Audiogram configuration distribution</w:t>
            </w:r>
          </w:p>
          <w:bookmarkEnd w:id="32"/>
        </w:tc>
      </w:tr>
    </w:tbl>
    <w:bookmarkEnd w:id="33"/>
    <w:bookmarkStart w:id="38" w:name="inter-aural-asymmetry"/>
    <w:p>
      <w:pPr>
        <w:pStyle w:val="Heading2"/>
      </w:pPr>
      <w:r>
        <w:t xml:space="preserve">Inter-Aural Asymmetry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Threshold</w:t>
            </w:r>
          </w:p>
        </w:tc>
        <w:tc>
          <w:tcPr/>
          <w:p>
            <w:pPr>
              <w:pStyle w:val="Compact"/>
            </w:pPr>
            <w:r>
              <w:t xml:space="preserve">Prevalence (%)</w:t>
            </w:r>
          </w:p>
        </w:tc>
      </w:tr>
      <w:tr>
        <w:tc>
          <w:tcPr/>
          <w:p>
            <w:pPr>
              <w:pStyle w:val="Compact"/>
            </w:pPr>
            <w:r>
              <w:t xml:space="preserve">Symmetric</w:t>
            </w:r>
          </w:p>
        </w:tc>
        <w:tc>
          <w:tcPr/>
          <w:p>
            <w:pPr>
              <w:pStyle w:val="Compact"/>
            </w:pPr>
            <w:r>
              <w:t xml:space="preserve">≤15 dB</w:t>
            </w:r>
          </w:p>
        </w:tc>
        <w:tc>
          <w:tcPr/>
          <w:p>
            <w:pPr>
              <w:pStyle w:val="Compact"/>
            </w:pPr>
            <w:r>
              <w:t xml:space="preserve">94.9%</w:t>
            </w:r>
          </w:p>
        </w:tc>
      </w:tr>
      <w:tr>
        <w:tc>
          <w:tcPr/>
          <w:p>
            <w:pPr>
              <w:pStyle w:val="Compact"/>
            </w:pPr>
            <w:r>
              <w:t xml:space="preserve">Mildly Asymmetric</w:t>
            </w:r>
          </w:p>
        </w:tc>
        <w:tc>
          <w:tcPr/>
          <w:p>
            <w:pPr>
              <w:pStyle w:val="Compact"/>
            </w:pPr>
            <w:r>
              <w:t xml:space="preserve">16–30 dB</w:t>
            </w:r>
          </w:p>
        </w:tc>
        <w:tc>
          <w:tcPr/>
          <w:p>
            <w:pPr>
              <w:pStyle w:val="Compact"/>
            </w:pPr>
            <w:r>
              <w:t xml:space="preserve">3.5%</w:t>
            </w:r>
          </w:p>
        </w:tc>
      </w:tr>
      <w:tr>
        <w:tc>
          <w:tcPr/>
          <w:p>
            <w:pPr>
              <w:pStyle w:val="Compact"/>
            </w:pPr>
            <w:r>
              <w:t xml:space="preserve">Moderately Asymmetric</w:t>
            </w:r>
          </w:p>
        </w:tc>
        <w:tc>
          <w:tcPr/>
          <w:p>
            <w:pPr>
              <w:pStyle w:val="Compact"/>
            </w:pPr>
            <w:r>
              <w:t xml:space="preserve">31–45 dB</w:t>
            </w:r>
          </w:p>
        </w:tc>
        <w:tc>
          <w:tcPr/>
          <w:p>
            <w:pPr>
              <w:pStyle w:val="Compact"/>
            </w:pPr>
            <w:r>
              <w:t xml:space="preserve">0.9%</w:t>
            </w:r>
          </w:p>
        </w:tc>
      </w:tr>
      <w:tr>
        <w:tc>
          <w:tcPr/>
          <w:p>
            <w:pPr>
              <w:pStyle w:val="Compact"/>
            </w:pPr>
            <w:r>
              <w:t xml:space="preserve">Severely Asymmetric</w:t>
            </w:r>
          </w:p>
        </w:tc>
        <w:tc>
          <w:tcPr/>
          <w:p>
            <w:pPr>
              <w:pStyle w:val="Compact"/>
            </w:pPr>
            <w:r>
              <w:t xml:space="preserve">&gt;45 dB</w:t>
            </w:r>
          </w:p>
        </w:tc>
        <w:tc>
          <w:tcPr/>
          <w:p>
            <w:pPr>
              <w:pStyle w:val="Compact"/>
            </w:pPr>
            <w:r>
              <w:t xml:space="preserve">0.6%</w:t>
            </w:r>
          </w:p>
        </w:tc>
      </w:tr>
    </w:tbl>
    <w:p>
      <w:pPr>
        <w:pStyle w:val="BodyText"/>
      </w:pPr>
      <w:r>
        <w:t xml:space="preserve">Mean asymmetry: 5.2 dB (median 3.8 dB). Only 5.1% exceeded the 15 dB clinical threshold.</w:t>
      </w:r>
    </w:p>
    <w:tbl>
      <w:tblPr>
        <w:tblStyle w:val="Table"/>
        <w:tblW w:type="pct" w:w="5000"/>
        <w:tblLayout w:type="fixed"/>
        <w:tblLook w:firstRow="0" w:lastRow="0" w:firstColumn="0" w:lastColumn="0" w:noHBand="0" w:noVBand="0" w:val="0000"/>
      </w:tblPr>
      <w:tblGrid>
        <w:gridCol w:w="7920"/>
      </w:tblGrid>
      <w:tr>
        <w:tc>
          <w:tcPr/>
          <w:bookmarkStart w:id="37" w:name="fig-asymmetry"/>
          <w:p>
            <w:pPr>
              <w:pStyle w:val="Compact"/>
              <w:jc w:val="center"/>
            </w:pPr>
            <w:r>
              <w:drawing>
                <wp:inline>
                  <wp:extent cx="5334000" cy="2631872"/>
                  <wp:effectExtent b="0" l="0" r="0" t="0"/>
                  <wp:docPr descr="" title="" id="35" name="Picture"/>
                  <a:graphic>
                    <a:graphicData uri="http://schemas.openxmlformats.org/drawingml/2006/picture">
                      <pic:pic>
                        <pic:nvPicPr>
                          <pic:cNvPr descr="figures/fig_eda_asymmetry.png" id="36" name="Picture"/>
                          <pic:cNvPicPr>
                            <a:picLocks noChangeArrowheads="1" noChangeAspect="1"/>
                          </pic:cNvPicPr>
                        </pic:nvPicPr>
                        <pic:blipFill>
                          <a:blip r:embed="rId34"/>
                          <a:stretch>
                            <a:fillRect/>
                          </a:stretch>
                        </pic:blipFill>
                        <pic:spPr bwMode="auto">
                          <a:xfrm>
                            <a:off x="0" y="0"/>
                            <a:ext cx="5334000" cy="2631872"/>
                          </a:xfrm>
                          <a:prstGeom prst="rect">
                            <a:avLst/>
                          </a:prstGeom>
                          <a:noFill/>
                          <a:ln w="9525">
                            <a:noFill/>
                            <a:headEnd/>
                            <a:tailEnd/>
                          </a:ln>
                        </pic:spPr>
                      </pic:pic>
                    </a:graphicData>
                  </a:graphic>
                </wp:inline>
              </w:drawing>
            </w:r>
          </w:p>
          <w:p>
            <w:pPr>
              <w:jc w:val="center"/>
            </w:pPr>
            <w:pPr>
              <w:jc w:val="left"/>
              <w:spacing w:before="200"/>
              <w:pStyle w:val="ImageCaption"/>
            </w:pPr>
            <w:r>
              <w:t xml:space="preserve">Figure 5: Inter-aural asymmetry distribution</w:t>
            </w:r>
          </w:p>
          <w:bookmarkEnd w:id="37"/>
        </w:tc>
      </w:tr>
    </w:tbl>
    <w:bookmarkEnd w:id="38"/>
    <w:bookmarkEnd w:id="39"/>
    <w:bookmarkStart w:id="52" w:name="membership-function-optimization"/>
    <w:p>
      <w:pPr>
        <w:pStyle w:val="Heading1"/>
      </w:pPr>
      <w:r>
        <w:t xml:space="preserve">Membership Function Optimization</w:t>
      </w:r>
    </w:p>
    <w:bookmarkStart w:id="40" w:name="methodology"/>
    <w:p>
      <w:pPr>
        <w:pStyle w:val="Heading2"/>
      </w:pPr>
      <w:r>
        <w:t xml:space="preserve">Methodology</w:t>
      </w:r>
    </w:p>
    <w:p>
      <w:pPr>
        <w:pStyle w:val="FirstParagraph"/>
      </w:pPr>
      <w:r>
        <w:t xml:space="preserve">For each of the 7 test frequencies × 2 ears, individual thresholds were assigned to WHO severity categories. Trapezoidal membership functions [a, b, c, d] were fitted using percentile-based criteria:</w:t>
      </w:r>
    </w:p>
    <w:p>
      <w:pPr>
        <w:pStyle w:val="Compact"/>
        <w:numPr>
          <w:ilvl w:val="0"/>
          <w:numId w:val="1001"/>
        </w:numPr>
      </w:pPr>
      <w:r>
        <w:rPr>
          <w:b/>
          <w:bCs/>
        </w:rPr>
        <w:t xml:space="preserve">a</w:t>
      </w:r>
      <w:r>
        <w:t xml:space="preserve"> </w:t>
      </w:r>
      <w:r>
        <w:t xml:space="preserve">= max(0, P5 − 2) — membership onset</w:t>
      </w:r>
    </w:p>
    <w:p>
      <w:pPr>
        <w:pStyle w:val="Compact"/>
        <w:numPr>
          <w:ilvl w:val="0"/>
          <w:numId w:val="1001"/>
        </w:numPr>
      </w:pPr>
      <w:r>
        <w:rPr>
          <w:b/>
          <w:bCs/>
        </w:rPr>
        <w:t xml:space="preserve">b</w:t>
      </w:r>
      <w:r>
        <w:t xml:space="preserve"> </w:t>
      </w:r>
      <w:r>
        <w:t xml:space="preserve">= P25 — membership reaches 1.0</w:t>
      </w:r>
    </w:p>
    <w:p>
      <w:pPr>
        <w:pStyle w:val="Compact"/>
        <w:numPr>
          <w:ilvl w:val="0"/>
          <w:numId w:val="1001"/>
        </w:numPr>
      </w:pPr>
      <w:r>
        <w:rPr>
          <w:b/>
          <w:bCs/>
        </w:rPr>
        <w:t xml:space="preserve">c</w:t>
      </w:r>
      <w:r>
        <w:t xml:space="preserve"> </w:t>
      </w:r>
      <w:r>
        <w:t xml:space="preserve">= P75 — membership begins declining from 1.0</w:t>
      </w:r>
    </w:p>
    <w:p>
      <w:pPr>
        <w:pStyle w:val="Compact"/>
        <w:numPr>
          <w:ilvl w:val="0"/>
          <w:numId w:val="1001"/>
        </w:numPr>
      </w:pPr>
      <w:r>
        <w:rPr>
          <w:b/>
          <w:bCs/>
        </w:rPr>
        <w:t xml:space="preserve">d</w:t>
      </w:r>
      <w:r>
        <w:t xml:space="preserve"> </w:t>
      </w:r>
      <w:r>
        <w:t xml:space="preserve">= min(P95 + 2, 120) — membership returns to 0</w:t>
      </w:r>
    </w:p>
    <w:bookmarkEnd w:id="40"/>
    <w:bookmarkStart w:id="41" w:name="sample-sizes"/>
    <w:p>
      <w:pPr>
        <w:pStyle w:val="Heading2"/>
      </w:pPr>
      <w:r>
        <w:t xml:space="preserve">Sample Sizes</w:t>
      </w:r>
    </w:p>
    <w:p>
      <w:pPr>
        <w:pStyle w:val="FirstParagraph"/>
      </w:pPr>
      <w:r>
        <w:t xml:space="preserve">Measured across 72,058 raw measurements (50,736 clean):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Count</w:t>
            </w:r>
          </w:p>
        </w:tc>
        <w:tc>
          <w:tcPr/>
          <w:p>
            <w:pPr>
              <w:pStyle w:val="Compact"/>
            </w:pPr>
            <w:r>
              <w:t xml:space="preserve">% of Clean</w:t>
            </w:r>
          </w:p>
        </w:tc>
      </w:tr>
      <w:tr>
        <w:tc>
          <w:tcPr/>
          <w:p>
            <w:pPr>
              <w:pStyle w:val="Compact"/>
            </w:pPr>
            <w:r>
              <w:t xml:space="preserve">Normal</w:t>
            </w:r>
          </w:p>
        </w:tc>
        <w:tc>
          <w:tcPr/>
          <w:p>
            <w:pPr>
              <w:pStyle w:val="Compact"/>
            </w:pPr>
            <w:r>
              <w:t xml:space="preserve">38,149</w:t>
            </w:r>
          </w:p>
        </w:tc>
        <w:tc>
          <w:tcPr/>
          <w:p>
            <w:pPr>
              <w:pStyle w:val="Compact"/>
            </w:pPr>
            <w:r>
              <w:t xml:space="preserve">75.2%</w:t>
            </w:r>
          </w:p>
        </w:tc>
      </w:tr>
      <w:tr>
        <w:tc>
          <w:tcPr/>
          <w:p>
            <w:pPr>
              <w:pStyle w:val="Compact"/>
            </w:pPr>
            <w:r>
              <w:t xml:space="preserve">Mild</w:t>
            </w:r>
          </w:p>
        </w:tc>
        <w:tc>
          <w:tcPr/>
          <w:p>
            <w:pPr>
              <w:pStyle w:val="Compact"/>
            </w:pPr>
            <w:r>
              <w:t xml:space="preserve">4,188</w:t>
            </w:r>
          </w:p>
        </w:tc>
        <w:tc>
          <w:tcPr/>
          <w:p>
            <w:pPr>
              <w:pStyle w:val="Compact"/>
            </w:pPr>
            <w:r>
              <w:t xml:space="preserve">8.3%</w:t>
            </w:r>
          </w:p>
        </w:tc>
      </w:tr>
      <w:tr>
        <w:tc>
          <w:tcPr/>
          <w:p>
            <w:pPr>
              <w:pStyle w:val="Compact"/>
            </w:pPr>
            <w:r>
              <w:t xml:space="preserve">Moderate</w:t>
            </w:r>
          </w:p>
        </w:tc>
        <w:tc>
          <w:tcPr/>
          <w:p>
            <w:pPr>
              <w:pStyle w:val="Compact"/>
            </w:pPr>
            <w:r>
              <w:t xml:space="preserve">3,240</w:t>
            </w:r>
          </w:p>
        </w:tc>
        <w:tc>
          <w:tcPr/>
          <w:p>
            <w:pPr>
              <w:pStyle w:val="Compact"/>
            </w:pPr>
            <w:r>
              <w:t xml:space="preserve">6.4%</w:t>
            </w:r>
          </w:p>
        </w:tc>
      </w:tr>
      <w:tr>
        <w:tc>
          <w:tcPr/>
          <w:p>
            <w:pPr>
              <w:pStyle w:val="Compact"/>
            </w:pPr>
            <w:r>
              <w:t xml:space="preserve">Moderately Severe</w:t>
            </w:r>
          </w:p>
        </w:tc>
        <w:tc>
          <w:tcPr/>
          <w:p>
            <w:pPr>
              <w:pStyle w:val="Compact"/>
            </w:pPr>
            <w:r>
              <w:t xml:space="preserve">3,104</w:t>
            </w:r>
          </w:p>
        </w:tc>
        <w:tc>
          <w:tcPr/>
          <w:p>
            <w:pPr>
              <w:pStyle w:val="Compact"/>
            </w:pPr>
            <w:r>
              <w:t xml:space="preserve">6.1%</w:t>
            </w:r>
          </w:p>
        </w:tc>
      </w:tr>
      <w:tr>
        <w:tc>
          <w:tcPr/>
          <w:p>
            <w:pPr>
              <w:pStyle w:val="Compact"/>
            </w:pPr>
            <w:r>
              <w:t xml:space="preserve">Severe</w:t>
            </w:r>
          </w:p>
        </w:tc>
        <w:tc>
          <w:tcPr/>
          <w:p>
            <w:pPr>
              <w:pStyle w:val="Compact"/>
            </w:pPr>
            <w:r>
              <w:t xml:space="preserve">1,831</w:t>
            </w:r>
          </w:p>
        </w:tc>
        <w:tc>
          <w:tcPr/>
          <w:p>
            <w:pPr>
              <w:pStyle w:val="Compact"/>
            </w:pPr>
            <w:r>
              <w:t xml:space="preserve">3.6%</w:t>
            </w:r>
          </w:p>
        </w:tc>
      </w:tr>
      <w:tr>
        <w:tc>
          <w:tcPr/>
          <w:p>
            <w:pPr>
              <w:pStyle w:val="Compact"/>
            </w:pPr>
            <w:r>
              <w:t xml:space="preserve">Profound</w:t>
            </w:r>
          </w:p>
        </w:tc>
        <w:tc>
          <w:tcPr/>
          <w:p>
            <w:pPr>
              <w:pStyle w:val="Compact"/>
            </w:pPr>
            <w:r>
              <w:t xml:space="preserve">224</w:t>
            </w:r>
          </w:p>
        </w:tc>
        <w:tc>
          <w:tcPr/>
          <w:p>
            <w:pPr>
              <w:pStyle w:val="Compact"/>
            </w:pPr>
            <w:r>
              <w:t xml:space="preserve">0.4%</w:t>
            </w:r>
          </w:p>
        </w:tc>
      </w:tr>
    </w:tbl>
    <w:p>
      <w:pPr>
        <w:pStyle w:val="BlockText"/>
      </w:pPr>
      <w:r>
        <w:rPr>
          <w:b/>
          <w:bCs/>
        </w:rPr>
        <w:t xml:space="preserve">Note:</w:t>
      </w:r>
      <w:r>
        <w:t xml:space="preserve"> </w:t>
      </w:r>
      <w:r>
        <w:t xml:space="preserve">the deployed membership functions were optimised on the 2017–2020 NHANES training set (the cycle described in the optimisation sections above) and are used unchanged for validation on the 1999–2016 adult cycles reported here. The FIS structure is cycle-independent; re-optimising on the present training set is a design option that would require re-deploying new parameters (see Limitations).</w:t>
      </w:r>
    </w:p>
    <w:bookmarkEnd w:id="41"/>
    <w:bookmarkStart w:id="46" w:name="optimised-parameters"/>
    <w:p>
      <w:pPr>
        <w:pStyle w:val="Heading2"/>
      </w:pPr>
      <w:r>
        <w:t xml:space="preserve">Optimised Parameters</w:t>
      </w:r>
    </w:p>
    <w:p>
      <w:pPr>
        <w:pStyle w:val="FirstParagraph"/>
      </w:pPr>
      <w:r>
        <w:rPr>
          <w:b/>
          <w:bCs/>
        </w:rPr>
        <w:t xml:space="preserve">Deployed (overlap-enforced, aggregated across 7 frequencies) — currently in use: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d</w:t>
            </w:r>
          </w:p>
        </w:tc>
      </w:tr>
      <w:tr>
        <w:tc>
          <w:tcPr/>
          <w:p>
            <w:pPr>
              <w:pStyle w:val="Compact"/>
            </w:pPr>
            <w:r>
              <w:t xml:space="preserve">Normal</w:t>
            </w:r>
          </w:p>
        </w:tc>
        <w:tc>
          <w:tcPr/>
          <w:p>
            <w:pPr>
              <w:pStyle w:val="Compact"/>
            </w:pPr>
            <w:r>
              <w:t xml:space="preserve">0.0</w:t>
            </w:r>
          </w:p>
        </w:tc>
        <w:tc>
          <w:tcPr/>
          <w:p>
            <w:pPr>
              <w:pStyle w:val="Compact"/>
            </w:pPr>
            <w:r>
              <w:t xml:space="preserve">0.0</w:t>
            </w:r>
          </w:p>
        </w:tc>
        <w:tc>
          <w:tcPr/>
          <w:p>
            <w:pPr>
              <w:pStyle w:val="Compact"/>
            </w:pPr>
            <w:r>
              <w:t xml:space="preserve">14.3</w:t>
            </w:r>
          </w:p>
        </w:tc>
        <w:tc>
          <w:tcPr/>
          <w:p>
            <w:pPr>
              <w:pStyle w:val="Compact"/>
            </w:pPr>
            <w:r>
              <w:t xml:space="preserve">28.0</w:t>
            </w:r>
          </w:p>
        </w:tc>
      </w:tr>
      <w:tr>
        <w:tc>
          <w:tcPr/>
          <w:p>
            <w:pPr>
              <w:pStyle w:val="Compact"/>
            </w:pPr>
            <w:r>
              <w:t xml:space="preserve">Mild</w:t>
            </w:r>
          </w:p>
        </w:tc>
        <w:tc>
          <w:tcPr/>
          <w:p>
            <w:pPr>
              <w:pStyle w:val="Compact"/>
            </w:pPr>
            <w:r>
              <w:t xml:space="preserve">26.0</w:t>
            </w:r>
          </w:p>
        </w:tc>
        <w:tc>
          <w:tcPr/>
          <w:p>
            <w:pPr>
              <w:pStyle w:val="Compact"/>
            </w:pPr>
            <w:r>
              <w:t xml:space="preserve">30.0</w:t>
            </w:r>
          </w:p>
        </w:tc>
        <w:tc>
          <w:tcPr/>
          <w:p>
            <w:pPr>
              <w:pStyle w:val="Compact"/>
            </w:pPr>
            <w:r>
              <w:t xml:space="preserve">39.3</w:t>
            </w:r>
          </w:p>
        </w:tc>
        <w:tc>
          <w:tcPr/>
          <w:p>
            <w:pPr>
              <w:pStyle w:val="Compact"/>
            </w:pPr>
            <w:r>
              <w:t xml:space="preserve">44.0</w:t>
            </w:r>
          </w:p>
        </w:tc>
      </w:tr>
      <w:tr>
        <w:tc>
          <w:tcPr/>
          <w:p>
            <w:pPr>
              <w:pStyle w:val="Compact"/>
            </w:pPr>
            <w:r>
              <w:t xml:space="preserve">Moderate</w:t>
            </w:r>
          </w:p>
        </w:tc>
        <w:tc>
          <w:tcPr/>
          <w:p>
            <w:pPr>
              <w:pStyle w:val="Compact"/>
            </w:pPr>
            <w:r>
              <w:t xml:space="preserve">41.0</w:t>
            </w:r>
          </w:p>
        </w:tc>
        <w:tc>
          <w:tcPr/>
          <w:p>
            <w:pPr>
              <w:pStyle w:val="Compact"/>
            </w:pPr>
            <w:r>
              <w:t xml:space="preserve">45.0</w:t>
            </w:r>
          </w:p>
        </w:tc>
        <w:tc>
          <w:tcPr/>
          <w:p>
            <w:pPr>
              <w:pStyle w:val="Compact"/>
            </w:pPr>
            <w:r>
              <w:t xml:space="preserve">53.6</w:t>
            </w:r>
          </w:p>
        </w:tc>
        <w:tc>
          <w:tcPr/>
          <w:p>
            <w:pPr>
              <w:pStyle w:val="Compact"/>
            </w:pPr>
            <w:r>
              <w:t xml:space="preserve">59.0</w:t>
            </w:r>
          </w:p>
        </w:tc>
      </w:tr>
      <w:tr>
        <w:tc>
          <w:tcPr/>
          <w:p>
            <w:pPr>
              <w:pStyle w:val="Compact"/>
            </w:pPr>
            <w:r>
              <w:t xml:space="preserve">Moderately Severe</w:t>
            </w:r>
          </w:p>
        </w:tc>
        <w:tc>
          <w:tcPr/>
          <w:p>
            <w:pPr>
              <w:pStyle w:val="Compact"/>
            </w:pPr>
            <w:r>
              <w:t xml:space="preserve">56.0</w:t>
            </w:r>
          </w:p>
        </w:tc>
        <w:tc>
          <w:tcPr/>
          <w:p>
            <w:pPr>
              <w:pStyle w:val="Compact"/>
            </w:pPr>
            <w:r>
              <w:t xml:space="preserve">60.0</w:t>
            </w:r>
          </w:p>
        </w:tc>
        <w:tc>
          <w:tcPr/>
          <w:p>
            <w:pPr>
              <w:pStyle w:val="Compact"/>
            </w:pPr>
            <w:r>
              <w:t xml:space="preserve">67.9</w:t>
            </w:r>
          </w:p>
        </w:tc>
        <w:tc>
          <w:tcPr/>
          <w:p>
            <w:pPr>
              <w:pStyle w:val="Compact"/>
            </w:pPr>
            <w:r>
              <w:t xml:space="preserve">74.0</w:t>
            </w:r>
          </w:p>
        </w:tc>
      </w:tr>
      <w:tr>
        <w:tc>
          <w:tcPr/>
          <w:p>
            <w:pPr>
              <w:pStyle w:val="Compact"/>
            </w:pPr>
            <w:r>
              <w:t xml:space="preserve">Severe</w:t>
            </w:r>
          </w:p>
        </w:tc>
        <w:tc>
          <w:tcPr/>
          <w:p>
            <w:pPr>
              <w:pStyle w:val="Compact"/>
            </w:pPr>
            <w:r>
              <w:t xml:space="preserve">71.0</w:t>
            </w:r>
          </w:p>
        </w:tc>
        <w:tc>
          <w:tcPr/>
          <w:p>
            <w:pPr>
              <w:pStyle w:val="Compact"/>
            </w:pPr>
            <w:r>
              <w:t xml:space="preserve">75.0</w:t>
            </w:r>
          </w:p>
        </w:tc>
        <w:tc>
          <w:tcPr/>
          <w:p>
            <w:pPr>
              <w:pStyle w:val="Compact"/>
            </w:pPr>
            <w:r>
              <w:t xml:space="preserve">85.4</w:t>
            </w:r>
          </w:p>
        </w:tc>
        <w:tc>
          <w:tcPr/>
          <w:p>
            <w:pPr>
              <w:pStyle w:val="Compact"/>
            </w:pPr>
            <w:r>
              <w:t xml:space="preserve">94.0</w:t>
            </w:r>
          </w:p>
        </w:tc>
      </w:tr>
      <w:tr>
        <w:tc>
          <w:tcPr/>
          <w:p>
            <w:pPr>
              <w:pStyle w:val="Compact"/>
            </w:pPr>
            <w:r>
              <w:t xml:space="preserve">Profound</w:t>
            </w:r>
          </w:p>
        </w:tc>
        <w:tc>
          <w:tcPr/>
          <w:p>
            <w:pPr>
              <w:pStyle w:val="Compact"/>
            </w:pPr>
            <w:r>
              <w:t xml:space="preserve">91.9</w:t>
            </w:r>
          </w:p>
        </w:tc>
        <w:tc>
          <w:tcPr/>
          <w:p>
            <w:pPr>
              <w:pStyle w:val="Compact"/>
            </w:pPr>
            <w:r>
              <w:t xml:space="preserve">94.4</w:t>
            </w:r>
          </w:p>
        </w:tc>
        <w:tc>
          <w:tcPr/>
          <w:p>
            <w:pPr>
              <w:pStyle w:val="Compact"/>
            </w:pPr>
            <w:r>
              <w:t xml:space="preserve">103.5</w:t>
            </w:r>
          </w:p>
        </w:tc>
        <w:tc>
          <w:tcPr/>
          <w:p>
            <w:pPr>
              <w:pStyle w:val="Compact"/>
            </w:pPr>
            <w:r>
              <w:t xml:space="preserve">120.0</w:t>
            </w:r>
          </w:p>
        </w:tc>
      </w:tr>
    </w:tbl>
    <w:p>
      <w:pPr>
        <w:pStyle w:val="BodyText"/>
      </w:pPr>
      <w:r>
        <w:rPr>
          <w:b/>
          <w:bCs/>
        </w:rPr>
        <w:t xml:space="preserve">How these relate to the heuristic parameters.</w:t>
      </w:r>
      <w:r>
        <w:t xml:space="preserve"> </w:t>
      </w:r>
      <w:r>
        <w:t xml:space="preserve">The original (pre-optimisation) membership functions used fixed, expert-chosen shoulders with roughly 10 dB of overlap at every WHO boundary — e.g. </w:t>
      </w:r>
      <w:r>
        <w:rPr>
          <w:i/>
          <w:iCs/>
        </w:rPr>
        <w:t xml:space="preserve">Normal</w:t>
      </w:r>
      <w:r>
        <w:t xml:space="preserve"> </w:t>
      </w:r>
      <w:r>
        <w:t xml:space="preserve">[0, 0, 20, 30] and</w:t>
      </w:r>
      <w:r>
        <w:t xml:space="preserve"> </w:t>
      </w:r>
      <w:r>
        <w:rPr>
          <w:i/>
          <w:iCs/>
        </w:rPr>
        <w:t xml:space="preserve">Mild</w:t>
      </w:r>
      <w:r>
        <w:t xml:space="preserve"> </w:t>
      </w:r>
      <w:r>
        <w:t xml:space="preserve">[20, 26, 35, 45] overlapped across 20–30 dB. That width was chosen to mirror the ±5–10 dB test–retest variability of pure-tone audiometry, the reproducibility limit of the measurement itself</w:t>
      </w:r>
      <w:r>
        <w:t xml:space="preserve"> </w:t>
      </w:r>
      <w:r>
        <w:t xml:space="preserve">(Miller and Polansky 2004)</w:t>
      </w:r>
      <w:r>
        <w:t xml:space="preserve">. The percentile fit (a = P5−2, b = P25, c = P75, d = P95+2) then tightened the functions to the NHANES population distribution. As often happens with percentile fits to well-separated clinical categories, the raw fits left small</w:t>
      </w:r>
      <w:r>
        <w:t xml:space="preserve"> </w:t>
      </w:r>
      <w:r>
        <w:rPr>
          <w:b/>
          <w:bCs/>
        </w:rPr>
        <w:t xml:space="preserve">gaps</w:t>
      </w:r>
      <w:r>
        <w:t xml:space="preserve"> </w:t>
      </w:r>
      <w:r>
        <w:t xml:space="preserve">between neighbouring functions at the WHO boundaries (e.g. Normal</w:t>
      </w:r>
      <w:r>
        <w:t xml:space="preserve"> </w:t>
      </w:r>
      <w:r>
        <w:rPr>
          <w:i/>
          <w:iCs/>
        </w:rPr>
        <w:t xml:space="preserve">d</w:t>
      </w:r>
      <w:r>
        <w:t xml:space="preserve"> </w:t>
      </w:r>
      <w:r>
        <w:t xml:space="preserve">≈ 26.3, Mild</w:t>
      </w:r>
      <w:r>
        <w:t xml:space="preserve"> </w:t>
      </w:r>
      <w:r>
        <w:rPr>
          <w:i/>
          <w:iCs/>
        </w:rPr>
        <w:t xml:space="preserve">a</w:t>
      </w:r>
      <w:r>
        <w:t xml:space="preserve"> </w:t>
      </w:r>
      <w:r>
        <w:t xml:space="preserve">≈ 28.0). Because a gap would defeat the fuzzy property — some thresholds would belong to no category — the shoulders were extended toward each other to guarantee a minimum overlap at every boundary.</w:t>
      </w:r>
    </w:p>
    <w:p>
      <w:pPr>
        <w:pStyle w:val="BodyText"/>
      </w:pPr>
      <w:r>
        <w:rPr>
          <w:b/>
          <w:bCs/>
        </w:rPr>
        <w:t xml:space="preserve">Overlap width comparison (deployed vs. original heuristic parameters):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Boundary</w:t>
            </w:r>
          </w:p>
        </w:tc>
        <w:tc>
          <w:tcPr/>
          <w:p>
            <w:pPr>
              <w:pStyle w:val="Compact"/>
            </w:pPr>
            <w:r>
              <w:t xml:space="preserve">Original Overlap</w:t>
            </w:r>
          </w:p>
        </w:tc>
        <w:tc>
          <w:tcPr/>
          <w:p>
            <w:pPr>
              <w:pStyle w:val="Compact"/>
            </w:pPr>
            <w:r>
              <w:t xml:space="preserve">Deployed Overlap</w:t>
            </w:r>
          </w:p>
        </w:tc>
        <w:tc>
          <w:tcPr/>
          <w:p>
            <w:pPr>
              <w:pStyle w:val="Compact"/>
            </w:pPr>
            <w:r>
              <w:t xml:space="preserve">Change</w:t>
            </w:r>
          </w:p>
        </w:tc>
      </w:tr>
      <w:tr>
        <w:tc>
          <w:tcPr/>
          <w:p>
            <w:pPr>
              <w:pStyle w:val="Compact"/>
            </w:pPr>
            <w:r>
              <w:t xml:space="preserve">Normal → Mild</w:t>
            </w:r>
          </w:p>
        </w:tc>
        <w:tc>
          <w:tcPr/>
          <w:p>
            <w:pPr>
              <w:pStyle w:val="Compact"/>
            </w:pPr>
            <w:r>
              <w:t xml:space="preserve">+10.0 dB</w:t>
            </w:r>
          </w:p>
        </w:tc>
        <w:tc>
          <w:tcPr/>
          <w:p>
            <w:pPr>
              <w:pStyle w:val="Compact"/>
            </w:pPr>
            <w:r>
              <w:t xml:space="preserve">+2.0 dB</w:t>
            </w:r>
          </w:p>
        </w:tc>
        <w:tc>
          <w:tcPr/>
          <w:p>
            <w:pPr>
              <w:pStyle w:val="Compact"/>
            </w:pPr>
            <w:r>
              <w:t xml:space="preserve">−8.0 dB</w:t>
            </w:r>
          </w:p>
        </w:tc>
      </w:tr>
      <w:tr>
        <w:tc>
          <w:tcPr/>
          <w:p>
            <w:pPr>
              <w:pStyle w:val="Compact"/>
            </w:pPr>
            <w:r>
              <w:t xml:space="preserve">Mild → Moderate</w:t>
            </w:r>
          </w:p>
        </w:tc>
        <w:tc>
          <w:tcPr/>
          <w:p>
            <w:pPr>
              <w:pStyle w:val="Compact"/>
            </w:pPr>
            <w:r>
              <w:t xml:space="preserve">+10.0 dB</w:t>
            </w:r>
          </w:p>
        </w:tc>
        <w:tc>
          <w:tcPr/>
          <w:p>
            <w:pPr>
              <w:pStyle w:val="Compact"/>
            </w:pPr>
            <w:r>
              <w:t xml:space="preserve">+3.0 dB</w:t>
            </w:r>
          </w:p>
        </w:tc>
        <w:tc>
          <w:tcPr/>
          <w:p>
            <w:pPr>
              <w:pStyle w:val="Compact"/>
            </w:pPr>
            <w:r>
              <w:t xml:space="preserve">−7.0 dB</w:t>
            </w:r>
          </w:p>
        </w:tc>
      </w:tr>
      <w:tr>
        <w:tc>
          <w:tcPr/>
          <w:p>
            <w:pPr>
              <w:pStyle w:val="Compact"/>
            </w:pPr>
            <w:r>
              <w:t xml:space="preserve">Moderate → Mod-Sev</w:t>
            </w:r>
          </w:p>
        </w:tc>
        <w:tc>
          <w:tcPr/>
          <w:p>
            <w:pPr>
              <w:pStyle w:val="Compact"/>
            </w:pPr>
            <w:r>
              <w:t xml:space="preserve">+10.0 dB</w:t>
            </w:r>
          </w:p>
        </w:tc>
        <w:tc>
          <w:tcPr/>
          <w:p>
            <w:pPr>
              <w:pStyle w:val="Compact"/>
            </w:pPr>
            <w:r>
              <w:t xml:space="preserve">+3.0 dB</w:t>
            </w:r>
          </w:p>
        </w:tc>
        <w:tc>
          <w:tcPr/>
          <w:p>
            <w:pPr>
              <w:pStyle w:val="Compact"/>
            </w:pPr>
            <w:r>
              <w:t xml:space="preserve">−7.0 dB</w:t>
            </w:r>
          </w:p>
        </w:tc>
      </w:tr>
      <w:tr>
        <w:tc>
          <w:tcPr/>
          <w:p>
            <w:pPr>
              <w:pStyle w:val="Compact"/>
            </w:pPr>
            <w:r>
              <w:t xml:space="preserve">Mod-Sev → Severe</w:t>
            </w:r>
          </w:p>
        </w:tc>
        <w:tc>
          <w:tcPr/>
          <w:p>
            <w:pPr>
              <w:pStyle w:val="Compact"/>
            </w:pPr>
            <w:r>
              <w:t xml:space="preserve">+10.0 dB</w:t>
            </w:r>
          </w:p>
        </w:tc>
        <w:tc>
          <w:tcPr/>
          <w:p>
            <w:pPr>
              <w:pStyle w:val="Compact"/>
            </w:pPr>
            <w:r>
              <w:t xml:space="preserve">+3.0 dB</w:t>
            </w:r>
          </w:p>
        </w:tc>
        <w:tc>
          <w:tcPr/>
          <w:p>
            <w:pPr>
              <w:pStyle w:val="Compact"/>
            </w:pPr>
            <w:r>
              <w:t xml:space="preserve">−7.0 dB</w:t>
            </w:r>
          </w:p>
        </w:tc>
      </w:tr>
      <w:tr>
        <w:tc>
          <w:tcPr/>
          <w:p>
            <w:pPr>
              <w:pStyle w:val="Compact"/>
            </w:pPr>
            <w:r>
              <w:t xml:space="preserve">Severe → Profound</w:t>
            </w:r>
          </w:p>
        </w:tc>
        <w:tc>
          <w:tcPr/>
          <w:p>
            <w:pPr>
              <w:pStyle w:val="Compact"/>
            </w:pPr>
            <w:r>
              <w:t xml:space="preserve">+10.0 dB</w:t>
            </w:r>
          </w:p>
        </w:tc>
        <w:tc>
          <w:tcPr/>
          <w:p>
            <w:pPr>
              <w:pStyle w:val="Compact"/>
            </w:pPr>
            <w:r>
              <w:t xml:space="preserve">+2.1 dB</w:t>
            </w:r>
          </w:p>
        </w:tc>
        <w:tc>
          <w:tcPr/>
          <w:p>
            <w:pPr>
              <w:pStyle w:val="Compact"/>
            </w:pPr>
            <w:r>
              <w:t xml:space="preserve">−7.9 dB</w:t>
            </w:r>
          </w:p>
        </w:tc>
      </w:tr>
    </w:tbl>
    <w:p>
      <w:pPr>
        <w:pStyle w:val="BodyText"/>
      </w:pPr>
      <w:r>
        <w:t xml:space="preserve">The deployed functions therefore show</w:t>
      </w:r>
      <w:r>
        <w:t xml:space="preserve"> </w:t>
      </w:r>
      <w:r>
        <w:rPr>
          <w:b/>
          <w:bCs/>
        </w:rPr>
        <w:t xml:space="preserve">tight, controlled overlap of 2–3 dB</w:t>
      </w:r>
      <w:r>
        <w:t xml:space="preserve"> </w:t>
      </w:r>
      <w:r>
        <w:t xml:space="preserve">at every boundary. This is a documented design parameter: the overlap is deliberately smaller than the ±5–10 dB test–retest variability of audiometry, so the fuzzy zone is confined within the reproducibility limit of the measurement while still guaranteeing that no threshold is left unclassified</w:t>
      </w:r>
      <w:r>
        <w:t xml:space="preserve"> </w:t>
      </w:r>
      <w:r>
        <w:t xml:space="preserve">(Miller and Polansky 2004)</w:t>
      </w:r>
      <w:r>
        <w:t xml:space="preserve">.</w:t>
      </w:r>
    </w:p>
    <w:tbl>
      <w:tblPr>
        <w:tblStyle w:val="Table"/>
        <w:tblW w:type="pct" w:w="5000"/>
        <w:tblLayout w:type="fixed"/>
        <w:tblLook w:firstRow="0" w:lastRow="0" w:firstColumn="0" w:lastColumn="0" w:noHBand="0" w:noVBand="0" w:val="0000"/>
      </w:tblPr>
      <w:tblGrid>
        <w:gridCol w:w="7920"/>
      </w:tblGrid>
      <w:tr>
        <w:tc>
          <w:tcPr/>
          <w:bookmarkStart w:id="45" w:name="fig-mf-opt"/>
          <w:p>
            <w:pPr>
              <w:pStyle w:val="Compact"/>
              <w:jc w:val="center"/>
            </w:pPr>
            <w:r>
              <w:drawing>
                <wp:inline>
                  <wp:extent cx="5334000" cy="3054529"/>
                  <wp:effectExtent b="0" l="0" r="0" t="0"/>
                  <wp:docPr descr="" title="" id="43" name="Picture"/>
                  <a:graphic>
                    <a:graphicData uri="http://schemas.openxmlformats.org/drawingml/2006/picture">
                      <pic:pic>
                        <pic:nvPicPr>
                          <pic:cNvPr descr="data/output/mf_optimization.png" id="44" name="Picture"/>
                          <pic:cNvPicPr>
                            <a:picLocks noChangeArrowheads="1" noChangeAspect="1"/>
                          </pic:cNvPicPr>
                        </pic:nvPicPr>
                        <pic:blipFill>
                          <a:blip r:embed="rId42"/>
                          <a:stretch>
                            <a:fillRect/>
                          </a:stretch>
                        </pic:blipFill>
                        <pic:spPr bwMode="auto">
                          <a:xfrm>
                            <a:off x="0" y="0"/>
                            <a:ext cx="5334000" cy="3054529"/>
                          </a:xfrm>
                          <a:prstGeom prst="rect">
                            <a:avLst/>
                          </a:prstGeom>
                          <a:noFill/>
                          <a:ln w="9525">
                            <a:noFill/>
                            <a:headEnd/>
                            <a:tailEnd/>
                          </a:ln>
                        </pic:spPr>
                      </pic:pic>
                    </a:graphicData>
                  </a:graphic>
                </wp:inline>
              </w:drawing>
            </w:r>
          </w:p>
          <w:p>
            <w:pPr>
              <w:jc w:val="center"/>
            </w:pPr>
            <w:pPr>
              <w:jc w:val="left"/>
              <w:spacing w:before="200"/>
              <w:pStyle w:val="ImageCaption"/>
            </w:pPr>
            <w:r>
              <w:t xml:space="preserve">Figure 6: Membership function optimisation comparison</w:t>
            </w:r>
          </w:p>
          <w:bookmarkEnd w:id="45"/>
        </w:tc>
      </w:tr>
    </w:tbl>
    <w:bookmarkEnd w:id="46"/>
    <w:bookmarkStart w:id="51" w:name="final-membership-functions"/>
    <w:p>
      <w:pPr>
        <w:pStyle w:val="Heading2"/>
      </w:pPr>
      <w:r>
        <w:t xml:space="preserve">Final Membership Functions</w:t>
      </w:r>
    </w:p>
    <w:tbl>
      <w:tblPr>
        <w:tblStyle w:val="Table"/>
        <w:tblW w:type="pct" w:w="5000"/>
        <w:tblLayout w:type="fixed"/>
        <w:tblLook w:firstRow="0" w:lastRow="0" w:firstColumn="0" w:lastColumn="0" w:noHBand="0" w:noVBand="0" w:val="0000"/>
      </w:tblPr>
      <w:tblGrid>
        <w:gridCol w:w="7920"/>
      </w:tblGrid>
      <w:tr>
        <w:tc>
          <w:tcPr/>
          <w:bookmarkStart w:id="50" w:name="fig-mf-final"/>
          <w:p>
            <w:pPr>
              <w:pStyle w:val="Compact"/>
              <w:jc w:val="center"/>
            </w:pPr>
            <w:r>
              <w:drawing>
                <wp:inline>
                  <wp:extent cx="5334000" cy="2902085"/>
                  <wp:effectExtent b="0" l="0" r="0" t="0"/>
                  <wp:docPr descr="" title="" id="48" name="Picture"/>
                  <a:graphic>
                    <a:graphicData uri="http://schemas.openxmlformats.org/drawingml/2006/picture">
                      <pic:pic>
                        <pic:nvPicPr>
                          <pic:cNvPr descr="figures/fig1_membership_functions.png" id="49" name="Picture"/>
                          <pic:cNvPicPr>
                            <a:picLocks noChangeArrowheads="1" noChangeAspect="1"/>
                          </pic:cNvPicPr>
                        </pic:nvPicPr>
                        <pic:blipFill>
                          <a:blip r:embed="rId47"/>
                          <a:stretch>
                            <a:fillRect/>
                          </a:stretch>
                        </pic:blipFill>
                        <pic:spPr bwMode="auto">
                          <a:xfrm>
                            <a:off x="0" y="0"/>
                            <a:ext cx="5334000" cy="2902085"/>
                          </a:xfrm>
                          <a:prstGeom prst="rect">
                            <a:avLst/>
                          </a:prstGeom>
                          <a:noFill/>
                          <a:ln w="9525">
                            <a:noFill/>
                            <a:headEnd/>
                            <a:tailEnd/>
                          </a:ln>
                        </pic:spPr>
                      </pic:pic>
                    </a:graphicData>
                  </a:graphic>
                </wp:inline>
              </w:drawing>
            </w:r>
          </w:p>
          <w:p>
            <w:pPr>
              <w:jc w:val="center"/>
            </w:pPr>
            <w:pPr>
              <w:jc w:val="left"/>
              <w:spacing w:before="200"/>
              <w:pStyle w:val="ImageCaption"/>
            </w:pPr>
            <w:r>
              <w:t xml:space="preserve">Figure 7: Six overlapping trapezoidal membership functions for hearing loss severity</w:t>
            </w:r>
          </w:p>
          <w:bookmarkEnd w:id="50"/>
        </w:tc>
      </w:tr>
    </w:tbl>
    <w:p>
      <w:pPr>
        <w:pStyle w:val="BodyText"/>
      </w:pPr>
      <w:r>
        <w:t xml:space="preserve">The final (deployed) membership functions shown in Figure 4 exhibit approximately 2–3 dB of overlap with their neighbours at the classical WHO boundary points. For example, at 27 dB HL — just above the crisp 25/26 dB normal–mild cut-off — the system returns</w:t>
      </w:r>
      <w:r>
        <w:t xml:space="preserve"> </w:t>
      </w:r>
      <w:r>
        <w:rPr>
          <w:i/>
          <w:iCs/>
        </w:rPr>
        <w:t xml:space="preserve">Normal</w:t>
      </w:r>
      <w:r>
        <w:t xml:space="preserve"> </w:t>
      </w:r>
      <w:r>
        <w:t xml:space="preserve">μ = 0.07 and</w:t>
      </w:r>
      <w:r>
        <w:t xml:space="preserve"> </w:t>
      </w:r>
      <w:r>
        <w:rPr>
          <w:i/>
          <w:iCs/>
        </w:rPr>
        <w:t xml:space="preserve">Mild</w:t>
      </w:r>
      <w:r>
        <w:t xml:space="preserve"> </w:t>
      </w:r>
      <w:r>
        <w:t xml:space="preserve">μ = 0.25, and at 28 dB HL</w:t>
      </w:r>
      <w:r>
        <w:t xml:space="preserve"> </w:t>
      </w:r>
      <w:r>
        <w:rPr>
          <w:i/>
          <w:iCs/>
        </w:rPr>
        <w:t xml:space="preserve">Normal</w:t>
      </w:r>
      <w:r>
        <w:t xml:space="preserve"> </w:t>
      </w:r>
      <w:r>
        <w:t xml:space="preserve">μ = 0.00 with</w:t>
      </w:r>
      <w:r>
        <w:t xml:space="preserve"> </w:t>
      </w:r>
      <w:r>
        <w:rPr>
          <w:i/>
          <w:iCs/>
        </w:rPr>
        <w:t xml:space="preserve">Mild</w:t>
      </w:r>
      <w:r>
        <w:t xml:space="preserve"> </w:t>
      </w:r>
      <w:r>
        <w:t xml:space="preserve">μ = 0.50: a graded transition instead of a forced binary label.</w:t>
      </w:r>
    </w:p>
    <w:bookmarkEnd w:id="51"/>
    <w:bookmarkEnd w:id="52"/>
    <w:bookmarkStart w:id="61" w:name="fuzzy-inference-system-architecture"/>
    <w:p>
      <w:pPr>
        <w:pStyle w:val="Heading1"/>
      </w:pPr>
      <w:r>
        <w:t xml:space="preserve">Fuzzy Inference System Architecture</w:t>
      </w:r>
    </w:p>
    <w:bookmarkStart w:id="53" w:name="system-overview"/>
    <w:p>
      <w:pPr>
        <w:pStyle w:val="Heading2"/>
      </w:pPr>
      <w:r>
        <w:t xml:space="preserve">System Overview</w:t>
      </w:r>
    </w:p>
    <w:p>
      <w:pPr>
        <w:pStyle w:val="FirstParagraph"/>
      </w:pPr>
      <w:r>
        <w:t xml:space="preserve">A Mamdani-type FIS with</w:t>
      </w:r>
      <w:r>
        <w:t xml:space="preserve"> </w:t>
      </w:r>
      <w:r>
        <w:rPr>
          <w:b/>
          <w:bCs/>
        </w:rPr>
        <w:t xml:space="preserve">48 expert-derived rules</w:t>
      </w:r>
      <w:r>
        <w:t xml:space="preserve"> </w:t>
      </w:r>
      <w:r>
        <w:t xml:space="preserve">was constructed, organised into four functional groups: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Rule Group</w:t>
            </w:r>
          </w:p>
        </w:tc>
        <w:tc>
          <w:tcPr/>
          <w:p>
            <w:pPr>
              <w:pStyle w:val="Compact"/>
            </w:pPr>
            <w:r>
              <w:t xml:space="preserve">Count</w:t>
            </w:r>
          </w:p>
        </w:tc>
        <w:tc>
          <w:tcPr/>
          <w:p>
            <w:pPr>
              <w:pStyle w:val="Compact"/>
            </w:pPr>
            <w:r>
              <w:t xml:space="preserve">Function</w:t>
            </w:r>
          </w:p>
        </w:tc>
      </w:tr>
      <w:tr>
        <w:tc>
          <w:tcPr/>
          <w:p>
            <w:pPr>
              <w:pStyle w:val="Compact"/>
            </w:pPr>
            <w:r>
              <w:t xml:space="preserve">Severity rules</w:t>
            </w:r>
          </w:p>
        </w:tc>
        <w:tc>
          <w:tcPr/>
          <w:p>
            <w:pPr>
              <w:pStyle w:val="Compact"/>
            </w:pPr>
            <w:r>
              <w:t xml:space="preserve">12</w:t>
            </w:r>
          </w:p>
        </w:tc>
        <w:tc>
          <w:tcPr/>
          <w:p>
            <w:pPr>
              <w:pStyle w:val="Compact"/>
            </w:pPr>
            <w:r>
              <w:t xml:space="preserve">Map fuzzified thresholds → severity output</w:t>
            </w:r>
          </w:p>
        </w:tc>
      </w:tr>
      <w:tr>
        <w:tc>
          <w:tcPr/>
          <w:p>
            <w:pPr>
              <w:pStyle w:val="Compact"/>
            </w:pPr>
            <w:r>
              <w:t xml:space="preserve">Configuration rules</w:t>
            </w:r>
          </w:p>
        </w:tc>
        <w:tc>
          <w:tcPr/>
          <w:p>
            <w:pPr>
              <w:pStyle w:val="Compact"/>
            </w:pPr>
            <w:r>
              <w:t xml:space="preserve">14</w:t>
            </w:r>
          </w:p>
        </w:tc>
        <w:tc>
          <w:tcPr/>
          <w:p>
            <w:pPr>
              <w:pStyle w:val="Compact"/>
            </w:pPr>
            <w:r>
              <w:t xml:space="preserve">Classify audiogram shape (slope + notch)</w:t>
            </w:r>
          </w:p>
        </w:tc>
      </w:tr>
      <w:tr>
        <w:tc>
          <w:tcPr/>
          <w:p>
            <w:pPr>
              <w:pStyle w:val="Compact"/>
            </w:pPr>
            <w:r>
              <w:t xml:space="preserve">Asymmetry rules</w:t>
            </w:r>
          </w:p>
        </w:tc>
        <w:tc>
          <w:tcPr/>
          <w:p>
            <w:pPr>
              <w:pStyle w:val="Compact"/>
            </w:pPr>
            <w:r>
              <w:t xml:space="preserve">12</w:t>
            </w:r>
          </w:p>
        </w:tc>
        <w:tc>
          <w:tcPr/>
          <w:p>
            <w:pPr>
              <w:pStyle w:val="Compact"/>
            </w:pPr>
            <w:r>
              <w:t xml:space="preserve">Detect and grade inter-aural asymmetry</w:t>
            </w:r>
          </w:p>
        </w:tc>
      </w:tr>
      <w:tr>
        <w:tc>
          <w:tcPr/>
          <w:p>
            <w:pPr>
              <w:pStyle w:val="Compact"/>
            </w:pPr>
            <w:r>
              <w:t xml:space="preserve">Mixed-loss rules</w:t>
            </w:r>
          </w:p>
        </w:tc>
        <w:tc>
          <w:tcPr/>
          <w:p>
            <w:pPr>
              <w:pStyle w:val="Compact"/>
            </w:pPr>
            <w:r>
              <w:t xml:space="preserve">10</w:t>
            </w:r>
          </w:p>
        </w:tc>
        <w:tc>
          <w:tcPr/>
          <w:p>
            <w:pPr>
              <w:pStyle w:val="Compact"/>
            </w:pPr>
            <w:r>
              <w:t xml:space="preserve">Address complex multi-factor presentations</w:t>
            </w:r>
          </w:p>
        </w:tc>
      </w:tr>
    </w:tbl>
    <w:p>
      <w:pPr>
        <w:pStyle w:val="BodyText"/>
      </w:pPr>
      <w:r>
        <w:rPr>
          <w:b/>
          <w:bCs/>
        </w:rPr>
        <w:t xml:space="preserve">Inference parameters:</w:t>
      </w:r>
      <w:r>
        <w:t xml:space="preserve"> </w:t>
      </w:r>
      <w:r>
        <w:t xml:space="preserve">- Composition: Max–min</w:t>
      </w:r>
      <w:r>
        <w:t xml:space="preserve"> </w:t>
      </w:r>
      <w:r>
        <w:t xml:space="preserve">- Implication: Minimum (clipping)</w:t>
      </w:r>
      <w:r>
        <w:t xml:space="preserve"> </w:t>
      </w:r>
      <w:r>
        <w:t xml:space="preserve">- Aggregation: Fuzzy union (max)</w:t>
      </w:r>
      <w:r>
        <w:t xml:space="preserve"> </w:t>
      </w:r>
      <w:r>
        <w:t xml:space="preserve">- Defuzzification: Centroid of Area (CoA)</w:t>
      </w:r>
    </w:p>
    <w:bookmarkEnd w:id="53"/>
    <w:bookmarkStart w:id="54" w:name="input-variables"/>
    <w:p>
      <w:pPr>
        <w:pStyle w:val="Heading2"/>
      </w:pPr>
      <w:r>
        <w:t xml:space="preserve">Input Variables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Linguistic Terms</w:t>
            </w:r>
          </w:p>
        </w:tc>
        <w:tc>
          <w:tcPr/>
          <w:p>
            <w:pPr>
              <w:pStyle w:val="Compact"/>
            </w:pPr>
            <w:r>
              <w:t xml:space="preserve">Parameters</w:t>
            </w:r>
          </w:p>
        </w:tc>
      </w:tr>
      <w:tr>
        <w:tc>
          <w:tcPr/>
          <w:p>
            <w:pPr>
              <w:pStyle w:val="Compact"/>
            </w:pPr>
            <w:r>
              <w:t xml:space="preserve">Threshold</w:t>
            </w:r>
          </w:p>
        </w:tc>
        <w:tc>
          <w:tcPr/>
          <w:p>
            <w:pPr>
              <w:pStyle w:val="Compact"/>
            </w:pPr>
            <w:r>
              <w:t xml:space="preserve">6: Normal → Profound</w:t>
            </w:r>
          </w:p>
        </w:tc>
        <w:tc>
          <w:tcPr/>
          <w:p>
            <w:pPr>
              <w:pStyle w:val="Compact"/>
            </w:pPr>
            <w:r>
              <w:t xml:space="preserve">Trapezoidal MF [a,b,c,d]</w:t>
            </w:r>
          </w:p>
        </w:tc>
      </w:tr>
      <w:tr>
        <w:tc>
          <w:tcPr/>
          <w:p>
            <w:pPr>
              <w:pStyle w:val="Compact"/>
            </w:pPr>
            <w:r>
              <w:t xml:space="preserve">Slope</w:t>
            </w:r>
          </w:p>
        </w:tc>
        <w:tc>
          <w:tcPr/>
          <w:p>
            <w:pPr>
              <w:pStyle w:val="Compact"/>
            </w:pPr>
            <w:r>
              <w:t xml:space="preserve">5: Rising → Precipitous</w:t>
            </w:r>
          </w:p>
        </w:tc>
        <w:tc>
          <w:tcPr/>
          <w:p>
            <w:pPr>
              <w:pStyle w:val="Compact"/>
            </w:pPr>
            <w:r>
              <w:t xml:space="preserve">Trapezoidal MF</w:t>
            </w:r>
          </w:p>
        </w:tc>
      </w:tr>
      <w:tr>
        <w:tc>
          <w:tcPr/>
          <w:p>
            <w:pPr>
              <w:pStyle w:val="Compact"/>
            </w:pPr>
            <w:r>
              <w:t xml:space="preserve">Notch Depth</w:t>
            </w:r>
          </w:p>
        </w:tc>
        <w:tc>
          <w:tcPr/>
          <w:p>
            <w:pPr>
              <w:pStyle w:val="Compact"/>
            </w:pPr>
            <w:r>
              <w:t xml:space="preserve">3: None → Shallow → Deep</w:t>
            </w:r>
          </w:p>
        </w:tc>
        <w:tc>
          <w:tcPr/>
          <w:p>
            <w:pPr>
              <w:pStyle w:val="Compact"/>
            </w:pPr>
            <w:r>
              <w:t xml:space="preserve">Trapezoidal MF</w:t>
            </w:r>
          </w:p>
        </w:tc>
      </w:tr>
      <w:tr>
        <w:tc>
          <w:tcPr/>
          <w:p>
            <w:pPr>
              <w:pStyle w:val="Compact"/>
            </w:pPr>
            <w:r>
              <w:t xml:space="preserve">Asymmetry</w:t>
            </w:r>
          </w:p>
        </w:tc>
        <w:tc>
          <w:tcPr/>
          <w:p>
            <w:pPr>
              <w:pStyle w:val="Compact"/>
            </w:pPr>
            <w:r>
              <w:t xml:space="preserve">4: Symmetric → Severely Asymmetric</w:t>
            </w:r>
          </w:p>
        </w:tc>
        <w:tc>
          <w:tcPr/>
          <w:p>
            <w:pPr>
              <w:pStyle w:val="Compact"/>
            </w:pPr>
            <w:r>
              <w:t xml:space="preserve">Trapezoidal MF</w:t>
            </w:r>
          </w:p>
        </w:tc>
      </w:tr>
    </w:tbl>
    <w:bookmarkEnd w:id="54"/>
    <w:bookmarkStart w:id="59" w:name="output-variables"/>
    <w:p>
      <w:pPr>
        <w:pStyle w:val="Heading2"/>
      </w:pPr>
      <w:r>
        <w:t xml:space="preserve">Output Variables</w:t>
      </w:r>
    </w:p>
    <w:p>
      <w:pPr>
        <w:pStyle w:val="Compact"/>
        <w:numPr>
          <w:ilvl w:val="0"/>
          <w:numId w:val="1002"/>
        </w:numPr>
      </w:pPr>
      <w:r>
        <w:rPr>
          <w:b/>
          <w:bCs/>
        </w:rPr>
        <w:t xml:space="preserve">Fuzzy Audiometric Index (FAI)</w:t>
      </w:r>
      <w:r>
        <w:t xml:space="preserve"> </w:t>
      </w:r>
      <w:r>
        <w:t xml:space="preserve">— Continuous score 0–100 per ear</w:t>
      </w:r>
    </w:p>
    <w:p>
      <w:pPr>
        <w:pStyle w:val="Compact"/>
        <w:numPr>
          <w:ilvl w:val="0"/>
          <w:numId w:val="1002"/>
        </w:numPr>
      </w:pPr>
      <w:r>
        <w:rPr>
          <w:b/>
          <w:bCs/>
        </w:rPr>
        <w:t xml:space="preserve">Configuration vector</w:t>
      </w:r>
      <w:r>
        <w:t xml:space="preserve"> </w:t>
      </w:r>
      <w:r>
        <w:t xml:space="preserve">— Membership degrees to 6 canonical shapes</w:t>
      </w:r>
    </w:p>
    <w:p>
      <w:pPr>
        <w:pStyle w:val="Compact"/>
        <w:numPr>
          <w:ilvl w:val="0"/>
          <w:numId w:val="1002"/>
        </w:numPr>
      </w:pPr>
      <w:r>
        <w:rPr>
          <w:b/>
          <w:bCs/>
        </w:rPr>
        <w:t xml:space="preserve">Asymmetry index</w:t>
      </w:r>
      <w:r>
        <w:t xml:space="preserve"> </w:t>
      </w:r>
      <w:r>
        <w:t xml:space="preserve">— Continuous score 0–100 for inter-aural difference</w:t>
      </w:r>
    </w:p>
    <w:p>
      <w:pPr>
        <w:pStyle w:val="Compact"/>
        <w:numPr>
          <w:ilvl w:val="0"/>
          <w:numId w:val="1002"/>
        </w:numPr>
      </w:pPr>
      <w:r>
        <w:rPr>
          <w:b/>
          <w:bCs/>
        </w:rPr>
        <w:t xml:space="preserve">Linguistic summary</w:t>
      </w:r>
      <w:r>
        <w:t xml:space="preserve"> </w:t>
      </w:r>
      <w:r>
        <w:t xml:space="preserve">— Interpretable text with certainty level</w:t>
      </w:r>
    </w:p>
    <w:p>
      <w:pPr>
        <w:pStyle w:val="FirstParagraph"/>
      </w:pPr>
      <w:r>
        <w:rPr>
          <w:b/>
          <w:bCs/>
        </w:rPr>
        <w:t xml:space="preserve">Frequency weighting and a note on circularity.</w:t>
      </w:r>
      <w:r>
        <w:t xml:space="preserve"> </w:t>
      </w:r>
      <w:r>
        <w:t xml:space="preserve">The severity rules operate on the PTA-4 speech-frequency average (0.5–4 kHz) as the primary threshold input, exactly the frequency window used by the WHO reference standard. This was a deliberate design choice: PTA-4 is the clinically dominant anchor for communication handicap, and the severity rules must be comparable with the reference against which the system is validated. However, it means the FAI shares its primary input band with the reference — so the high agreement between FAI and PTA-4 is partly by construction, and the comparison is not fully independent. We therefore report three safeguards: (1) the ML comparators (XGBoost, Random Forest) consume all seven test frequencies independently, providing an external benchmark; (2) the added value of the fuzzy system is concentrated in the graded, frequency-resolved outputs (membership vectors, configuration, asymmetry) that PTA-4 cannot express, rather than in raw agreement; and (3) the borderline analyses in this report focus on the reclassification information the fuzzy system adds where crisp labels are least reliable. An earlier draft described an explicit ×1.5 / ×0.75 frequency weighting scheme for a composite FAI; that scheme is a design option and is not what the deployed and validated pipeline implements, so it is not used for any metric reported here.</w:t>
      </w:r>
    </w:p>
    <w:tbl>
      <w:tblPr>
        <w:tblStyle w:val="Table"/>
        <w:tblW w:type="pct" w:w="5000"/>
        <w:tblLayout w:type="fixed"/>
        <w:tblLook w:firstRow="0" w:lastRow="0" w:firstColumn="0" w:lastColumn="0" w:noHBand="0" w:noVBand="0" w:val="0000"/>
      </w:tblPr>
      <w:tblGrid>
        <w:gridCol w:w="7920"/>
      </w:tblGrid>
      <w:tr>
        <w:tc>
          <w:tcPr/>
          <w:bookmarkStart w:id="58" w:name="fig-fis-arch"/>
          <w:p>
            <w:pPr>
              <w:pStyle w:val="Compact"/>
              <w:jc w:val="center"/>
            </w:pPr>
            <w:r>
              <w:drawing>
                <wp:inline>
                  <wp:extent cx="5334000" cy="2642002"/>
                  <wp:effectExtent b="0" l="0" r="0" t="0"/>
                  <wp:docPr descr="" title="" id="56" name="Picture"/>
                  <a:graphic>
                    <a:graphicData uri="http://schemas.openxmlformats.org/drawingml/2006/picture">
                      <pic:pic>
                        <pic:nvPicPr>
                          <pic:cNvPr descr="figures/fig2_fis_architecture.png" id="57" name="Picture"/>
                          <pic:cNvPicPr>
                            <a:picLocks noChangeArrowheads="1" noChangeAspect="1"/>
                          </pic:cNvPicPr>
                        </pic:nvPicPr>
                        <pic:blipFill>
                          <a:blip r:embed="rId55"/>
                          <a:stretch>
                            <a:fillRect/>
                          </a:stretch>
                        </pic:blipFill>
                        <pic:spPr bwMode="auto">
                          <a:xfrm>
                            <a:off x="0" y="0"/>
                            <a:ext cx="5334000" cy="2642002"/>
                          </a:xfrm>
                          <a:prstGeom prst="rect">
                            <a:avLst/>
                          </a:prstGeom>
                          <a:noFill/>
                          <a:ln w="9525">
                            <a:noFill/>
                            <a:headEnd/>
                            <a:tailEnd/>
                          </a:ln>
                        </pic:spPr>
                      </pic:pic>
                    </a:graphicData>
                  </a:graphic>
                </wp:inline>
              </w:drawing>
            </w:r>
          </w:p>
          <w:p>
            <w:pPr>
              <w:jc w:val="center"/>
            </w:pPr>
            <w:pPr>
              <w:jc w:val="left"/>
              <w:spacing w:before="200"/>
              <w:pStyle w:val="ImageCaption"/>
            </w:pPr>
            <w:r>
              <w:t xml:space="preserve">Figure 8: FIS architecture schematic</w:t>
            </w:r>
          </w:p>
          <w:bookmarkEnd w:id="58"/>
        </w:tc>
      </w:tr>
    </w:tbl>
    <w:bookmarkEnd w:id="59"/>
    <w:bookmarkStart w:id="60" w:name="mathematical-framework"/>
    <w:p>
      <w:pPr>
        <w:pStyle w:val="Heading2"/>
      </w:pPr>
      <w:r>
        <w:t xml:space="preserve">Mathematical Framework</w:t>
      </w:r>
    </w:p>
    <w:p>
      <w:pPr>
        <w:pStyle w:val="FirstParagraph"/>
      </w:pPr>
      <w:r>
        <w:t xml:space="preserve">For each trapezoidal membership function parameterised by (a, b, c, d):</w:t>
      </w:r>
    </w:p>
    <w:p>
      <w:pPr>
        <w:pStyle w:val="BodyText"/>
      </w:pPr>
      <m:oMathPara>
        <m:oMathParaPr>
          <m:jc m:val="center"/>
        </m:oMathParaPr>
        <m:oMath>
          <m:r>
            <m:t>μ</m:t>
          </m:r>
          <m:r>
            <m:rPr>
              <m:sty m:val="p"/>
            </m:rPr>
            <m:t>(</m:t>
          </m:r>
          <m:r>
            <m:t>x</m:t>
          </m:r>
          <m:r>
            <m:rPr>
              <m:sty m:val="p"/>
            </m:rPr>
            <m:t>;</m:t>
          </m:r>
          <m:r>
            <m:t>a</m:t>
          </m:r>
          <m:r>
            <m:rPr>
              <m:sty m:val="p"/>
            </m:rPr>
            <m:t>,</m:t>
          </m:r>
          <m:r>
            <m:t>b</m:t>
          </m:r>
          <m:r>
            <m:rPr>
              <m:sty m:val="p"/>
            </m:rPr>
            <m:t>,</m:t>
          </m:r>
          <m:r>
            <m:t>c</m:t>
          </m:r>
          <m:r>
            <m:rPr>
              <m:sty m:val="p"/>
            </m:rPr>
            <m:t>,</m:t>
          </m:r>
          <m:r>
            <m:t>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x</m:t>
                    </m:r>
                    <m:r>
                      <m:rPr>
                        <m:sty m:val="p"/>
                      </m:rPr>
                      <m:t>≤</m:t>
                    </m:r>
                    <m:r>
                      <m:t>a</m:t>
                    </m:r>
                  </m:e>
                </m:mr>
                <m:mr>
                  <m:e>
                    <m:f>
                      <m:fPr>
                        <m:type m:val="bar"/>
                      </m:fPr>
                      <m:num>
                        <m:r>
                          <m:t>x</m:t>
                        </m:r>
                        <m:r>
                          <m:rPr>
                            <m:sty m:val="p"/>
                          </m:rPr>
                          <m:t>−</m:t>
                        </m:r>
                        <m:r>
                          <m:t>a</m:t>
                        </m:r>
                      </m:num>
                      <m:den>
                        <m:r>
                          <m:t>b</m:t>
                        </m:r>
                        <m:r>
                          <m:rPr>
                            <m:sty m:val="p"/>
                          </m:rPr>
                          <m:t>−</m:t>
                        </m:r>
                        <m:r>
                          <m:t>a</m:t>
                        </m:r>
                      </m:den>
                    </m:f>
                    <m:r>
                      <m:rPr>
                        <m:sty m:val="p"/>
                      </m:rPr>
                      <m:t>,</m:t>
                    </m:r>
                  </m:e>
                  <m:e>
                    <m:r>
                      <m:t>a</m:t>
                    </m:r>
                    <m:r>
                      <m:rPr>
                        <m:sty m:val="p"/>
                      </m:rPr>
                      <m:t>&lt;</m:t>
                    </m:r>
                    <m:r>
                      <m:t>x</m:t>
                    </m:r>
                    <m:r>
                      <m:rPr>
                        <m:sty m:val="p"/>
                      </m:rPr>
                      <m:t>≤</m:t>
                    </m:r>
                    <m:r>
                      <m:t>b</m:t>
                    </m:r>
                  </m:e>
                </m:mr>
                <m:mr>
                  <m:e>
                    <m:r>
                      <m:t>1</m:t>
                    </m:r>
                    <m:r>
                      <m:rPr>
                        <m:sty m:val="p"/>
                      </m:rPr>
                      <m:t>,</m:t>
                    </m:r>
                  </m:e>
                  <m:e>
                    <m:r>
                      <m:t>b</m:t>
                    </m:r>
                    <m:r>
                      <m:rPr>
                        <m:sty m:val="p"/>
                      </m:rPr>
                      <m:t>&lt;</m:t>
                    </m:r>
                    <m:r>
                      <m:t>x</m:t>
                    </m:r>
                    <m:r>
                      <m:rPr>
                        <m:sty m:val="p"/>
                      </m:rPr>
                      <m:t>≤</m:t>
                    </m:r>
                    <m:r>
                      <m:t>c</m:t>
                    </m:r>
                  </m:e>
                </m:mr>
                <m:mr>
                  <m:e>
                    <m:f>
                      <m:fPr>
                        <m:type m:val="bar"/>
                      </m:fPr>
                      <m:num>
                        <m:r>
                          <m:t>d</m:t>
                        </m:r>
                        <m:r>
                          <m:rPr>
                            <m:sty m:val="p"/>
                          </m:rPr>
                          <m:t>−</m:t>
                        </m:r>
                        <m:r>
                          <m:t>x</m:t>
                        </m:r>
                      </m:num>
                      <m:den>
                        <m:r>
                          <m:t>d</m:t>
                        </m:r>
                        <m:r>
                          <m:rPr>
                            <m:sty m:val="p"/>
                          </m:rPr>
                          <m:t>−</m:t>
                        </m:r>
                        <m:r>
                          <m:t>c</m:t>
                        </m:r>
                      </m:den>
                    </m:f>
                    <m:r>
                      <m:rPr>
                        <m:sty m:val="p"/>
                      </m:rPr>
                      <m:t>,</m:t>
                    </m:r>
                  </m:e>
                  <m:e>
                    <m:r>
                      <m:t>c</m:t>
                    </m:r>
                    <m:r>
                      <m:rPr>
                        <m:sty m:val="p"/>
                      </m:rPr>
                      <m:t>&lt;</m:t>
                    </m:r>
                    <m:r>
                      <m:t>x</m:t>
                    </m:r>
                    <m:r>
                      <m:rPr>
                        <m:sty m:val="p"/>
                      </m:rPr>
                      <m:t>≤</m:t>
                    </m:r>
                    <m:r>
                      <m:t>d</m:t>
                    </m:r>
                  </m:e>
                </m:mr>
                <m:mr>
                  <m:e>
                    <m:r>
                      <m:t>0</m:t>
                    </m:r>
                    <m:r>
                      <m:rPr>
                        <m:sty m:val="p"/>
                      </m:rPr>
                      <m:t>,</m:t>
                    </m:r>
                  </m:e>
                  <m:e>
                    <m:r>
                      <m:t>x</m:t>
                    </m:r>
                    <m:r>
                      <m:rPr>
                        <m:sty m:val="p"/>
                      </m:rPr>
                      <m:t>≥</m:t>
                    </m:r>
                    <m:r>
                      <m:t>d</m:t>
                    </m:r>
                  </m:e>
                </m:mr>
              </m:m>
            </m:e>
          </m:d>
        </m:oMath>
      </m:oMathPara>
    </w:p>
    <w:p>
      <w:pPr>
        <w:pStyle w:val="FirstParagraph"/>
      </w:pPr>
      <w:r>
        <w:rPr>
          <w:b/>
          <w:bCs/>
        </w:rPr>
        <w:t xml:space="preserve">Rule firing strength:</w:t>
      </w:r>
      <w:r>
        <w:t xml:space="preserve"> </w:t>
      </w:r>
      <m:oMath>
        <m:sSub>
          <m:e>
            <m:r>
              <m:t>α</m:t>
            </m:r>
          </m:e>
          <m:sub>
            <m:r>
              <m:t>k</m:t>
            </m:r>
          </m:sub>
        </m:sSub>
        <m:r>
          <m:rPr>
            <m:sty m:val="p"/>
          </m:rPr>
          <m:t>=</m:t>
        </m:r>
        <m:r>
          <m:rPr>
            <m:sty m:val="p"/>
          </m:rPr>
          <m:t>min</m:t>
        </m:r>
        <m:r>
          <m:rPr>
            <m:sty m:val="p"/>
          </m:rPr>
          <m:t>(</m:t>
        </m:r>
        <m:sSub>
          <m:e>
            <m:r>
              <m:t>μ</m:t>
            </m:r>
          </m:e>
          <m:sub>
            <m:sSub>
              <m:e>
                <m:r>
                  <m:t>A</m:t>
                </m:r>
              </m:e>
              <m:sub>
                <m:r>
                  <m:t>k</m:t>
                </m:r>
                <m:r>
                  <m:rPr>
                    <m:sty m:val="p"/>
                  </m:rPr>
                  <m:t>,</m:t>
                </m:r>
                <m:r>
                  <m:t>1</m:t>
                </m:r>
              </m:sub>
            </m:sSub>
          </m:sub>
        </m:sSub>
        <m:r>
          <m:rPr>
            <m:sty m:val="p"/>
          </m:rPr>
          <m:t>(</m:t>
        </m:r>
        <m:sSub>
          <m:e>
            <m:r>
              <m:t>x</m:t>
            </m:r>
          </m:e>
          <m:sub>
            <m:r>
              <m:t>1</m:t>
            </m:r>
          </m:sub>
        </m:sSub>
        <m:r>
          <m:rPr>
            <m:sty m:val="p"/>
          </m:rPr>
          <m:t>)</m:t>
        </m:r>
        <m:r>
          <m:rPr>
            <m:sty m:val="p"/>
          </m:rPr>
          <m:t>,</m:t>
        </m:r>
        <m:r>
          <m:rPr>
            <m:sty m:val="p"/>
          </m:rPr>
          <m:t>…</m:t>
        </m:r>
        <m:r>
          <m:rPr>
            <m:sty m:val="p"/>
          </m:rPr>
          <m:t>,</m:t>
        </m:r>
        <m:sSub>
          <m:e>
            <m:r>
              <m:t>μ</m:t>
            </m:r>
          </m:e>
          <m:sub>
            <m:sSub>
              <m:e>
                <m:r>
                  <m:t>A</m:t>
                </m:r>
              </m:e>
              <m:sub>
                <m:r>
                  <m:t>k</m:t>
                </m:r>
                <m:r>
                  <m:rPr>
                    <m:sty m:val="p"/>
                  </m:rPr>
                  <m:t>,</m:t>
                </m:r>
                <m:r>
                  <m:t>7</m:t>
                </m:r>
              </m:sub>
            </m:sSub>
          </m:sub>
        </m:sSub>
        <m:r>
          <m:rPr>
            <m:sty m:val="p"/>
          </m:rPr>
          <m:t>(</m:t>
        </m:r>
        <m:sSub>
          <m:e>
            <m:r>
              <m:t>x</m:t>
            </m:r>
          </m:e>
          <m:sub>
            <m:r>
              <m:t>7</m:t>
            </m:r>
          </m:sub>
        </m:sSub>
        <m:r>
          <m:rPr>
            <m:sty m:val="p"/>
          </m:rPr>
          <m:t>)</m:t>
        </m:r>
        <m:r>
          <m:rPr>
            <m:sty m:val="p"/>
          </m:rPr>
          <m:t>)</m:t>
        </m:r>
      </m:oMath>
    </w:p>
    <w:p>
      <w:pPr>
        <w:pStyle w:val="BodyText"/>
      </w:pPr>
      <w:r>
        <w:rPr>
          <w:b/>
          <w:bCs/>
        </w:rPr>
        <w:t xml:space="preserve">Defuzzification (FAI):</w:t>
      </w:r>
      <w:r>
        <w:t xml:space="preserve"> </w:t>
      </w:r>
      <m:oMath>
        <m:sSup>
          <m:e>
            <m:r>
              <m:t>y</m:t>
            </m:r>
          </m:e>
          <m:sup>
            <m:r>
              <m:rPr>
                <m:sty m:val="p"/>
              </m:rPr>
              <m:t>*</m:t>
            </m:r>
          </m:sup>
        </m:sSup>
        <m:r>
          <m:rPr>
            <m:sty m:val="p"/>
          </m:rPr>
          <m:t>=</m:t>
        </m:r>
        <m:f>
          <m:fPr>
            <m:type m:val="bar"/>
          </m:fPr>
          <m:num>
            <m:r>
              <m:rPr>
                <m:sty m:val="p"/>
              </m:rPr>
              <m:t>∑</m:t>
            </m:r>
            <m:sSub>
              <m:e>
                <m:r>
                  <m:t>y</m:t>
                </m:r>
              </m:e>
              <m:sub>
                <m:r>
                  <m:t>i</m:t>
                </m:r>
              </m:sub>
            </m:sSub>
            <m:r>
              <m:rPr>
                <m:sty m:val="p"/>
              </m:rPr>
              <m:t>⋅</m:t>
            </m:r>
            <m:sSub>
              <m:e>
                <m:r>
                  <m:t>μ</m:t>
                </m:r>
              </m:e>
              <m:sub>
                <m:r>
                  <m:rPr>
                    <m:nor/>
                    <m:sty m:val="p"/>
                  </m:rPr>
                  <m:t>agg</m:t>
                </m:r>
              </m:sub>
            </m:sSub>
            <m:r>
              <m:rPr>
                <m:sty m:val="p"/>
              </m:rPr>
              <m:t>(</m:t>
            </m:r>
            <m:sSub>
              <m:e>
                <m:r>
                  <m:t>y</m:t>
                </m:r>
              </m:e>
              <m:sub>
                <m:r>
                  <m:t>i</m:t>
                </m:r>
              </m:sub>
            </m:sSub>
            <m:r>
              <m:rPr>
                <m:sty m:val="p"/>
              </m:rPr>
              <m:t>)</m:t>
            </m:r>
          </m:num>
          <m:den>
            <m:r>
              <m:rPr>
                <m:sty m:val="p"/>
              </m:rPr>
              <m:t>∑</m:t>
            </m:r>
            <m:sSub>
              <m:e>
                <m:r>
                  <m:t>μ</m:t>
                </m:r>
              </m:e>
              <m:sub>
                <m:r>
                  <m:rPr>
                    <m:nor/>
                    <m:sty m:val="p"/>
                  </m:rPr>
                  <m:t>agg</m:t>
                </m:r>
              </m:sub>
            </m:sSub>
            <m:r>
              <m:rPr>
                <m:sty m:val="p"/>
              </m:rPr>
              <m:t>(</m:t>
            </m:r>
            <m:sSub>
              <m:e>
                <m:r>
                  <m:t>y</m:t>
                </m:r>
              </m:e>
              <m:sub>
                <m:r>
                  <m:t>i</m:t>
                </m:r>
              </m:sub>
            </m:sSub>
            <m:r>
              <m:rPr>
                <m:sty m:val="p"/>
              </m:rPr>
              <m:t>)</m:t>
            </m:r>
          </m:den>
        </m:f>
      </m:oMath>
    </w:p>
    <w:bookmarkEnd w:id="60"/>
    <w:bookmarkEnd w:id="61"/>
    <w:bookmarkStart w:id="74" w:name="classification-performance"/>
    <w:p>
      <w:pPr>
        <w:pStyle w:val="Heading1"/>
      </w:pPr>
      <w:r>
        <w:t xml:space="preserve">Classification Performance</w:t>
      </w:r>
    </w:p>
    <w:bookmarkStart w:id="62" w:name="Xf93c47b6adbc249216c3168f4b2a989d4f07c44"/>
    <w:p>
      <w:pPr>
        <w:pStyle w:val="Heading2"/>
      </w:pPr>
      <w:r>
        <w:t xml:space="preserve">Primary Results (Held-Out Test Set, clean single-ear classification, n = 3,914 ears)</w:t>
      </w:r>
    </w:p>
    <w:p>
      <w:pPr>
        <w:pStyle w:val="FirstParagraph"/>
      </w:pPr>
      <w:r>
        <w:t xml:space="preserve">Metrics are computed against the WHO PTA-4 grade as reference, using the deployed NHANES-optimised system (no asymmetry cross-contamination; see Limitations).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FAI (Fuzzy)</w:t>
            </w:r>
          </w:p>
        </w:tc>
        <w:tc>
          <w:tcPr/>
          <w:p>
            <w:pPr>
              <w:pStyle w:val="Compact"/>
            </w:pPr>
            <w:r>
              <w:t xml:space="preserve">PTA-4 (WHO)</w:t>
            </w:r>
          </w:p>
        </w:tc>
        <w:tc>
          <w:tcPr/>
          <w:p>
            <w:pPr>
              <w:pStyle w:val="Compact"/>
            </w:pPr>
            <w:r>
              <w:t xml:space="preserve">XGBoost</w:t>
            </w:r>
          </w:p>
        </w:tc>
        <w:tc>
          <w:tcPr/>
          <w:p>
            <w:pPr>
              <w:pStyle w:val="Compact"/>
            </w:pPr>
            <w:r>
              <w:t xml:space="preserve">Random Forest</w:t>
            </w:r>
          </w:p>
        </w:tc>
      </w:tr>
      <w:tr>
        <w:tc>
          <w:tcPr/>
          <w:p>
            <w:pPr>
              <w:pStyle w:val="Compact"/>
            </w:pPr>
            <w:r>
              <w:t xml:space="preserve">Weighted κ vs. Reference</w:t>
            </w:r>
          </w:p>
        </w:tc>
        <w:tc>
          <w:tcPr/>
          <w:p>
            <w:pPr>
              <w:pStyle w:val="Compact"/>
            </w:pPr>
            <w:r>
              <w:t xml:space="preserve">0.73</w:t>
            </w:r>
          </w:p>
        </w:tc>
        <w:tc>
          <w:tcPr/>
          <w:p>
            <w:pPr>
              <w:pStyle w:val="Compact"/>
            </w:pPr>
            <w:r>
              <w:t xml:space="preserve">1.00*</w:t>
            </w:r>
          </w:p>
        </w:tc>
        <w:tc>
          <w:tcPr/>
          <w:p>
            <w:pPr>
              <w:pStyle w:val="Compact"/>
            </w:pPr>
            <w:r>
              <w:t xml:space="preserve">0.98</w:t>
            </w:r>
          </w:p>
        </w:tc>
        <w:tc>
          <w:tcPr/>
          <w:p>
            <w:pPr>
              <w:pStyle w:val="Compact"/>
            </w:pPr>
            <w:r>
              <w:t xml:space="preserve">0.98</w:t>
            </w:r>
          </w:p>
        </w:tc>
      </w:tr>
      <w:tr>
        <w:tc>
          <w:tcPr/>
          <w:p>
            <w:pPr>
              <w:pStyle w:val="Compact"/>
            </w:pPr>
            <w:r>
              <w:t xml:space="preserve">Overall Agreement</w:t>
            </w:r>
          </w:p>
        </w:tc>
        <w:tc>
          <w:tcPr/>
          <w:p>
            <w:pPr>
              <w:pStyle w:val="Compact"/>
            </w:pPr>
            <w:r>
              <w:t xml:space="preserve">92.3%</w:t>
            </w:r>
          </w:p>
        </w:tc>
        <w:tc>
          <w:tcPr/>
          <w:p>
            <w:pPr>
              <w:pStyle w:val="Compact"/>
            </w:pPr>
            <w:r>
              <w:t xml:space="preserve">100%*</w:t>
            </w:r>
          </w:p>
        </w:tc>
        <w:tc>
          <w:tcPr/>
          <w:p>
            <w:pPr>
              <w:pStyle w:val="Compact"/>
            </w:pPr>
            <w:r>
              <w:t xml:space="preserve">98.8%</w:t>
            </w:r>
          </w:p>
        </w:tc>
        <w:tc>
          <w:tcPr/>
          <w:p>
            <w:pPr>
              <w:pStyle w:val="Compact"/>
            </w:pPr>
            <w:r>
              <w:t xml:space="preserve">98.8%</w:t>
            </w:r>
          </w:p>
        </w:tc>
      </w:tr>
      <w:tr>
        <w:tc>
          <w:tcPr/>
          <w:p>
            <w:pPr>
              <w:pStyle w:val="Compact"/>
            </w:pPr>
            <w:r>
              <w:t xml:space="preserve">Borderline Agreement (±5 dB)</w:t>
            </w:r>
          </w:p>
        </w:tc>
        <w:tc>
          <w:tcPr/>
          <w:p>
            <w:pPr>
              <w:pStyle w:val="Compact"/>
            </w:pPr>
            <w:r>
              <w:t xml:space="preserve">70.6%</w:t>
            </w:r>
          </w:p>
        </w:tc>
        <w:tc>
          <w:tcPr/>
          <w:p>
            <w:pPr>
              <w:pStyle w:val="Compact"/>
            </w:pPr>
            <w:r>
              <w:t xml:space="preserve">100%*</w:t>
            </w:r>
          </w:p>
        </w:tc>
        <w:tc>
          <w:tcPr/>
          <w:p>
            <w:pPr>
              <w:pStyle w:val="Compact"/>
            </w:pPr>
            <w:r>
              <w:t xml:space="preserve">93.5%</w:t>
            </w:r>
          </w:p>
        </w:tc>
        <w:tc>
          <w:tcPr/>
          <w:p>
            <w:pPr>
              <w:pStyle w:val="Compact"/>
            </w:pPr>
            <w:r>
              <w:t xml:space="preserve">93.8%</w:t>
            </w:r>
          </w:p>
        </w:tc>
      </w:tr>
      <w:tr>
        <w:tc>
          <w:tcPr/>
          <w:p>
            <w:pPr>
              <w:pStyle w:val="Compact"/>
            </w:pPr>
            <w:r>
              <w:t xml:space="preserve">Clear-case Agreement</w:t>
            </w:r>
          </w:p>
        </w:tc>
        <w:tc>
          <w:tcPr/>
          <w:p>
            <w:pPr>
              <w:pStyle w:val="Compact"/>
            </w:pPr>
            <w:r>
              <w:t xml:space="preserve">96.9%</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Spearman ρ vs. PTA-4</w:t>
            </w:r>
          </w:p>
        </w:tc>
        <w:tc>
          <w:tcPr/>
          <w:p>
            <w:pPr>
              <w:pStyle w:val="Compact"/>
            </w:pPr>
            <w:r>
              <w:t xml:space="preserve">0.58</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MAE vs. PTA-4 (dB)</w:t>
            </w:r>
          </w:p>
        </w:tc>
        <w:tc>
          <w:tcPr/>
          <w:p>
            <w:pPr>
              <w:pStyle w:val="Compact"/>
            </w:pPr>
            <w:r>
              <w:t xml:space="preserve">6.1</w:t>
            </w:r>
          </w:p>
        </w:tc>
        <w:tc>
          <w:tcPr/>
          <w:p>
            <w:pPr>
              <w:pStyle w:val="Compact"/>
            </w:pPr>
            <w:r>
              <w:t xml:space="preserve">0.0*</w:t>
            </w:r>
          </w:p>
        </w:tc>
        <w:tc>
          <w:tcPr/>
          <w:p>
            <w:pPr>
              <w:pStyle w:val="Compact"/>
            </w:pPr>
            <w:r>
              <w:t xml:space="preserve">0.2</w:t>
            </w:r>
          </w:p>
        </w:tc>
        <w:tc>
          <w:tcPr/>
          <w:p>
            <w:pPr>
              <w:pStyle w:val="Compact"/>
            </w:pPr>
            <w:r>
              <w:t xml:space="preserve">0.5</w:t>
            </w:r>
          </w:p>
        </w:tc>
      </w:tr>
    </w:tbl>
    <w:p>
      <w:pPr>
        <w:pStyle w:val="BodyText"/>
      </w:pPr>
      <w:r>
        <w:rPr>
          <w:i/>
          <w:iCs/>
        </w:rPr>
        <w:t xml:space="preserve">*PTA-4 is the reference standard; metrics reflect definitional agreement. XGBoost and Random Forest regress PTA-4 directly from the seven thresholds, so their near-perfect agreement is expected — they are PTA-4 in disguise rather than independent classifiers.</w:t>
      </w:r>
    </w:p>
    <w:p>
      <w:pPr>
        <w:pStyle w:val="BodyText"/>
      </w:pPr>
      <w:r>
        <w:rPr>
          <w:b/>
          <w:bCs/>
        </w:rPr>
        <w:t xml:space="preserve">Reading these numbers honestly.</w:t>
      </w:r>
      <w:r>
        <w:t xml:space="preserve"> </w:t>
      </w:r>
      <w:r>
        <w:t xml:space="preserve">Two patterns matter. First, the ML comparators recover the PTA-4 reference almost exactly (κ = 0.98, MAE &lt; 1 dB) because they regress the PTA-4 average itself from the threshold inputs — they are not independent severity classifiers, and the earlier draft’s claim that XGBoost fell</w:t>
      </w:r>
      <w:r>
        <w:t xml:space="preserve"> </w:t>
      </w:r>
      <w:r>
        <w:rPr>
          <w:i/>
          <w:iCs/>
        </w:rPr>
        <w:t xml:space="preserve">below</w:t>
      </w:r>
      <w:r>
        <w:t xml:space="preserve"> </w:t>
      </w:r>
      <w:r>
        <w:t xml:space="preserve">the FAI (79.1%) was not reproducible and has been removed. Second, the FAI’s overall agreement with the crisp reference (92.3%, κ = 0.73) is high but below the reference’s self-agreement by construction; its value does not lie in mimicking the crisp grade. It lies in (1) near-perfect agreement in clear cases (96.9%), where crisp classification is uncontroversial, and (2) deliberate, graded disagreement in the borderline zone (±5 dB), where the crisp reference forces a binary choice that the underlying audiogram does not support. Borderline agreement of 70.6% therefore reflects the system’s designed behaviour — reclassifying the very cases where the crisp label is least reliable — rather than a failure of accuracy.</w:t>
      </w:r>
    </w:p>
    <w:bookmarkEnd w:id="62"/>
    <w:bookmarkStart w:id="67" w:name="bland-altman-agreement"/>
    <w:p>
      <w:pPr>
        <w:pStyle w:val="Heading2"/>
      </w:pPr>
      <w:r>
        <w:t xml:space="preserve">Bland-Altman Agreement</w:t>
      </w:r>
    </w:p>
    <w:tbl>
      <w:tblPr>
        <w:tblStyle w:val="Table"/>
        <w:tblW w:type="pct" w:w="5000"/>
        <w:tblLayout w:type="fixed"/>
        <w:tblLook w:firstRow="0" w:lastRow="0" w:firstColumn="0" w:lastColumn="0" w:noHBand="0" w:noVBand="0" w:val="0000"/>
      </w:tblPr>
      <w:tblGrid>
        <w:gridCol w:w="7920"/>
      </w:tblGrid>
      <w:tr>
        <w:tc>
          <w:tcPr/>
          <w:bookmarkStart w:id="66" w:name="fig-bland-altman"/>
          <w:p>
            <w:pPr>
              <w:pStyle w:val="Compact"/>
              <w:jc w:val="center"/>
            </w:pPr>
            <w:r>
              <w:drawing>
                <wp:inline>
                  <wp:extent cx="5334000" cy="3978472"/>
                  <wp:effectExtent b="0" l="0" r="0" t="0"/>
                  <wp:docPr descr="" title="" id="64" name="Picture"/>
                  <a:graphic>
                    <a:graphicData uri="http://schemas.openxmlformats.org/drawingml/2006/picture">
                      <pic:pic>
                        <pic:nvPicPr>
                          <pic:cNvPr descr="figures/fig3_bland_altman.png" id="65" name="Picture"/>
                          <pic:cNvPicPr>
                            <a:picLocks noChangeArrowheads="1" noChangeAspect="1"/>
                          </pic:cNvPicPr>
                        </pic:nvPicPr>
                        <pic:blipFill>
                          <a:blip r:embed="rId63"/>
                          <a:stretch>
                            <a:fillRect/>
                          </a:stretch>
                        </pic:blipFill>
                        <pic:spPr bwMode="auto">
                          <a:xfrm>
                            <a:off x="0" y="0"/>
                            <a:ext cx="5334000" cy="3978472"/>
                          </a:xfrm>
                          <a:prstGeom prst="rect">
                            <a:avLst/>
                          </a:prstGeom>
                          <a:noFill/>
                          <a:ln w="9525">
                            <a:noFill/>
                            <a:headEnd/>
                            <a:tailEnd/>
                          </a:ln>
                        </pic:spPr>
                      </pic:pic>
                    </a:graphicData>
                  </a:graphic>
                </wp:inline>
              </w:drawing>
            </w:r>
          </w:p>
          <w:p>
            <w:pPr>
              <w:jc w:val="center"/>
            </w:pPr>
            <w:pPr>
              <w:jc w:val="left"/>
              <w:spacing w:before="200"/>
              <w:pStyle w:val="ImageCaption"/>
            </w:pPr>
            <w:r>
              <w:t xml:space="preserve">Figure 9: Bland-Altman plot: FAI vs. PTA-4 reference (test set)</w:t>
            </w:r>
          </w:p>
          <w:bookmarkEnd w:id="66"/>
        </w:tc>
      </w:tr>
    </w:tbl>
    <w:p>
      <w:pPr>
        <w:pStyle w:val="BodyText"/>
      </w:pPr>
      <w:r>
        <w:t xml:space="preserve">On the test set (n = 3,787 ears with valid FAI), the mean difference (bias) between FAI and PTA-4 was −1.1 dB with 95% limits of agreement from −16.6 to +14.3 dB. The full range of differences is shown.</w:t>
      </w:r>
    </w:p>
    <w:bookmarkEnd w:id="67"/>
    <w:bookmarkStart w:id="68" w:name="the-2526-db-boundary"/>
    <w:p>
      <w:pPr>
        <w:pStyle w:val="Heading2"/>
      </w:pPr>
      <w:r>
        <w:t xml:space="preserve">The 25/26 dB Boundary</w:t>
      </w:r>
    </w:p>
    <w:p>
      <w:pPr>
        <w:pStyle w:val="FirstParagraph"/>
      </w:pPr>
      <w:r>
        <w:t xml:space="preserve">With the deployed NHANES-optimised membership functions, the graded transition sits just above the classic WHO normal–mild cut-off:</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PTA-4</w:t>
            </w:r>
          </w:p>
        </w:tc>
        <w:tc>
          <w:tcPr/>
          <w:p>
            <w:pPr>
              <w:pStyle w:val="Compact"/>
            </w:pPr>
            <w:r>
              <w:t xml:space="preserve">Crisp Label</w:t>
            </w:r>
          </w:p>
        </w:tc>
        <w:tc>
          <w:tcPr/>
          <w:p>
            <w:pPr>
              <w:pStyle w:val="Compact"/>
            </w:pPr>
            <w:r>
              <w:t xml:space="preserve">Fuzzy Label</w:t>
            </w:r>
          </w:p>
        </w:tc>
        <w:tc>
          <w:tcPr/>
          <w:p>
            <w:pPr>
              <w:pStyle w:val="Compact"/>
            </w:pPr>
            <w:r>
              <w:t xml:space="preserve">FAI Score</w:t>
            </w:r>
          </w:p>
        </w:tc>
        <w:tc>
          <w:tcPr/>
          <w:p>
            <w:pPr>
              <w:pStyle w:val="Compact"/>
            </w:pPr>
            <w:r>
              <w:t xml:space="preserve">Normal μ</w:t>
            </w:r>
          </w:p>
        </w:tc>
        <w:tc>
          <w:tcPr/>
          <w:p>
            <w:pPr>
              <w:pStyle w:val="Compact"/>
            </w:pPr>
            <w:r>
              <w:t xml:space="preserve">Mild μ</w:t>
            </w:r>
          </w:p>
        </w:tc>
      </w:tr>
      <w:tr>
        <w:tc>
          <w:tcPr/>
          <w:p>
            <w:pPr>
              <w:pStyle w:val="Compact"/>
            </w:pPr>
            <w:r>
              <w:t xml:space="preserve">24 dB</w:t>
            </w:r>
          </w:p>
        </w:tc>
        <w:tc>
          <w:tcPr/>
          <w:p>
            <w:pPr>
              <w:pStyle w:val="Compact"/>
            </w:pPr>
            <w:r>
              <w:t xml:space="preserve">Normal</w:t>
            </w:r>
          </w:p>
        </w:tc>
        <w:tc>
          <w:tcPr/>
          <w:p>
            <w:pPr>
              <w:pStyle w:val="Compact"/>
            </w:pPr>
            <w:r>
              <w:t xml:space="preserve">Normal</w:t>
            </w:r>
          </w:p>
        </w:tc>
        <w:tc>
          <w:tcPr/>
          <w:p>
            <w:pPr>
              <w:pStyle w:val="Compact"/>
            </w:pPr>
            <w:r>
              <w:t xml:space="preserve">9.3</w:t>
            </w:r>
          </w:p>
        </w:tc>
        <w:tc>
          <w:tcPr/>
          <w:p>
            <w:pPr>
              <w:pStyle w:val="Compact"/>
            </w:pPr>
            <w:r>
              <w:t xml:space="preserve">0.29</w:t>
            </w:r>
          </w:p>
        </w:tc>
        <w:tc>
          <w:tcPr/>
          <w:p>
            <w:pPr>
              <w:pStyle w:val="Compact"/>
            </w:pPr>
            <w:r>
              <w:t xml:space="preserve">0.00</w:t>
            </w:r>
          </w:p>
        </w:tc>
      </w:tr>
      <w:tr>
        <w:tc>
          <w:tcPr/>
          <w:p>
            <w:pPr>
              <w:pStyle w:val="Compact"/>
            </w:pPr>
            <w:r>
              <w:t xml:space="preserve">26 dB</w:t>
            </w:r>
          </w:p>
        </w:tc>
        <w:tc>
          <w:tcPr/>
          <w:p>
            <w:pPr>
              <w:pStyle w:val="Compact"/>
            </w:pPr>
            <w:r>
              <w:t xml:space="preserve">Mild</w:t>
            </w:r>
          </w:p>
        </w:tc>
        <w:tc>
          <w:tcPr/>
          <w:p>
            <w:pPr>
              <w:pStyle w:val="Compact"/>
            </w:pPr>
            <w:r>
              <w:t xml:space="preserve">Normal</w:t>
            </w:r>
          </w:p>
        </w:tc>
        <w:tc>
          <w:tcPr/>
          <w:p>
            <w:pPr>
              <w:pStyle w:val="Compact"/>
            </w:pPr>
            <w:r>
              <w:t xml:space="preserve">9.3</w:t>
            </w:r>
          </w:p>
        </w:tc>
        <w:tc>
          <w:tcPr/>
          <w:p>
            <w:pPr>
              <w:pStyle w:val="Compact"/>
            </w:pPr>
            <w:r>
              <w:t xml:space="preserve">0.15</w:t>
            </w:r>
          </w:p>
        </w:tc>
        <w:tc>
          <w:tcPr/>
          <w:p>
            <w:pPr>
              <w:pStyle w:val="Compact"/>
            </w:pPr>
            <w:r>
              <w:t xml:space="preserve">0.00</w:t>
            </w:r>
          </w:p>
        </w:tc>
      </w:tr>
      <w:tr>
        <w:tc>
          <w:tcPr/>
          <w:p>
            <w:pPr>
              <w:pStyle w:val="Compact"/>
            </w:pPr>
            <w:r>
              <w:t xml:space="preserve">27 dB</w:t>
            </w:r>
          </w:p>
        </w:tc>
        <w:tc>
          <w:tcPr/>
          <w:p>
            <w:pPr>
              <w:pStyle w:val="Compact"/>
            </w:pPr>
            <w:r>
              <w:t xml:space="preserve">Mild</w:t>
            </w:r>
          </w:p>
        </w:tc>
        <w:tc>
          <w:tcPr/>
          <w:p>
            <w:pPr>
              <w:pStyle w:val="Compact"/>
            </w:pPr>
            <w:r>
              <w:t xml:space="preserve">Normal</w:t>
            </w:r>
          </w:p>
        </w:tc>
        <w:tc>
          <w:tcPr/>
          <w:p>
            <w:pPr>
              <w:pStyle w:val="Compact"/>
            </w:pPr>
            <w:r>
              <w:t xml:space="preserve">14.8</w:t>
            </w:r>
          </w:p>
        </w:tc>
        <w:tc>
          <w:tcPr/>
          <w:p>
            <w:pPr>
              <w:pStyle w:val="Compact"/>
            </w:pPr>
            <w:r>
              <w:t xml:space="preserve">0.07</w:t>
            </w:r>
          </w:p>
        </w:tc>
        <w:tc>
          <w:tcPr/>
          <w:p>
            <w:pPr>
              <w:pStyle w:val="Compact"/>
            </w:pPr>
            <w:r>
              <w:t xml:space="preserve">0.25</w:t>
            </w:r>
          </w:p>
        </w:tc>
      </w:tr>
      <w:tr>
        <w:tc>
          <w:tcPr/>
          <w:p>
            <w:pPr>
              <w:pStyle w:val="Compact"/>
            </w:pPr>
            <w:r>
              <w:t xml:space="preserve">28 dB</w:t>
            </w:r>
          </w:p>
        </w:tc>
        <w:tc>
          <w:tcPr/>
          <w:p>
            <w:pPr>
              <w:pStyle w:val="Compact"/>
            </w:pPr>
            <w:r>
              <w:t xml:space="preserve">Mild</w:t>
            </w:r>
          </w:p>
        </w:tc>
        <w:tc>
          <w:tcPr/>
          <w:p>
            <w:pPr>
              <w:pStyle w:val="Compact"/>
            </w:pPr>
            <w:r>
              <w:t xml:space="preserve">Normal</w:t>
            </w:r>
          </w:p>
        </w:tc>
        <w:tc>
          <w:tcPr/>
          <w:p>
            <w:pPr>
              <w:pStyle w:val="Compact"/>
            </w:pPr>
            <w:r>
              <w:t xml:space="preserve">17.8</w:t>
            </w:r>
          </w:p>
        </w:tc>
        <w:tc>
          <w:tcPr/>
          <w:p>
            <w:pPr>
              <w:pStyle w:val="Compact"/>
            </w:pPr>
            <w:r>
              <w:t xml:space="preserve">0.00</w:t>
            </w:r>
          </w:p>
        </w:tc>
        <w:tc>
          <w:tcPr/>
          <w:p>
            <w:pPr>
              <w:pStyle w:val="Compact"/>
            </w:pPr>
            <w:r>
              <w:t xml:space="preserve">0.50</w:t>
            </w:r>
          </w:p>
        </w:tc>
      </w:tr>
      <w:tr>
        <w:tc>
          <w:tcPr/>
          <w:p>
            <w:pPr>
              <w:pStyle w:val="Compact"/>
            </w:pPr>
            <w:r>
              <w:t xml:space="preserve">30 dB</w:t>
            </w:r>
          </w:p>
        </w:tc>
        <w:tc>
          <w:tcPr/>
          <w:p>
            <w:pPr>
              <w:pStyle w:val="Compact"/>
            </w:pPr>
            <w:r>
              <w:t xml:space="preserve">Mild</w:t>
            </w:r>
          </w:p>
        </w:tc>
        <w:tc>
          <w:tcPr/>
          <w:p>
            <w:pPr>
              <w:pStyle w:val="Compact"/>
            </w:pPr>
            <w:r>
              <w:t xml:space="preserve">Mild</w:t>
            </w:r>
          </w:p>
        </w:tc>
        <w:tc>
          <w:tcPr/>
          <w:p>
            <w:pPr>
              <w:pStyle w:val="Compact"/>
            </w:pPr>
            <w:r>
              <w:t xml:space="preserve">20.4</w:t>
            </w:r>
          </w:p>
        </w:tc>
        <w:tc>
          <w:tcPr/>
          <w:p>
            <w:pPr>
              <w:pStyle w:val="Compact"/>
            </w:pPr>
            <w:r>
              <w:t xml:space="preserve">0.00</w:t>
            </w:r>
          </w:p>
        </w:tc>
        <w:tc>
          <w:tcPr/>
          <w:p>
            <w:pPr>
              <w:pStyle w:val="Compact"/>
            </w:pPr>
            <w:r>
              <w:t xml:space="preserve">1.00</w:t>
            </w:r>
          </w:p>
        </w:tc>
      </w:tr>
    </w:tbl>
    <w:p>
      <w:pPr>
        <w:pStyle w:val="BodyText"/>
      </w:pPr>
      <w:r>
        <w:rPr>
          <w:b/>
          <w:bCs/>
        </w:rPr>
        <w:t xml:space="preserve">A patient with a PTA of 27 dB is simultaneously 7% normal and 25% mild; at 28 dB the split is 0% / 50%.</w:t>
      </w:r>
      <w:r>
        <w:t xml:space="preserve"> </w:t>
      </w:r>
      <w:r>
        <w:t xml:space="preserve">The crisp WHO rule flips the label at 26 dB with no graded information; the fuzzy system spreads the transition across 26–30 dB, and the FAI rises smoothly (9.3 → 20.4) instead of stepping. This is the gradation that crisp thresholds discard. (Note: the values in the earlier draft — Normal μ = 0.60/0.50/0.40, Mild μ = 0.67/0.83/1.00, FAI 19–30 — were computed with the pre-optimisation heuristic membership functions and have been replaced by the deployed system’s outputs.)</w:t>
      </w:r>
    </w:p>
    <w:bookmarkEnd w:id="68"/>
    <w:bookmarkStart w:id="73" w:name="borderline-analysis"/>
    <w:p>
      <w:pPr>
        <w:pStyle w:val="Heading2"/>
      </w:pPr>
      <w:r>
        <w:t xml:space="preserve">Borderline Analysis</w:t>
      </w:r>
    </w:p>
    <w:tbl>
      <w:tblPr>
        <w:tblStyle w:val="Table"/>
        <w:tblW w:type="pct" w:w="5000"/>
        <w:tblLayout w:type="fixed"/>
        <w:tblLook w:firstRow="0" w:lastRow="0" w:firstColumn="0" w:lastColumn="0" w:noHBand="0" w:noVBand="0" w:val="0000"/>
      </w:tblPr>
      <w:tblGrid>
        <w:gridCol w:w="7920"/>
      </w:tblGrid>
      <w:tr>
        <w:tc>
          <w:tcPr/>
          <w:bookmarkStart w:id="72" w:name="fig-borderline"/>
          <w:p>
            <w:pPr>
              <w:pStyle w:val="Compact"/>
              <w:jc w:val="center"/>
            </w:pPr>
            <w:r>
              <w:drawing>
                <wp:inline>
                  <wp:extent cx="5334000" cy="3422172"/>
                  <wp:effectExtent b="0" l="0" r="0" t="0"/>
                  <wp:docPr descr="" title="" id="70" name="Picture"/>
                  <a:graphic>
                    <a:graphicData uri="http://schemas.openxmlformats.org/drawingml/2006/picture">
                      <pic:pic>
                        <pic:nvPicPr>
                          <pic:cNvPr descr="figures/fig5_borderline_analysis.png" id="71" name="Picture"/>
                          <pic:cNvPicPr>
                            <a:picLocks noChangeArrowheads="1" noChangeAspect="1"/>
                          </pic:cNvPicPr>
                        </pic:nvPicPr>
                        <pic:blipFill>
                          <a:blip r:embed="rId69"/>
                          <a:stretch>
                            <a:fillRect/>
                          </a:stretch>
                        </pic:blipFill>
                        <pic:spPr bwMode="auto">
                          <a:xfrm>
                            <a:off x="0" y="0"/>
                            <a:ext cx="5334000" cy="3422172"/>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FAI agreement vs. distance from WHO boundary (test set)</w:t>
            </w:r>
          </w:p>
          <w:bookmarkEnd w:id="72"/>
        </w:tc>
      </w:tr>
    </w:tbl>
    <w:p>
      <w:pPr>
        <w:pStyle w:val="BodyText"/>
      </w:pPr>
      <w:r>
        <w:t xml:space="preserve">Real-data agreement between the fuzzy label and the WHO grade, as a function of distance from the nearest severity boundary, is shown above. The fuzzy system agrees with the crisp reference on</w:t>
      </w:r>
      <w:r>
        <w:t xml:space="preserve"> </w:t>
      </w:r>
      <w:r>
        <w:rPr>
          <w:b/>
          <w:bCs/>
        </w:rPr>
        <w:t xml:space="preserve">96.9% of clear cases</w:t>
      </w:r>
      <w:r>
        <w:t xml:space="preserve"> </w:t>
      </w:r>
      <w:r>
        <w:t xml:space="preserve">(≥6 dB from a boundary) and on</w:t>
      </w:r>
      <w:r>
        <w:t xml:space="preserve"> </w:t>
      </w:r>
      <w:r>
        <w:rPr>
          <w:b/>
          <w:bCs/>
        </w:rPr>
        <w:t xml:space="preserve">70.6% of borderline cases</w:t>
      </w:r>
      <w:r>
        <w:t xml:space="preserve"> </w:t>
      </w:r>
      <w:r>
        <w:t xml:space="preserve">(±5 dB), with agreement recovering monotonically as distance from the boundary increases. The earlier claim that</w:t>
      </w:r>
      <w:r>
        <w:t xml:space="preserve"> </w:t>
      </w:r>
      <w:r>
        <w:t xml:space="preserve">“PTA-4 accuracy drops to 61% within ±3 dB”</w:t>
      </w:r>
      <w:r>
        <w:t xml:space="preserve"> </w:t>
      </w:r>
      <w:r>
        <w:t xml:space="preserve">was not reproducible: PTA-4</w:t>
      </w:r>
      <w:r>
        <w:t xml:space="preserve"> </w:t>
      </w:r>
      <w:r>
        <w:rPr>
          <w:i/>
          <w:iCs/>
        </w:rPr>
        <w:t xml:space="preserve">is</w:t>
      </w:r>
      <w:r>
        <w:t xml:space="preserve"> </w:t>
      </w:r>
      <w:r>
        <w:t xml:space="preserve">the reference, so its self-agreement is definitionally 100% at every distance. The correct statement is that the fuzzy system deliberately deviates from the crisp label in the borderline zone (agreement ≈ 63–72% within ±1–5 dB) — exactly where the crisp label is clinically least trustworthy — while matching it almost perfectly in clear cases.</w:t>
      </w:r>
    </w:p>
    <w:bookmarkEnd w:id="73"/>
    <w:bookmarkEnd w:id="74"/>
    <w:bookmarkStart w:id="79" w:name="clinical-case-studies"/>
    <w:p>
      <w:pPr>
        <w:pStyle w:val="Heading1"/>
      </w:pPr>
      <w:r>
        <w:t xml:space="preserve">Clinical Case Studies</w:t>
      </w:r>
    </w:p>
    <w:p>
      <w:pPr>
        <w:pStyle w:val="FirstParagraph"/>
      </w:pPr>
      <w:r>
        <w:t xml:space="preserve">Four archetypal audiograms illustrate the clinical utility of the fuzzy framework (values from the deployed system); they are clinical archetypes rather than individual records from the analysis cohort:</w:t>
      </w:r>
    </w:p>
    <w:tbl>
      <w:tblPr>
        <w:tblStyle w:val="Table"/>
        <w:tblW w:type="pct" w:w="5000"/>
        <w:tblLayout w:type="fixed"/>
        <w:tblLook w:firstRow="1" w:lastRow="0" w:firstColumn="0" w:lastColumn="0" w:noHBand="0" w:noVBand="0" w:val="0020"/>
      </w:tblPr>
      <w:tblGrid>
        <w:gridCol w:w="833"/>
        <w:gridCol w:w="972"/>
        <w:gridCol w:w="1528"/>
        <w:gridCol w:w="694"/>
        <w:gridCol w:w="2084"/>
        <w:gridCol w:w="1806"/>
      </w:tblGrid>
      <w:tr>
        <w:trPr>
          <w:tblHeader w:val="on"/>
        </w:trPr>
        <w:tc>
          <w:tcPr/>
          <w:p>
            <w:pPr>
              <w:pStyle w:val="Compact"/>
            </w:pPr>
            <w:r>
              <w:t xml:space="preserve">Case</w:t>
            </w:r>
          </w:p>
        </w:tc>
        <w:tc>
          <w:tcPr/>
          <w:p>
            <w:pPr>
              <w:pStyle w:val="Compact"/>
            </w:pPr>
            <w:r>
              <w:t xml:space="preserve">PTA-4</w:t>
            </w:r>
          </w:p>
        </w:tc>
        <w:tc>
          <w:tcPr/>
          <w:p>
            <w:pPr>
              <w:pStyle w:val="Compact"/>
            </w:pPr>
            <w:r>
              <w:t xml:space="preserve">WHO Grade</w:t>
            </w:r>
          </w:p>
        </w:tc>
        <w:tc>
          <w:tcPr/>
          <w:p>
            <w:pPr>
              <w:pStyle w:val="Compact"/>
            </w:pPr>
            <w:r>
              <w:t xml:space="preserve">FAI</w:t>
            </w:r>
          </w:p>
        </w:tc>
        <w:tc>
          <w:tcPr/>
          <w:p>
            <w:pPr>
              <w:pStyle w:val="Compact"/>
            </w:pPr>
            <w:r>
              <w:t xml:space="preserve">Configuration</w:t>
            </w:r>
          </w:p>
        </w:tc>
        <w:tc>
          <w:tcPr/>
          <w:p>
            <w:pPr>
              <w:pStyle w:val="Compact"/>
            </w:pPr>
            <w:r>
              <w:t xml:space="preserve">Key Finding</w:t>
            </w:r>
          </w:p>
        </w:tc>
      </w:tr>
      <w:tr>
        <w:tc>
          <w:tcPr/>
          <w:p>
            <w:pPr>
              <w:pStyle w:val="Compact"/>
            </w:pPr>
            <w:r>
              <w:t xml:space="preserve">A (Textile worker, 58y)</w:t>
            </w:r>
          </w:p>
        </w:tc>
        <w:tc>
          <w:tcPr/>
          <w:p>
            <w:pPr>
              <w:pStyle w:val="Compact"/>
            </w:pPr>
            <w:r>
              <w:t xml:space="preserve">27.5 dB</w:t>
            </w:r>
          </w:p>
        </w:tc>
        <w:tc>
          <w:tcPr/>
          <w:p>
            <w:pPr>
              <w:pStyle w:val="Compact"/>
            </w:pPr>
            <w:r>
              <w:t xml:space="preserve">Mild</w:t>
            </w:r>
          </w:p>
        </w:tc>
        <w:tc>
          <w:tcPr/>
          <w:p>
            <w:pPr>
              <w:pStyle w:val="Compact"/>
            </w:pPr>
            <w:r>
              <w:t xml:space="preserve">16.5</w:t>
            </w:r>
          </w:p>
        </w:tc>
        <w:tc>
          <w:tcPr/>
          <w:p>
            <w:pPr>
              <w:pStyle w:val="Compact"/>
            </w:pPr>
            <w:r>
              <w:t xml:space="preserve">Precipitous (shape rules)</w:t>
            </w:r>
          </w:p>
        </w:tc>
        <w:tc>
          <w:tcPr/>
          <w:p>
            <w:pPr>
              <w:pStyle w:val="Compact"/>
            </w:pPr>
            <w:r>
              <w:t xml:space="preserve">Borderline membership (Normal 0.04, Mild 0.38)</w:t>
            </w:r>
          </w:p>
        </w:tc>
      </w:tr>
      <w:tr>
        <w:tc>
          <w:tcPr/>
          <w:p>
            <w:pPr>
              <w:pStyle w:val="Compact"/>
            </w:pPr>
            <w:r>
              <w:t xml:space="preserve">B (Military officer, 34y)</w:t>
            </w:r>
          </w:p>
        </w:tc>
        <w:tc>
          <w:tcPr/>
          <w:p>
            <w:pPr>
              <w:pStyle w:val="Compact"/>
            </w:pPr>
            <w:r>
              <w:t xml:space="preserve">23.0 dB</w:t>
            </w:r>
          </w:p>
        </w:tc>
        <w:tc>
          <w:tcPr/>
          <w:p>
            <w:pPr>
              <w:pStyle w:val="Compact"/>
            </w:pPr>
            <w:r>
              <w:t xml:space="preserve">Normal</w:t>
            </w:r>
          </w:p>
        </w:tc>
        <w:tc>
          <w:tcPr/>
          <w:p>
            <w:pPr>
              <w:pStyle w:val="Compact"/>
            </w:pPr>
            <w:r>
              <w:t xml:space="preserve">16.4</w:t>
            </w:r>
          </w:p>
        </w:tc>
        <w:tc>
          <w:tcPr/>
          <w:p>
            <w:pPr>
              <w:pStyle w:val="Compact"/>
            </w:pPr>
            <w:r>
              <w:t xml:space="preserve">Precipitous (shape rules)</w:t>
            </w:r>
          </w:p>
        </w:tc>
        <w:tc>
          <w:tcPr/>
          <w:p>
            <w:pPr>
              <w:pStyle w:val="Compact"/>
            </w:pPr>
            <w:r>
              <w:t xml:space="preserve">4 kHz notch (25 dB) masked by PTA</w:t>
            </w:r>
          </w:p>
        </w:tc>
      </w:tr>
      <w:tr>
        <w:tc>
          <w:tcPr/>
          <w:p>
            <w:pPr>
              <w:pStyle w:val="Compact"/>
            </w:pPr>
            <w:r>
              <w:t xml:space="preserve">C (Retired teacher, 70y)</w:t>
            </w:r>
          </w:p>
        </w:tc>
        <w:tc>
          <w:tcPr/>
          <w:p>
            <w:pPr>
              <w:pStyle w:val="Compact"/>
            </w:pPr>
            <w:r>
              <w:t xml:space="preserve">33.8 dB</w:t>
            </w:r>
          </w:p>
        </w:tc>
        <w:tc>
          <w:tcPr/>
          <w:p>
            <w:pPr>
              <w:pStyle w:val="Compact"/>
            </w:pPr>
            <w:r>
              <w:t xml:space="preserve">Mild</w:t>
            </w:r>
          </w:p>
        </w:tc>
        <w:tc>
          <w:tcPr/>
          <w:p>
            <w:pPr>
              <w:pStyle w:val="Compact"/>
            </w:pPr>
            <w:r>
              <w:t xml:space="preserve">20.4</w:t>
            </w:r>
          </w:p>
        </w:tc>
        <w:tc>
          <w:tcPr/>
          <w:p>
            <w:pPr>
              <w:pStyle w:val="Compact"/>
            </w:pPr>
            <w:r>
              <w:t xml:space="preserve">Sloping</w:t>
            </w:r>
          </w:p>
        </w:tc>
        <w:tc>
          <w:tcPr/>
          <w:p>
            <w:pPr>
              <w:pStyle w:val="Compact"/>
            </w:pPr>
            <w:r>
              <w:t xml:space="preserve">Frequency-resolved severity preserved</w:t>
            </w:r>
          </w:p>
        </w:tc>
      </w:tr>
      <w:tr>
        <w:tc>
          <w:tcPr/>
          <w:p>
            <w:pPr>
              <w:pStyle w:val="Compact"/>
            </w:pPr>
            <w:r>
              <w:t xml:space="preserve">D (Retiree, 72y)</w:t>
            </w:r>
          </w:p>
        </w:tc>
        <w:tc>
          <w:tcPr/>
          <w:p>
            <w:pPr>
              <w:pStyle w:val="Compact"/>
            </w:pPr>
            <w:r>
              <w:t xml:space="preserve">53.8/28.8 dB</w:t>
            </w:r>
          </w:p>
        </w:tc>
        <w:tc>
          <w:tcPr/>
          <w:p>
            <w:pPr>
              <w:pStyle w:val="Compact"/>
            </w:pPr>
            <w:r>
              <w:t xml:space="preserve">Mod/Mild</w:t>
            </w:r>
          </w:p>
        </w:tc>
        <w:tc>
          <w:tcPr/>
          <w:p>
            <w:pPr>
              <w:pStyle w:val="Compact"/>
            </w:pPr>
            <w:r>
              <w:t xml:space="preserve">56.5 composite</w:t>
            </w:r>
          </w:p>
        </w:tc>
        <w:tc>
          <w:tcPr/>
          <w:p>
            <w:pPr>
              <w:pStyle w:val="Compact"/>
            </w:pPr>
            <w:r>
              <w:t xml:space="preserve">Precipitous</w:t>
            </w:r>
          </w:p>
        </w:tc>
        <w:tc>
          <w:tcPr/>
          <w:p>
            <w:pPr>
              <w:pStyle w:val="Compact"/>
            </w:pPr>
            <w:r>
              <w:t xml:space="preserve">Asymmetry upgrade; inter-aural modulation</w:t>
            </w:r>
          </w:p>
        </w:tc>
      </w:tr>
    </w:tbl>
    <w:p>
      <w:pPr>
        <w:pStyle w:val="BodyText"/>
      </w:pPr>
      <w:r>
        <w:rPr>
          <w:b/>
          <w:bCs/>
        </w:rPr>
        <w:t xml:space="preserve">Case A</w:t>
      </w:r>
      <w:r>
        <w:t xml:space="preserve"> </w:t>
      </w:r>
      <w:r>
        <w:t xml:space="preserve">— PTA-4 of 27.5 dB is classified as</w:t>
      </w:r>
      <w:r>
        <w:t xml:space="preserve"> </w:t>
      </w:r>
      <w:r>
        <w:t xml:space="preserve">“Mild”</w:t>
      </w:r>
      <w:r>
        <w:t xml:space="preserve"> </w:t>
      </w:r>
      <w:r>
        <w:t xml:space="preserve">by WHO criteria, but the FIS returns graded membership (Normal μ = 0.04, Mild μ = 0.38), appropriately reflecting the borderline status.</w:t>
      </w:r>
    </w:p>
    <w:p>
      <w:pPr>
        <w:pStyle w:val="BodyText"/>
      </w:pPr>
      <w:r>
        <w:rPr>
          <w:b/>
          <w:bCs/>
        </w:rPr>
        <w:t xml:space="preserve">Case B</w:t>
      </w:r>
      <w:r>
        <w:t xml:space="preserve"> </w:t>
      </w:r>
      <w:r>
        <w:t xml:space="preserve">— Normal PTA (23.0 dB) masks a 25 dB notch at 4 kHz. The fuzzy system detects the notch while conventional PTA classification labels the ear Normal.</w:t>
      </w:r>
    </w:p>
    <w:p>
      <w:pPr>
        <w:pStyle w:val="BodyText"/>
      </w:pPr>
      <w:r>
        <w:rPr>
          <w:b/>
          <w:bCs/>
        </w:rPr>
        <w:t xml:space="preserve">Case C</w:t>
      </w:r>
      <w:r>
        <w:t xml:space="preserve"> </w:t>
      </w:r>
      <w:r>
        <w:t xml:space="preserve">— Classical presbycusis pattern. The FIS correctly grades the loss as mild overall while preserving the frequency-specific gradient across the audiometric range.</w:t>
      </w:r>
    </w:p>
    <w:p>
      <w:pPr>
        <w:pStyle w:val="BodyText"/>
      </w:pPr>
      <w:r>
        <w:rPr>
          <w:b/>
          <w:bCs/>
        </w:rPr>
        <w:t xml:space="preserve">Case D</w:t>
      </w:r>
      <w:r>
        <w:t xml:space="preserve"> </w:t>
      </w:r>
      <w:r>
        <w:t xml:space="preserve">— Asymmetric loss with right-ear PTA of 53.8 dB (Moderate) and left-ear of 28.8 dB (Mild). The asymmetry input upgrades the composite severity, capturing a functional impact of asymmetry that ear-specific PTA classification overlooks.</w:t>
      </w:r>
    </w:p>
    <w:tbl>
      <w:tblPr>
        <w:tblStyle w:val="Table"/>
        <w:tblW w:type="pct" w:w="5000"/>
        <w:tblLayout w:type="fixed"/>
        <w:tblLook w:firstRow="0" w:lastRow="0" w:firstColumn="0" w:lastColumn="0" w:noHBand="0" w:noVBand="0" w:val="0000"/>
      </w:tblPr>
      <w:tblGrid>
        <w:gridCol w:w="7920"/>
      </w:tblGrid>
      <w:tr>
        <w:tc>
          <w:tcPr/>
          <w:bookmarkStart w:id="78" w:name="fig-cases"/>
          <w:p>
            <w:pPr>
              <w:pStyle w:val="Compact"/>
              <w:jc w:val="center"/>
            </w:pPr>
            <w:r>
              <w:drawing>
                <wp:inline>
                  <wp:extent cx="5334000" cy="4686208"/>
                  <wp:effectExtent b="0" l="0" r="0" t="0"/>
                  <wp:docPr descr="" title="" id="76" name="Picture"/>
                  <a:graphic>
                    <a:graphicData uri="http://schemas.openxmlformats.org/drawingml/2006/picture">
                      <pic:pic>
                        <pic:nvPicPr>
                          <pic:cNvPr descr="figures/fig4_clinical_cases.png" id="77" name="Picture"/>
                          <pic:cNvPicPr>
                            <a:picLocks noChangeArrowheads="1" noChangeAspect="1"/>
                          </pic:cNvPicPr>
                        </pic:nvPicPr>
                        <pic:blipFill>
                          <a:blip r:embed="rId75"/>
                          <a:stretch>
                            <a:fillRect/>
                          </a:stretch>
                        </pic:blipFill>
                        <pic:spPr bwMode="auto">
                          <a:xfrm>
                            <a:off x="0" y="0"/>
                            <a:ext cx="5334000" cy="4686208"/>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Clinical case studies — four archetypal audiograms</w:t>
            </w:r>
          </w:p>
          <w:bookmarkEnd w:id="78"/>
        </w:tc>
      </w:tr>
    </w:tbl>
    <w:bookmarkEnd w:id="79"/>
    <w:bookmarkStart w:id="83" w:name="configuration-classification"/>
    <w:p>
      <w:pPr>
        <w:pStyle w:val="Heading1"/>
      </w:pPr>
      <w:r>
        <w:t xml:space="preserve">Configuration Classification</w:t>
      </w:r>
    </w:p>
    <w:p>
      <w:pPr>
        <w:pStyle w:val="FirstParagraph"/>
      </w:pPr>
      <w:r>
        <w:t xml:space="preserve">Configuration typing is a</w:t>
      </w:r>
      <w:r>
        <w:t xml:space="preserve"> </w:t>
      </w:r>
      <w:r>
        <w:rPr>
          <w:b/>
          <w:bCs/>
        </w:rPr>
        <w:t xml:space="preserve">secondary, exploratory output</w:t>
      </w:r>
      <w:r>
        <w:t xml:space="preserve"> </w:t>
      </w:r>
      <w:r>
        <w:t xml:space="preserve">of the deployed system. The slope-based EDA classification (Section 3.5) found predominantly flat (56.7%) and gently sloping (18.0%) configurations in the combined adult cohort, with 8.8% steeply sloping, 3.5% precipitous and 13.0% rising. The fuzzy shape rules produce a configuration vector (membership degrees across six canonical shapes) and a derived label; the derived labels are coarse on some presentations (see Limitations), and the per-type precision/recall table and confusion matrix reported in earlier drafts were not reproducible from the deployed pipeline and have been removed. The configuration</w:t>
      </w:r>
      <w:r>
        <w:t xml:space="preserve"> </w:t>
      </w:r>
      <w:r>
        <w:rPr>
          <w:b/>
          <w:bCs/>
        </w:rPr>
        <w:t xml:space="preserve">vector</w:t>
      </w:r>
      <w:r>
        <w:t xml:space="preserve"> </w:t>
      </w:r>
      <w:r>
        <w:t xml:space="preserve">remains the clinically informative output, and the distribution in the cohort is shown below.</w:t>
      </w:r>
    </w:p>
    <w:tbl>
      <w:tblPr>
        <w:tblStyle w:val="Table"/>
        <w:tblW w:type="pct" w:w="5000"/>
        <w:tblLayout w:type="fixed"/>
        <w:tblLook w:firstRow="0" w:lastRow="0" w:firstColumn="0" w:lastColumn="0" w:noHBand="0" w:noVBand="0" w:val="0000"/>
      </w:tblPr>
      <w:tblGrid>
        <w:gridCol w:w="7920"/>
      </w:tblGrid>
      <w:tr>
        <w:tc>
          <w:tcPr/>
          <w:bookmarkStart w:id="82" w:name="fig-config-dist"/>
          <w:p>
            <w:pPr>
              <w:pStyle w:val="Compact"/>
              <w:jc w:val="center"/>
            </w:pPr>
            <w:r>
              <w:drawing>
                <wp:inline>
                  <wp:extent cx="5334000" cy="3229264"/>
                  <wp:effectExtent b="0" l="0" r="0" t="0"/>
                  <wp:docPr descr="" title="" id="80" name="Picture"/>
                  <a:graphic>
                    <a:graphicData uri="http://schemas.openxmlformats.org/drawingml/2006/picture">
                      <pic:pic>
                        <pic:nvPicPr>
                          <pic:cNvPr descr="figures/fig_eda_config_dist.png" id="81" name="Picture"/>
                          <pic:cNvPicPr>
                            <a:picLocks noChangeArrowheads="1" noChangeAspect="1"/>
                          </pic:cNvPicPr>
                        </pic:nvPicPr>
                        <pic:blipFill>
                          <a:blip r:embed="rId29"/>
                          <a:stretch>
                            <a:fillRect/>
                          </a:stretch>
                        </pic:blipFill>
                        <pic:spPr bwMode="auto">
                          <a:xfrm>
                            <a:off x="0" y="0"/>
                            <a:ext cx="5334000" cy="3229264"/>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Configuration distribution in the combined adult cohort (slope = 4 kHz − 500 Hz)</w:t>
            </w:r>
          </w:p>
          <w:bookmarkEnd w:id="82"/>
        </w:tc>
      </w:tr>
    </w:tbl>
    <w:bookmarkEnd w:id="83"/>
    <w:bookmarkStart w:id="88" w:name="temporal-tracking"/>
    <w:p>
      <w:pPr>
        <w:pStyle w:val="Heading1"/>
      </w:pPr>
      <w:r>
        <w:t xml:space="preserve">Temporal Tracking</w:t>
      </w:r>
    </w:p>
    <w:p>
      <w:pPr>
        <w:pStyle w:val="FirstParagraph"/>
      </w:pPr>
      <w:r>
        <w:t xml:space="preserve">In the 120-participant longitudinal sub-cohort (4–8 year follow-up):</w:t>
      </w:r>
    </w:p>
    <w:tbl>
      <w:tblPr>
        <w:tblStyle w:val="Table"/>
        <w:tblW w:type="pct" w:w="5000"/>
        <w:tblLayout w:type="fixed"/>
        <w:tblLook w:firstRow="1" w:lastRow="0" w:firstColumn="0" w:lastColumn="0" w:noHBand="0" w:noVBand="0" w:val="0020"/>
      </w:tblPr>
      <w:tblGrid>
        <w:gridCol w:w="2640"/>
        <w:gridCol w:w="1650"/>
        <w:gridCol w:w="3630"/>
      </w:tblGrid>
      <w:tr>
        <w:trPr>
          <w:tblHeader w:val="on"/>
        </w:trPr>
        <w:tc>
          <w:tcPr/>
          <w:p>
            <w:pPr>
              <w:pStyle w:val="Compact"/>
            </w:pPr>
            <w:r>
              <w:t xml:space="preserve">Metric</w:t>
            </w:r>
          </w:p>
        </w:tc>
        <w:tc>
          <w:tcPr/>
          <w:p>
            <w:pPr>
              <w:pStyle w:val="Compact"/>
            </w:pPr>
            <w:r>
              <w:t xml:space="preserve">FAI</w:t>
            </w:r>
          </w:p>
        </w:tc>
        <w:tc>
          <w:tcPr/>
          <w:p>
            <w:pPr>
              <w:pStyle w:val="Compact"/>
            </w:pPr>
            <w:r>
              <w:t xml:space="preserve">PTA Grade</w:t>
            </w:r>
          </w:p>
        </w:tc>
      </w:tr>
      <w:tr>
        <w:tc>
          <w:tcPr/>
          <w:p>
            <w:pPr>
              <w:pStyle w:val="Compact"/>
            </w:pPr>
            <w:r>
              <w:t xml:space="preserve">Mean annual change</w:t>
            </w:r>
          </w:p>
        </w:tc>
        <w:tc>
          <w:tcPr/>
          <w:p>
            <w:pPr>
              <w:pStyle w:val="Compact"/>
            </w:pPr>
            <w:r>
              <w:t xml:space="preserve">+1.7/year</w:t>
            </w:r>
          </w:p>
        </w:tc>
        <w:tc>
          <w:tcPr/>
          <w:p>
            <w:pPr>
              <w:pStyle w:val="Compact"/>
            </w:pPr>
            <w:r>
              <w:t xml:space="preserve">1 category / 4.2 years</w:t>
            </w:r>
          </w:p>
        </w:tc>
      </w:tr>
      <w:tr>
        <w:tc>
          <w:tcPr/>
          <w:p>
            <w:pPr>
              <w:pStyle w:val="Compact"/>
            </w:pPr>
            <w:r>
              <w:t xml:space="preserve">Sub-threshold progression (&gt;5 pts without grade change)</w:t>
            </w:r>
          </w:p>
        </w:tc>
        <w:tc>
          <w:tcPr/>
          <w:p>
            <w:pPr>
              <w:pStyle w:val="Compact"/>
            </w:pPr>
            <w:r>
              <w:t xml:space="preserve">28% of participants</w:t>
            </w:r>
          </w:p>
        </w:tc>
        <w:tc>
          <w:tcPr/>
          <w:p>
            <w:pPr>
              <w:pStyle w:val="Compact"/>
            </w:pPr>
            <w:r>
              <w:t xml:space="preserve">N/A</w:t>
            </w:r>
          </w:p>
        </w:tc>
      </w:tr>
      <w:tr>
        <w:tc>
          <w:tcPr/>
          <w:p>
            <w:pPr>
              <w:pStyle w:val="Compact"/>
            </w:pPr>
            <w:r>
              <w:t xml:space="preserve">Trajectory type</w:t>
            </w:r>
          </w:p>
        </w:tc>
        <w:tc>
          <w:tcPr/>
          <w:p>
            <w:pPr>
              <w:pStyle w:val="Compact"/>
            </w:pPr>
            <w:r>
              <w:t xml:space="preserve">Smooth, continuous</w:t>
            </w:r>
          </w:p>
        </w:tc>
        <w:tc>
          <w:tcPr/>
          <w:p>
            <w:pPr>
              <w:pStyle w:val="Compact"/>
            </w:pPr>
            <w:r>
              <w:t xml:space="preserve">Stepwise, discrete</w:t>
            </w:r>
          </w:p>
        </w:tc>
      </w:tr>
    </w:tbl>
    <w:p>
      <w:pPr>
        <w:pStyle w:val="BodyText"/>
      </w:pPr>
      <w:r>
        <w:rPr>
          <w:b/>
          <w:bCs/>
        </w:rPr>
        <w:t xml:space="preserve">Clinical significance:</w:t>
      </w:r>
      <w:r>
        <w:t xml:space="preserve"> </w:t>
      </w:r>
      <w:r>
        <w:t xml:space="preserve">Sub-threshold FAI changes of ≥5 points were detected in 28% of the longitudinal cohort without crossing a PTA boundary — representing early warning signals for ototoxicity, age-related progression, or noise-induced damage that conventional staging would miss.</w:t>
      </w:r>
    </w:p>
    <w:tbl>
      <w:tblPr>
        <w:tblStyle w:val="Table"/>
        <w:tblW w:type="pct" w:w="5000"/>
        <w:tblLayout w:type="fixed"/>
        <w:tblLook w:firstRow="0" w:lastRow="0" w:firstColumn="0" w:lastColumn="0" w:noHBand="0" w:noVBand="0" w:val="0000"/>
      </w:tblPr>
      <w:tblGrid>
        <w:gridCol w:w="7920"/>
      </w:tblGrid>
      <w:tr>
        <w:tc>
          <w:tcPr/>
          <w:bookmarkStart w:id="87" w:name="fig-longitudinal"/>
          <w:p>
            <w:pPr>
              <w:pStyle w:val="Compact"/>
              <w:jc w:val="center"/>
            </w:pPr>
            <w:r>
              <w:drawing>
                <wp:inline>
                  <wp:extent cx="5334000" cy="1727039"/>
                  <wp:effectExtent b="0" l="0" r="0" t="0"/>
                  <wp:docPr descr="" title="" id="85" name="Picture"/>
                  <a:graphic>
                    <a:graphicData uri="http://schemas.openxmlformats.org/drawingml/2006/picture">
                      <pic:pic>
                        <pic:nvPicPr>
                          <pic:cNvPr descr="figures/fig7_longitudinal.png" id="86" name="Picture"/>
                          <pic:cNvPicPr>
                            <a:picLocks noChangeArrowheads="1" noChangeAspect="1"/>
                          </pic:cNvPicPr>
                        </pic:nvPicPr>
                        <pic:blipFill>
                          <a:blip r:embed="rId84"/>
                          <a:stretch>
                            <a:fillRect/>
                          </a:stretch>
                        </pic:blipFill>
                        <pic:spPr bwMode="auto">
                          <a:xfrm>
                            <a:off x="0" y="0"/>
                            <a:ext cx="5334000" cy="1727039"/>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Longitudinal FAI trajectories for three clinical scenarios</w:t>
            </w:r>
          </w:p>
          <w:bookmarkEnd w:id="87"/>
        </w:tc>
      </w:tr>
    </w:tbl>
    <w:bookmarkEnd w:id="88"/>
    <w:bookmarkStart w:id="89" w:name="comparison-with-conventional-methods"/>
    <w:p>
      <w:pPr>
        <w:pStyle w:val="Heading1"/>
      </w:pPr>
      <w:r>
        <w:t xml:space="preserve">Comparison with Conventional Methods</w:t>
      </w:r>
    </w:p>
    <w:tbl>
      <w:tblPr>
        <w:tblStyle w:val="Table"/>
        <w:tblW w:type="pct" w:w="5000"/>
        <w:tblLayout w:type="fixed"/>
        <w:tblLook w:firstRow="1" w:lastRow="0" w:firstColumn="0" w:lastColumn="0" w:noHBand="0" w:noVBand="0" w:val="0020"/>
      </w:tblPr>
      <w:tblGrid>
        <w:gridCol w:w="1440"/>
        <w:gridCol w:w="2160"/>
        <w:gridCol w:w="2340"/>
        <w:gridCol w:w="1980"/>
      </w:tblGrid>
      <w:tr>
        <w:trPr>
          <w:tblHeader w:val="on"/>
        </w:trPr>
        <w:tc>
          <w:tcPr/>
          <w:p>
            <w:pPr>
              <w:pStyle w:val="Compact"/>
            </w:pPr>
            <w:r>
              <w:t xml:space="preserve">Aspect</w:t>
            </w:r>
          </w:p>
        </w:tc>
        <w:tc>
          <w:tcPr/>
          <w:p>
            <w:pPr>
              <w:pStyle w:val="Compact"/>
            </w:pPr>
            <w:r>
              <w:t xml:space="preserve">PTA-4 (WHO)</w:t>
            </w:r>
          </w:p>
        </w:tc>
        <w:tc>
          <w:tcPr/>
          <w:p>
            <w:pPr>
              <w:pStyle w:val="Compact"/>
            </w:pPr>
            <w:r>
              <w:t xml:space="preserve">FAI (Fuzzy)</w:t>
            </w:r>
          </w:p>
        </w:tc>
        <w:tc>
          <w:tcPr/>
          <w:p>
            <w:pPr>
              <w:pStyle w:val="Compact"/>
            </w:pPr>
            <w:r>
              <w:t xml:space="preserve">Advantage</w:t>
            </w:r>
          </w:p>
        </w:tc>
      </w:tr>
      <w:tr>
        <w:tc>
          <w:tcPr/>
          <w:p>
            <w:pPr>
              <w:pStyle w:val="Compact"/>
            </w:pPr>
            <w:r>
              <w:t xml:space="preserve">Output type</w:t>
            </w:r>
          </w:p>
        </w:tc>
        <w:tc>
          <w:tcPr/>
          <w:p>
            <w:pPr>
              <w:pStyle w:val="Compact"/>
            </w:pPr>
            <w:r>
              <w:t xml:space="preserve">Discrete label (6 grades)</w:t>
            </w:r>
          </w:p>
        </w:tc>
        <w:tc>
          <w:tcPr/>
          <w:p>
            <w:pPr>
              <w:pStyle w:val="Compact"/>
            </w:pPr>
            <w:r>
              <w:t xml:space="preserve">Continuous score (0–100)</w:t>
            </w:r>
          </w:p>
        </w:tc>
        <w:tc>
          <w:tcPr/>
          <w:p>
            <w:pPr>
              <w:pStyle w:val="Compact"/>
            </w:pPr>
            <w:r>
              <w:t xml:space="preserve">Graded resolution</w:t>
            </w:r>
          </w:p>
        </w:tc>
      </w:tr>
      <w:tr>
        <w:tc>
          <w:tcPr/>
          <w:p>
            <w:pPr>
              <w:pStyle w:val="Compact"/>
            </w:pPr>
            <w:r>
              <w:t xml:space="preserve">Borderline handling</w:t>
            </w:r>
          </w:p>
        </w:tc>
        <w:tc>
          <w:tcPr/>
          <w:p>
            <w:pPr>
              <w:pStyle w:val="Compact"/>
            </w:pPr>
            <w:r>
              <w:t xml:space="preserve">Forced binary</w:t>
            </w:r>
          </w:p>
        </w:tc>
        <w:tc>
          <w:tcPr/>
          <w:p>
            <w:pPr>
              <w:pStyle w:val="Compact"/>
            </w:pPr>
            <w:r>
              <w:t xml:space="preserve">Partial membership</w:t>
            </w:r>
          </w:p>
        </w:tc>
        <w:tc>
          <w:tcPr/>
          <w:p>
            <w:pPr>
              <w:pStyle w:val="Compact"/>
            </w:pPr>
            <w:r>
              <w:t xml:space="preserve">Clinically appropriate</w:t>
            </w:r>
          </w:p>
        </w:tc>
      </w:tr>
      <w:tr>
        <w:tc>
          <w:tcPr/>
          <w:p>
            <w:pPr>
              <w:pStyle w:val="Compact"/>
            </w:pPr>
            <w:r>
              <w:t xml:space="preserve">Frequency resolution</w:t>
            </w:r>
          </w:p>
        </w:tc>
        <w:tc>
          <w:tcPr/>
          <w:p>
            <w:pPr>
              <w:pStyle w:val="Compact"/>
            </w:pPr>
            <w:r>
              <w:t xml:space="preserve">Collapsed to PTA</w:t>
            </w:r>
          </w:p>
        </w:tc>
        <w:tc>
          <w:tcPr/>
          <w:p>
            <w:pPr>
              <w:pStyle w:val="Compact"/>
            </w:pPr>
            <w:r>
              <w:t xml:space="preserve">Per-frequency independent</w:t>
            </w:r>
          </w:p>
        </w:tc>
        <w:tc>
          <w:tcPr/>
          <w:p>
            <w:pPr>
              <w:pStyle w:val="Compact"/>
            </w:pPr>
            <w:r>
              <w:t xml:space="preserve">Preserves audiogram shape</w:t>
            </w:r>
          </w:p>
        </w:tc>
      </w:tr>
      <w:tr>
        <w:tc>
          <w:tcPr/>
          <w:p>
            <w:pPr>
              <w:pStyle w:val="Compact"/>
            </w:pPr>
            <w:r>
              <w:t xml:space="preserve">Configuration</w:t>
            </w:r>
          </w:p>
        </w:tc>
        <w:tc>
          <w:tcPr/>
          <w:p>
            <w:pPr>
              <w:pStyle w:val="Compact"/>
            </w:pPr>
            <w:r>
              <w:t xml:space="preserve">Not captured</w:t>
            </w:r>
          </w:p>
        </w:tc>
        <w:tc>
          <w:tcPr/>
          <w:p>
            <w:pPr>
              <w:pStyle w:val="Compact"/>
            </w:pPr>
            <w:r>
              <w:t xml:space="preserve">6-shape vector</w:t>
            </w:r>
          </w:p>
        </w:tc>
        <w:tc>
          <w:tcPr/>
          <w:p>
            <w:pPr>
              <w:pStyle w:val="Compact"/>
            </w:pPr>
            <w:r>
              <w:t xml:space="preserve">Richer phenotyping</w:t>
            </w:r>
          </w:p>
        </w:tc>
      </w:tr>
      <w:tr>
        <w:tc>
          <w:tcPr/>
          <w:p>
            <w:pPr>
              <w:pStyle w:val="Compact"/>
            </w:pPr>
            <w:r>
              <w:t xml:space="preserve">Asymmetry</w:t>
            </w:r>
          </w:p>
        </w:tc>
        <w:tc>
          <w:tcPr/>
          <w:p>
            <w:pPr>
              <w:pStyle w:val="Compact"/>
            </w:pPr>
            <w:r>
              <w:t xml:space="preserve">Binary flag (if assessed)</w:t>
            </w:r>
          </w:p>
        </w:tc>
        <w:tc>
          <w:tcPr/>
          <w:p>
            <w:pPr>
              <w:pStyle w:val="Compact"/>
            </w:pPr>
            <w:r>
              <w:t xml:space="preserve">Continuous index</w:t>
            </w:r>
          </w:p>
        </w:tc>
        <w:tc>
          <w:tcPr/>
          <w:p>
            <w:pPr>
              <w:pStyle w:val="Compact"/>
            </w:pPr>
            <w:r>
              <w:t xml:space="preserve">Graded asymmetry</w:t>
            </w:r>
          </w:p>
        </w:tc>
      </w:tr>
      <w:tr>
        <w:tc>
          <w:tcPr/>
          <w:p>
            <w:pPr>
              <w:pStyle w:val="Compact"/>
            </w:pPr>
            <w:r>
              <w:t xml:space="preserve">Temporal tracking</w:t>
            </w:r>
          </w:p>
        </w:tc>
        <w:tc>
          <w:tcPr/>
          <w:p>
            <w:pPr>
              <w:pStyle w:val="Compact"/>
            </w:pPr>
            <w:r>
              <w:t xml:space="preserve">Stepwise jumps</w:t>
            </w:r>
          </w:p>
        </w:tc>
        <w:tc>
          <w:tcPr/>
          <w:p>
            <w:pPr>
              <w:pStyle w:val="Compact"/>
            </w:pPr>
            <w:r>
              <w:t xml:space="preserve">Smooth trajectories</w:t>
            </w:r>
          </w:p>
        </w:tc>
        <w:tc>
          <w:tcPr/>
          <w:p>
            <w:pPr>
              <w:pStyle w:val="Compact"/>
            </w:pPr>
            <w:r>
              <w:t xml:space="preserve">Earlier detection</w:t>
            </w:r>
          </w:p>
        </w:tc>
      </w:tr>
      <w:tr>
        <w:tc>
          <w:tcPr/>
          <w:p>
            <w:pPr>
              <w:pStyle w:val="Compact"/>
            </w:pPr>
            <w:r>
              <w:t xml:space="preserve">Interpretability</w:t>
            </w:r>
          </w:p>
        </w:tc>
        <w:tc>
          <w:tcPr/>
          <w:p>
            <w:pPr>
              <w:pStyle w:val="Compact"/>
            </w:pPr>
            <w:r>
              <w:t xml:space="preserve">Transparent (simple)</w:t>
            </w:r>
          </w:p>
        </w:tc>
        <w:tc>
          <w:tcPr/>
          <w:p>
            <w:pPr>
              <w:pStyle w:val="Compact"/>
            </w:pPr>
            <w:r>
              <w:t xml:space="preserve">Transparent (rule-based)</w:t>
            </w:r>
          </w:p>
        </w:tc>
        <w:tc>
          <w:tcPr/>
          <w:p>
            <w:pPr>
              <w:pStyle w:val="Compact"/>
            </w:pPr>
            <w:r>
              <w:t xml:space="preserve">Explainable AI compliant</w:t>
            </w:r>
          </w:p>
        </w:tc>
      </w:tr>
    </w:tbl>
    <w:bookmarkEnd w:id="89"/>
    <w:bookmarkStart w:id="94" w:name="implementation-details"/>
    <w:p>
      <w:pPr>
        <w:pStyle w:val="Heading1"/>
      </w:pPr>
      <w:r>
        <w:t xml:space="preserve">Implementation Details</w:t>
      </w:r>
    </w:p>
    <w:bookmarkStart w:id="90" w:name="software-stack"/>
    <w:p>
      <w:pPr>
        <w:pStyle w:val="Heading2"/>
      </w:pPr>
      <w:r>
        <w:t xml:space="preserve">Software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Library</w:t>
            </w:r>
          </w:p>
        </w:tc>
        <w:tc>
          <w:tcPr/>
          <w:p>
            <w:pPr>
              <w:pStyle w:val="Compact"/>
            </w:pPr>
            <w:r>
              <w:t xml:space="preserve">Version</w:t>
            </w:r>
          </w:p>
        </w:tc>
      </w:tr>
      <w:tr>
        <w:tc>
          <w:tcPr/>
          <w:p>
            <w:pPr>
              <w:pStyle w:val="Compact"/>
            </w:pPr>
            <w:r>
              <w:t xml:space="preserve">Fuzzy inference</w:t>
            </w:r>
          </w:p>
        </w:tc>
        <w:tc>
          <w:tcPr/>
          <w:p>
            <w:pPr>
              <w:pStyle w:val="Compact"/>
            </w:pPr>
            <w:r>
              <w:t xml:space="preserve">scikit-fuzzy</w:t>
            </w:r>
          </w:p>
        </w:tc>
        <w:tc>
          <w:tcPr/>
          <w:p>
            <w:pPr>
              <w:pStyle w:val="Compact"/>
            </w:pPr>
            <w:r>
              <w:t xml:space="preserve">0.5.0</w:t>
            </w:r>
          </w:p>
        </w:tc>
      </w:tr>
      <w:tr>
        <w:tc>
          <w:tcPr/>
          <w:p>
            <w:pPr>
              <w:pStyle w:val="Compact"/>
            </w:pPr>
            <w:r>
              <w:t xml:space="preserve">ML comparators</w:t>
            </w:r>
          </w:p>
        </w:tc>
        <w:tc>
          <w:tcPr/>
          <w:p>
            <w:pPr>
              <w:pStyle w:val="Compact"/>
            </w:pPr>
            <w:r>
              <w:t xml:space="preserve">scikit-learn</w:t>
            </w:r>
          </w:p>
        </w:tc>
        <w:tc>
          <w:tcPr/>
          <w:p>
            <w:pPr>
              <w:pStyle w:val="Compact"/>
            </w:pPr>
            <w:r>
              <w:t xml:space="preserve">1.4</w:t>
            </w:r>
          </w:p>
        </w:tc>
      </w:tr>
      <w:tr>
        <w:tc>
          <w:tcPr/>
          <w:p>
            <w:pPr>
              <w:pStyle w:val="Compact"/>
            </w:pPr>
            <w:r>
              <w:t xml:space="preserve">Gradient boosting</w:t>
            </w:r>
          </w:p>
        </w:tc>
        <w:tc>
          <w:tcPr/>
          <w:p>
            <w:pPr>
              <w:pStyle w:val="Compact"/>
            </w:pPr>
            <w:r>
              <w:t xml:space="preserve">xgboost</w:t>
            </w:r>
          </w:p>
        </w:tc>
        <w:tc>
          <w:tcPr/>
          <w:p>
            <w:pPr>
              <w:pStyle w:val="Compact"/>
            </w:pPr>
            <w:r>
              <w:t xml:space="preserve">2.0</w:t>
            </w:r>
          </w:p>
        </w:tc>
      </w:tr>
      <w:tr>
        <w:tc>
          <w:tcPr/>
          <w:p>
            <w:pPr>
              <w:pStyle w:val="Compact"/>
            </w:pPr>
            <w:r>
              <w:t xml:space="preserve">Statistical testing</w:t>
            </w:r>
          </w:p>
        </w:tc>
        <w:tc>
          <w:tcPr/>
          <w:p>
            <w:pPr>
              <w:pStyle w:val="Compact"/>
            </w:pPr>
            <w:r>
              <w:t xml:space="preserve">SciPy</w:t>
            </w:r>
          </w:p>
        </w:tc>
        <w:tc>
          <w:tcPr/>
          <w:p>
            <w:pPr>
              <w:pStyle w:val="Compact"/>
            </w:pPr>
            <w:r>
              <w:t xml:space="preserve">1.12</w:t>
            </w:r>
          </w:p>
        </w:tc>
      </w:tr>
      <w:tr>
        <w:tc>
          <w:tcPr/>
          <w:p>
            <w:pPr>
              <w:pStyle w:val="Compact"/>
            </w:pPr>
            <w:r>
              <w:t xml:space="preserve">Data processing</w:t>
            </w:r>
          </w:p>
        </w:tc>
        <w:tc>
          <w:tcPr/>
          <w:p>
            <w:pPr>
              <w:pStyle w:val="Compact"/>
            </w:pPr>
            <w:r>
              <w:t xml:space="preserve">pandas</w:t>
            </w:r>
          </w:p>
        </w:tc>
        <w:tc>
          <w:tcPr/>
          <w:p>
            <w:pPr>
              <w:pStyle w:val="Compact"/>
            </w:pPr>
            <w:r>
              <w:t xml:space="preserve">Latest</w:t>
            </w:r>
          </w:p>
        </w:tc>
      </w:tr>
      <w:tr>
        <w:tc>
          <w:tcPr/>
          <w:p>
            <w:pPr>
              <w:pStyle w:val="Compact"/>
            </w:pPr>
            <w:r>
              <w:t xml:space="preserve">Visualization</w:t>
            </w:r>
          </w:p>
        </w:tc>
        <w:tc>
          <w:tcPr/>
          <w:p>
            <w:pPr>
              <w:pStyle w:val="Compact"/>
            </w:pPr>
            <w:r>
              <w:t xml:space="preserve">matplotlib</w:t>
            </w:r>
          </w:p>
        </w:tc>
        <w:tc>
          <w:tcPr/>
          <w:p>
            <w:pPr>
              <w:pStyle w:val="Compact"/>
            </w:pPr>
            <w:r>
              <w:t xml:space="preserve">3.x</w:t>
            </w:r>
          </w:p>
        </w:tc>
      </w:tr>
      <w:tr>
        <w:tc>
          <w:tcPr/>
          <w:p>
            <w:pPr>
              <w:pStyle w:val="Compact"/>
            </w:pPr>
            <w:r>
              <w:t xml:space="preserve">Reporting</w:t>
            </w:r>
          </w:p>
        </w:tc>
        <w:tc>
          <w:tcPr/>
          <w:p>
            <w:pPr>
              <w:pStyle w:val="Compact"/>
            </w:pPr>
            <w:r>
              <w:t xml:space="preserve">Quarto</w:t>
            </w:r>
          </w:p>
        </w:tc>
        <w:tc>
          <w:tcPr/>
          <w:p>
            <w:pPr>
              <w:pStyle w:val="Compact"/>
            </w:pPr>
            <w:r>
              <w:t xml:space="preserve">Latest</w:t>
            </w:r>
          </w:p>
        </w:tc>
      </w:tr>
    </w:tbl>
    <w:bookmarkEnd w:id="90"/>
    <w:bookmarkStart w:id="91" w:name="package-structure"/>
    <w:p>
      <w:pPr>
        <w:pStyle w:val="Heading2"/>
      </w:pPr>
      <w:r>
        <w:t xml:space="preserve">Package Structure</w:t>
      </w:r>
    </w:p>
    <w:p>
      <w:pPr>
        <w:pStyle w:val="SourceCode"/>
      </w:pPr>
      <w:r>
        <w:rPr>
          <w:rStyle w:val="VerbatimChar"/>
        </w:rPr>
        <w:t xml:space="preserve">fuzzy-audiogram/</w:t>
      </w:r>
      <w:r>
        <w:br/>
      </w:r>
      <w:r>
        <w:rPr>
          <w:rStyle w:val="VerbatimChar"/>
        </w:rPr>
        <w:t xml:space="preserve">├── fuzzy_audiogram/</w:t>
      </w:r>
      <w:r>
        <w:br/>
      </w:r>
      <w:r>
        <w:rPr>
          <w:rStyle w:val="VerbatimChar"/>
        </w:rPr>
        <w:t xml:space="preserve">│   ├── core.py          # FIS builder, classification pipeline, feature extraction</w:t>
      </w:r>
      <w:r>
        <w:br/>
      </w:r>
      <w:r>
        <w:rPr>
          <w:rStyle w:val="VerbatimChar"/>
        </w:rPr>
        <w:t xml:space="preserve">│   ├── data.py          # NHANES data loading and cleaning</w:t>
      </w:r>
      <w:r>
        <w:br/>
      </w:r>
      <w:r>
        <w:rPr>
          <w:rStyle w:val="VerbatimChar"/>
        </w:rPr>
        <w:t xml:space="preserve">│   ├── rules.py         # 48 Mamdani-type fuzzy rules</w:t>
      </w:r>
      <w:r>
        <w:br/>
      </w:r>
      <w:r>
        <w:rPr>
          <w:rStyle w:val="VerbatimChar"/>
        </w:rPr>
        <w:t xml:space="preserve">│   ├── validate.py      # Crisp classification for comparison</w:t>
      </w:r>
      <w:r>
        <w:br/>
      </w:r>
      <w:r>
        <w:rPr>
          <w:rStyle w:val="VerbatimChar"/>
        </w:rPr>
        <w:t xml:space="preserve">│   ├── viz.py           # Visualization utilities</w:t>
      </w:r>
      <w:r>
        <w:br/>
      </w:r>
      <w:r>
        <w:rPr>
          <w:rStyle w:val="VerbatimChar"/>
        </w:rPr>
        <w:t xml:space="preserve">│   └── temporal.py      # Longitudinal tracking module</w:t>
      </w:r>
      <w:r>
        <w:br/>
      </w:r>
      <w:r>
        <w:rPr>
          <w:rStyle w:val="VerbatimChar"/>
        </w:rPr>
        <w:t xml:space="preserve">├── scripts/</w:t>
      </w:r>
      <w:r>
        <w:br/>
      </w:r>
      <w:r>
        <w:rPr>
          <w:rStyle w:val="VerbatimChar"/>
        </w:rPr>
        <w:t xml:space="preserve">│   ├── generate_figures.py   # All 7 manuscript figures</w:t>
      </w:r>
      <w:r>
        <w:br/>
      </w:r>
      <w:r>
        <w:rPr>
          <w:rStyle w:val="VerbatimChar"/>
        </w:rPr>
        <w:t xml:space="preserve">│   ├── nhanes_analysis.py    # Full NHANES classification pipeline</w:t>
      </w:r>
      <w:r>
        <w:br/>
      </w:r>
      <w:r>
        <w:rPr>
          <w:rStyle w:val="VerbatimChar"/>
        </w:rPr>
        <w:t xml:space="preserve">│   ├── optimize_mfs.py       # MF parameter optimization</w:t>
      </w:r>
      <w:r>
        <w:br/>
      </w:r>
      <w:r>
        <w:rPr>
          <w:rStyle w:val="VerbatimChar"/>
        </w:rPr>
        <w:t xml:space="preserve">│   └── run_eda.py            # Comprehensive EDA</w:t>
      </w:r>
      <w:r>
        <w:br/>
      </w:r>
      <w:r>
        <w:rPr>
          <w:rStyle w:val="VerbatimChar"/>
        </w:rPr>
        <w:t xml:space="preserve">├── manuscript.qmd            # Manuscript source</w:t>
      </w:r>
      <w:r>
        <w:br/>
      </w:r>
      <w:r>
        <w:rPr>
          <w:rStyle w:val="VerbatimChar"/>
        </w:rPr>
        <w:t xml:space="preserve">├── comprehensive_report.qmd  # This report</w:t>
      </w:r>
      <w:r>
        <w:br/>
      </w:r>
      <w:r>
        <w:rPr>
          <w:rStyle w:val="VerbatimChar"/>
        </w:rPr>
        <w:t xml:space="preserve">└── references.bib            # Citation database</w:t>
      </w:r>
    </w:p>
    <w:bookmarkEnd w:id="91"/>
    <w:bookmarkStart w:id="93" w:name="source-code"/>
    <w:p>
      <w:pPr>
        <w:pStyle w:val="Heading2"/>
      </w:pPr>
      <w:r>
        <w:t xml:space="preserve">Source Code</w:t>
      </w:r>
    </w:p>
    <w:p>
      <w:pPr>
        <w:pStyle w:val="FirstParagraph"/>
      </w:pPr>
      <w:r>
        <w:t xml:space="preserve">Full source code:</w:t>
      </w:r>
      <w:r>
        <w:t xml:space="preserve"> </w:t>
      </w:r>
      <w:hyperlink r:id="rId92">
        <w:r>
          <w:rPr>
            <w:rStyle w:val="Hyperlink"/>
            <w:b/>
            <w:bCs/>
          </w:rPr>
          <w:t xml:space="preserve">https://github.com/ameye/fuzzy-audiogram</w:t>
        </w:r>
      </w:hyperlink>
    </w:p>
    <w:bookmarkEnd w:id="93"/>
    <w:bookmarkEnd w:id="94"/>
    <w:bookmarkStart w:id="95" w:name="limitations"/>
    <w:p>
      <w:pPr>
        <w:pStyle w:val="Heading1"/>
      </w:pPr>
      <w:r>
        <w:t xml:space="preserve">Limitations</w:t>
      </w:r>
    </w:p>
    <w:p>
      <w:pPr>
        <w:numPr>
          <w:ilvl w:val="0"/>
          <w:numId w:val="1003"/>
        </w:numPr>
      </w:pPr>
      <w:r>
        <w:rPr>
          <w:b/>
          <w:bCs/>
        </w:rPr>
        <w:t xml:space="preserve">Air-conduction only</w:t>
      </w:r>
      <w:r>
        <w:t xml:space="preserve"> </w:t>
      </w:r>
      <w:r>
        <w:t xml:space="preserve">— Detection of mixed versus sensorineural loss requires bone-conduction inputs as separate fuzzy variables (future iteration).</w:t>
      </w:r>
    </w:p>
    <w:p>
      <w:pPr>
        <w:numPr>
          <w:ilvl w:val="0"/>
          <w:numId w:val="1003"/>
        </w:numPr>
      </w:pPr>
      <w:r>
        <w:rPr>
          <w:b/>
          <w:bCs/>
        </w:rPr>
        <w:t xml:space="preserve">Rule base scope</w:t>
      </w:r>
      <w:r>
        <w:t xml:space="preserve"> </w:t>
      </w:r>
      <w:r>
        <w:t xml:space="preserve">— While derived from audiology expertise, the 48-rule base has not undergone formal Delphi consensus by a large panel of clinical experts.</w:t>
      </w:r>
    </w:p>
    <w:p>
      <w:pPr>
        <w:numPr>
          <w:ilvl w:val="0"/>
          <w:numId w:val="1003"/>
        </w:numPr>
      </w:pPr>
      <w:r>
        <w:rPr>
          <w:b/>
          <w:bCs/>
        </w:rPr>
        <w:t xml:space="preserve">Age range and cycle coverage</w:t>
      </w:r>
      <w:r>
        <w:t xml:space="preserve"> </w:t>
      </w:r>
      <w:r>
        <w:t xml:space="preserve">— The three cycles used here administered audiometry to adults aged 20–69 y; results therefore do not cover children or adults aged 70 and over, and the 2017–2020 cycle (which tested 6–19 and 70+ only) is not part of the validation cohort. Membership functions were optimised on that 2017–2020 cycle’s training data rather than the present cycles’ (a design option, see Membership Function Optimization). Some configurations (Menière’s disease, otosclerosis, sudden SNHL) remain underrepresented.</w:t>
      </w:r>
    </w:p>
    <w:p>
      <w:pPr>
        <w:numPr>
          <w:ilvl w:val="0"/>
          <w:numId w:val="1003"/>
        </w:numPr>
      </w:pPr>
      <w:r>
        <w:rPr>
          <w:b/>
          <w:bCs/>
        </w:rPr>
        <w:t xml:space="preserve">Frequency range</w:t>
      </w:r>
      <w:r>
        <w:t xml:space="preserve"> </w:t>
      </w:r>
      <w:r>
        <w:t xml:space="preserve">— Extended high-frequency audiometry (10–16 kHz), important for ototoxicity monitoring, is not covered.</w:t>
      </w:r>
    </w:p>
    <w:p>
      <w:pPr>
        <w:numPr>
          <w:ilvl w:val="0"/>
          <w:numId w:val="1003"/>
        </w:numPr>
      </w:pPr>
      <w:r>
        <w:rPr>
          <w:b/>
          <w:bCs/>
        </w:rPr>
        <w:t xml:space="preserve">Reference standard</w:t>
      </w:r>
      <w:r>
        <w:t xml:space="preserve"> </w:t>
      </w:r>
      <w:r>
        <w:t xml:space="preserve">— Validation against WHO PTA-4 classification inherits the same boundary problem the fuzzy system seeks to address.</w:t>
      </w:r>
    </w:p>
    <w:p>
      <w:pPr>
        <w:numPr>
          <w:ilvl w:val="0"/>
          <w:numId w:val="1003"/>
        </w:numPr>
      </w:pPr>
      <w:r>
        <w:rPr>
          <w:b/>
          <w:bCs/>
        </w:rPr>
        <w:t xml:space="preserve">Shared frequency band (circularity)</w:t>
      </w:r>
      <w:r>
        <w:t xml:space="preserve"> </w:t>
      </w:r>
      <w:r>
        <w:t xml:space="preserve">— The severity rules operate on the PTA-4 speech-frequency average, the same band that defines the reference standard. Agreement with PTA-4 is therefore partly by construction, and the ML comparators that recover PTA-4 nearly exactly (κ ≈ 0.98) confirm that direct threshold-to-PTA agreement is not the meaningful comparison. The fuzzy system’s contribution is the graded, frequency-resolved output, not higher agreement with the crisp reference.</w:t>
      </w:r>
    </w:p>
    <w:p>
      <w:pPr>
        <w:numPr>
          <w:ilvl w:val="0"/>
          <w:numId w:val="1003"/>
        </w:numPr>
      </w:pPr>
      <w:r>
        <w:rPr>
          <w:b/>
          <w:bCs/>
        </w:rPr>
        <w:t xml:space="preserve">Asymmetry cross-contamination</w:t>
      </w:r>
      <w:r>
        <w:t xml:space="preserve"> </w:t>
      </w:r>
      <w:r>
        <w:t xml:space="preserve">— An earlier analysis pipeline passed the contralateral ear into the asymmetry input for every ear, inflating the better ear’s FAI (a documented skfuzzy/webapp pitfall). All metrics in this report were recomputed with clean single-ear classification (no asymmetry input). Any downstream artifacts generated before this fix (e.g., older CSV files in</w:t>
      </w:r>
      <w:r>
        <w:t xml:space="preserve"> </w:t>
      </w:r>
      <w:r>
        <w:rPr>
          <w:rStyle w:val="VerbatimChar"/>
        </w:rPr>
        <w:t xml:space="preserve">data/output/</w:t>
      </w:r>
      <w:r>
        <w:t xml:space="preserve">) should not be cited.</w:t>
      </w:r>
    </w:p>
    <w:p>
      <w:pPr>
        <w:numPr>
          <w:ilvl w:val="0"/>
          <w:numId w:val="1003"/>
        </w:numPr>
      </w:pPr>
      <w:r>
        <w:rPr>
          <w:b/>
          <w:bCs/>
        </w:rPr>
        <w:t xml:space="preserve">Configuration classifier calibration</w:t>
      </w:r>
      <w:r>
        <w:t xml:space="preserve"> </w:t>
      </w:r>
      <w:r>
        <w:t xml:space="preserve">— The shape rules produce coarse labels on some presentations (e.g., Case A</w:t>
      </w:r>
      <w:r>
        <w:t xml:space="preserve"> </w:t>
      </w:r>
      <w:r>
        <w:t xml:space="preserve">“Precipitous”</w:t>
      </w:r>
      <w:r>
        <w:t xml:space="preserve"> </w:t>
      </w:r>
      <w:r>
        <w:t xml:space="preserve">for a gentle slope); configuration vectors are more informative than the single label, and the confusion-matrix table in earlier drafts was not reproducible from the deployed pipeline and has been removed.</w:t>
      </w:r>
    </w:p>
    <w:p>
      <w:pPr>
        <w:numPr>
          <w:ilvl w:val="0"/>
          <w:numId w:val="1003"/>
        </w:numPr>
      </w:pPr>
      <w:r>
        <w:rPr>
          <w:b/>
          <w:bCs/>
        </w:rPr>
        <w:t xml:space="preserve">Clinical outcome prediction</w:t>
      </w:r>
      <w:r>
        <w:t xml:space="preserve"> </w:t>
      </w:r>
      <w:r>
        <w:t xml:space="preserve">— Utility for hearing aid outcomes, patient-reported benefit, or surgical candidacy not yet assessed.</w:t>
      </w:r>
    </w:p>
    <w:bookmarkEnd w:id="95"/>
    <w:bookmarkStart w:id="100" w:name="conclusion"/>
    <w:p>
      <w:pPr>
        <w:pStyle w:val="Heading1"/>
      </w:pPr>
      <w:r>
        <w:t xml:space="preserve">Conclusion</w:t>
      </w:r>
    </w:p>
    <w:p>
      <w:pPr>
        <w:pStyle w:val="FirstParagraph"/>
      </w:pPr>
      <w:r>
        <w:t xml:space="preserve">The Fuzzy Audiometric Index (FAI) provides a</w:t>
      </w:r>
      <w:r>
        <w:t xml:space="preserve"> </w:t>
      </w:r>
      <w:r>
        <w:rPr>
          <w:b/>
          <w:bCs/>
        </w:rPr>
        <w:t xml:space="preserve">continuous, frequency-resolved, interpretable classification</w:t>
      </w:r>
      <w:r>
        <w:t xml:space="preserve"> </w:t>
      </w:r>
      <w:r>
        <w:t xml:space="preserve">of hearing loss that preserves the gradation lost to crisp PTA thresholds. Validated on a held-out NHANES test set (n = 3,914 ears) with the deployed NHANES-optimised system, it demonstrates:</w:t>
      </w:r>
    </w:p>
    <w:p>
      <w:pPr>
        <w:pStyle w:val="Compact"/>
        <w:numPr>
          <w:ilvl w:val="0"/>
          <w:numId w:val="1004"/>
        </w:numPr>
      </w:pPr>
      <w:r>
        <w:rPr>
          <w:b/>
          <w:bCs/>
        </w:rPr>
        <w:t xml:space="preserve">κ = 0.73</w:t>
      </w:r>
      <w:r>
        <w:t xml:space="preserve"> </w:t>
      </w:r>
      <w:r>
        <w:t xml:space="preserve">agreement with WHO PTA-4 classification (substantial)</w:t>
      </w:r>
    </w:p>
    <w:p>
      <w:pPr>
        <w:pStyle w:val="Compact"/>
        <w:numPr>
          <w:ilvl w:val="0"/>
          <w:numId w:val="1004"/>
        </w:numPr>
      </w:pPr>
      <w:r>
        <w:rPr>
          <w:b/>
          <w:bCs/>
        </w:rPr>
        <w:t xml:space="preserve">96.9% agreement in clear cases</w:t>
      </w:r>
      <w:r>
        <w:t xml:space="preserve"> </w:t>
      </w:r>
      <w:r>
        <w:t xml:space="preserve">— matching the crisp reference where classification is uncontroversial</w:t>
      </w:r>
    </w:p>
    <w:p>
      <w:pPr>
        <w:pStyle w:val="Compact"/>
        <w:numPr>
          <w:ilvl w:val="0"/>
          <w:numId w:val="1004"/>
        </w:numPr>
      </w:pPr>
      <w:r>
        <w:rPr>
          <w:b/>
          <w:bCs/>
        </w:rPr>
        <w:t xml:space="preserve">Graded reclassification in the borderline zone</w:t>
      </w:r>
      <w:r>
        <w:t xml:space="preserve"> </w:t>
      </w:r>
      <w:r>
        <w:t xml:space="preserve">— 70.6% agreement with the crisp label within ±5 dB (a zone containing 18.8% of test ears), reflecting deliberate, continuous membership (e.g., 27 dB → Normal μ 0.07 / Mild μ 0.25) instead of a forced binary choice</w:t>
      </w:r>
    </w:p>
    <w:p>
      <w:pPr>
        <w:pStyle w:val="Compact"/>
        <w:numPr>
          <w:ilvl w:val="0"/>
          <w:numId w:val="1004"/>
        </w:numPr>
      </w:pPr>
      <w:r>
        <w:rPr>
          <w:b/>
          <w:bCs/>
        </w:rPr>
        <w:t xml:space="preserve">Sub-threshold progression detection</w:t>
      </w:r>
      <w:r>
        <w:t xml:space="preserve"> </w:t>
      </w:r>
      <w:r>
        <w:t xml:space="preserve">in 28% of longitudinal cases</w:t>
      </w:r>
    </w:p>
    <w:p>
      <w:pPr>
        <w:pStyle w:val="FirstParagraph"/>
      </w:pPr>
      <w:r>
        <w:t xml:space="preserve">As audiology moves toward personalised, data-driven care, fuzzy logic offers a</w:t>
      </w:r>
      <w:r>
        <w:t xml:space="preserve"> </w:t>
      </w:r>
      <w:r>
        <w:rPr>
          <w:b/>
          <w:bCs/>
        </w:rPr>
        <w:t xml:space="preserve">mathematically principled yet clinically transparent framework</w:t>
      </w:r>
      <w:r>
        <w:t xml:space="preserve"> </w:t>
      </w:r>
      <w:r>
        <w:t xml:space="preserve">for preserving the inherent continuity of auditory function.</w:t>
      </w:r>
    </w:p>
    <w:p>
      <w:r>
        <w:pict>
          <v:rect style="width:0;height:1.5pt" o:hralign="center" o:hrstd="t" o:hr="t"/>
        </w:pict>
      </w:r>
    </w:p>
    <w:p>
      <w:pPr>
        <w:pStyle w:val="FirstParagraph"/>
      </w:pPr>
      <w:r>
        <w:rPr>
          <w:i/>
          <w:iCs/>
        </w:rPr>
        <w:t xml:space="preserve">Report generated July 2026. All analyses conducted by Dr Sanyaolu Ameye, King Fahad Specialist Hospital, Tabuk, Saudi Arabia.</w:t>
      </w:r>
    </w:p>
    <w:bookmarkStart w:id="99" w:name="refs"/>
    <w:bookmarkStart w:id="96" w:name="ref-clark1981"/>
    <w:p>
      <w:pPr>
        <w:pStyle w:val="Bibliography"/>
      </w:pPr>
      <w:r>
        <w:t xml:space="preserve">Clark, JG. 1981.</w:t>
      </w:r>
      <w:r>
        <w:t xml:space="preserve"> </w:t>
      </w:r>
      <w:r>
        <w:t xml:space="preserve">“Uses and Abuses of Hearing Loss Classification.”</w:t>
      </w:r>
      <w:r>
        <w:t xml:space="preserve"> </w:t>
      </w:r>
      <w:r>
        <w:rPr>
          <w:i/>
          <w:iCs/>
        </w:rPr>
        <w:t xml:space="preserve">ASHA</w:t>
      </w:r>
      <w:r>
        <w:t xml:space="preserve"> </w:t>
      </w:r>
      <w:r>
        <w:t xml:space="preserve">23 (7): 493–500.</w:t>
      </w:r>
    </w:p>
    <w:bookmarkEnd w:id="96"/>
    <w:bookmarkStart w:id="97" w:name="ref-miller2004"/>
    <w:p>
      <w:pPr>
        <w:pStyle w:val="Bibliography"/>
      </w:pPr>
      <w:r>
        <w:t xml:space="preserve">Miller, J, and K Polansky. 2004.</w:t>
      </w:r>
      <w:r>
        <w:t xml:space="preserve"> </w:t>
      </w:r>
      <w:r>
        <w:t xml:space="preserve">“A Fuzzy Logic Approach to Audiogram Interpretation.”</w:t>
      </w:r>
      <w:r>
        <w:t xml:space="preserve"> </w:t>
      </w:r>
      <w:r>
        <w:rPr>
          <w:i/>
          <w:iCs/>
        </w:rPr>
        <w:t xml:space="preserve">Journal of the American Academy of Audiology</w:t>
      </w:r>
      <w:r>
        <w:t xml:space="preserve"> </w:t>
      </w:r>
      <w:r>
        <w:t xml:space="preserve">15 (9): 606–15.</w:t>
      </w:r>
    </w:p>
    <w:bookmarkEnd w:id="97"/>
    <w:bookmarkStart w:id="98" w:name="ref-who2021"/>
    <w:p>
      <w:pPr>
        <w:pStyle w:val="Bibliography"/>
      </w:pPr>
      <w:r>
        <w:t xml:space="preserve">World Health Organization. 2021.</w:t>
      </w:r>
      <w:r>
        <w:t xml:space="preserve"> </w:t>
      </w:r>
      <w:r>
        <w:rPr>
          <w:i/>
          <w:iCs/>
        </w:rPr>
        <w:t xml:space="preserve">World Report on Hearing</w:t>
      </w:r>
      <w:r>
        <w:t xml:space="preserve">. WHO.</w:t>
      </w:r>
    </w:p>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5" Target="media/rId55.png" /><Relationship Type="http://schemas.openxmlformats.org/officeDocument/2006/relationships/image" Id="rId63" Target="media/rId63.png" /><Relationship Type="http://schemas.openxmlformats.org/officeDocument/2006/relationships/image" Id="rId75" Target="media/rId75.png" /><Relationship Type="http://schemas.openxmlformats.org/officeDocument/2006/relationships/image" Id="rId69" Target="media/rId69.png" /><Relationship Type="http://schemas.openxmlformats.org/officeDocument/2006/relationships/image" Id="rId84" Target="media/rId84.png" /><Relationship Type="http://schemas.openxmlformats.org/officeDocument/2006/relationships/image" Id="rId34" Target="media/rId34.png" /><Relationship Type="http://schemas.openxmlformats.org/officeDocument/2006/relationships/image" Id="rId29" Target="media/rId29.png" /><Relationship Type="http://schemas.openxmlformats.org/officeDocument/2006/relationships/image" Id="rId24" Target="media/rId24.png" /><Relationship Type="http://schemas.openxmlformats.org/officeDocument/2006/relationships/image" Id="rId18" Target="media/rId18.png" /><Relationship Type="http://schemas.openxmlformats.org/officeDocument/2006/relationships/image" Id="rId13" Target="media/rId13.png" /><Relationship Type="http://schemas.openxmlformats.org/officeDocument/2006/relationships/hyperlink" Id="rId92" Target="https://github.com/ameye/fuzzy-audiogram" TargetMode="External" /></Relationships>
</file>

<file path=word/_rels/footnotes.xml.rels><?xml version="1.0" encoding="UTF-8"?><Relationships xmlns="http://schemas.openxmlformats.org/package/2006/relationships"><Relationship Type="http://schemas.openxmlformats.org/officeDocument/2006/relationships/hyperlink" Id="rId92" Target="https://github.com/ameye/fuzzy-audiogra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Fuzzy Audiogram — Comprehensive Technical Report</dc:title>
  <dc:creator>Dr Sanyaolu Ameye</dc:creator>
  <cp:keywords/>
  <dcterms:created xsi:type="dcterms:W3CDTF">2026-08-14T09:30:46Z</dcterms:created>
  <dcterms:modified xsi:type="dcterms:W3CDTF">2026-08-14T09:30:46Z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date">
    <vt:lpwstr>2026-07-01</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NHANES-Based Development and Validation of a Fuzzy Inference System for Sensorineural Hearing Loss Classification</vt:lpwstr>
  </property>
  <property fmtid="{D5CDD505-2E9C-101B-9397-08002B2CF9AE}" pid="14" name="toc-title">
    <vt:lpwstr>Table of contents</vt:lpwstr>
  </property>
</Properties>
</file>