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NHANES Adult Audiometry 20–69 y: Combined-Cycle EDA</w:t>
      </w:r>
    </w:p>
    <w:p>
      <w:pPr>
        <w:pStyle w:val="Subtitle"/>
      </w:pPr>
      <w:r>
        <w:t xml:space="preserve">AUX1 (1999–2000) + AUX_G (2011–2012) + AUX_I (2015–2016)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ata-source-and-files"/>
    <w:p>
      <w:pPr>
        <w:pStyle w:val="Heading1"/>
      </w:pPr>
      <w:r>
        <w:t xml:space="preserve">Data Source and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Exam file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AUX1 1999–2000</w:t>
            </w:r>
          </w:p>
        </w:tc>
        <w:tc>
          <w:tcPr/>
          <w:p>
            <w:pPr>
              <w:pStyle w:val="Compact"/>
            </w:pPr>
            <w:r>
              <w:t xml:space="preserve">/opt/data/AUX1_9900.xpt</w:t>
            </w:r>
          </w:p>
        </w:tc>
        <w:tc>
          <w:tcPr/>
          <w:p>
            <w:pPr>
              <w:pStyle w:val="Compact"/>
            </w:pPr>
            <w:r>
              <w:t xml:space="preserve">1,807</w:t>
            </w:r>
          </w:p>
        </w:tc>
        <w:tc>
          <w:tcPr/>
          <w:p>
            <w:pPr>
              <w:pStyle w:val="Compact"/>
            </w:pPr>
            <w:r>
              <w:t xml:space="preserve">20–69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AUX_G 2011–2012</w:t>
            </w:r>
          </w:p>
        </w:tc>
        <w:tc>
          <w:tcPr/>
          <w:p>
            <w:pPr>
              <w:pStyle w:val="Compact"/>
            </w:pPr>
            <w:r>
              <w:t xml:space="preserve">/opt/data/AUX_G_1112.xpt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20–69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AUX_I 2015–2016</w:t>
            </w:r>
          </w:p>
        </w:tc>
        <w:tc>
          <w:tcPr/>
          <w:p>
            <w:pPr>
              <w:pStyle w:val="Compact"/>
            </w:pPr>
            <w:r>
              <w:t xml:space="preserve">/opt/data/AUX_I_1516.xpt</w:t>
            </w:r>
          </w:p>
        </w:tc>
        <w:tc>
          <w:tcPr/>
          <w:p>
            <w:pPr>
              <w:pStyle w:val="Compact"/>
            </w:pPr>
            <w:r>
              <w:t xml:space="preserve">4,582</w:t>
            </w:r>
          </w:p>
        </w:tc>
        <w:tc>
          <w:tcPr/>
          <w:p>
            <w:pPr>
              <w:pStyle w:val="Compact"/>
            </w:pPr>
            <w:r>
              <w:t xml:space="preserve">20–69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these cycles administered audiometry to adults aged 20–69 y (unlike the 2017–2020 P_AUX cycle, which tested only 6–19 and ≥70).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Frequencies:</w:t>
      </w:r>
      <w:r>
        <w:t xml:space="preserve"> </w:t>
      </w:r>
      <w:r>
        <w:t xml:space="preserve">500, 1000, 2000, 3000, 4000, 6000, 8000 Hz, air-conduction, both 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linked via</w:t>
      </w:r>
      <w:r>
        <w:t xml:space="preserve"> </w:t>
      </w:r>
      <w:r>
        <w:rPr>
          <w:rStyle w:val="VerbatimChar"/>
        </w:rPr>
        <w:t xml:space="preserve">SEQN</w:t>
      </w:r>
      <w:r>
        <w:t xml:space="preserve"> </w:t>
      </w:r>
      <w:r>
        <w:t xml:space="preserve">to each cycle’s DEMO file (age, sex).</w:t>
      </w:r>
    </w:p>
    <w:bookmarkEnd w:id="9"/>
    <w:bookmarkStart w:id="10" w:name="cleaning"/>
    <w:p>
      <w:pPr>
        <w:pStyle w:val="Heading1"/>
      </w:pPr>
      <w:r>
        <w:t xml:space="preserve">Cleaning</w:t>
      </w:r>
    </w:p>
    <w:p>
      <w:pPr>
        <w:pStyle w:val="FirstParagraph"/>
      </w:pPr>
      <w:r>
        <w:t xml:space="preserve">Sentinel codes converted to missing before any statistic:</w:t>
      </w:r>
      <w:r>
        <w:t xml:space="preserve"> </w:t>
      </w:r>
      <w:r>
        <w:rPr>
          <w:b/>
          <w:bCs/>
        </w:rPr>
        <w:t xml:space="preserve">666</w:t>
      </w:r>
      <w:r>
        <w:t xml:space="preserve"> </w:t>
      </w:r>
      <w:r>
        <w:t xml:space="preserve">(no response),</w:t>
      </w:r>
      <w:r>
        <w:t xml:space="preserve"> </w:t>
      </w:r>
      <w:r>
        <w:rPr>
          <w:b/>
          <w:bCs/>
        </w:rPr>
        <w:t xml:space="preserve">777</w:t>
      </w:r>
      <w:r>
        <w:t xml:space="preserve"> </w:t>
      </w:r>
      <w:r>
        <w:t xml:space="preserve">(refused),</w:t>
      </w:r>
      <w:r>
        <w:t xml:space="preserve"> </w:t>
      </w:r>
      <w:r>
        <w:rPr>
          <w:b/>
          <w:bCs/>
        </w:rPr>
        <w:t xml:space="preserve">888</w:t>
      </w:r>
      <w:r>
        <w:t xml:space="preserve"> </w:t>
      </w:r>
      <w:r>
        <w:t xml:space="preserve">(could not obtain),</w:t>
      </w:r>
      <w:r>
        <w:t xml:space="preserve"> </w:t>
      </w:r>
      <w:r>
        <w:rPr>
          <w:b/>
          <w:bCs/>
        </w:rPr>
        <w:t xml:space="preserve">999</w:t>
      </w:r>
      <w:r>
        <w:t xml:space="preserve"> </w:t>
      </w:r>
      <w:r>
        <w:t xml:space="preserve">(not tested). Values clipped to −10–120 dB HL. (The 1999–2000 cycle uses 666 only; 2011–2016 use 666 and 888.)</w:t>
      </w:r>
    </w:p>
    <w:bookmarkEnd w:id="10"/>
    <w:bookmarkStart w:id="11" w:name="sample-flow"/>
    <w:p>
      <w:pPr>
        <w:pStyle w:val="Heading1"/>
      </w:pPr>
      <w:r>
        <w:t xml:space="preserve">Sample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audiometry participants</w:t>
            </w:r>
          </w:p>
        </w:tc>
        <w:tc>
          <w:tcPr/>
          <w:p>
            <w:pPr>
              <w:pStyle w:val="Compact"/>
            </w:pPr>
            <w:r>
              <w:t xml:space="preserve">10,889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ears (all 7 freqs, no sentinels)</w:t>
            </w:r>
          </w:p>
        </w:tc>
        <w:tc>
          <w:tcPr/>
          <w:p>
            <w:pPr>
              <w:pStyle w:val="Compact"/>
            </w:pPr>
            <w:r>
              <w:t xml:space="preserve">9,832</w:t>
            </w:r>
          </w:p>
        </w:tc>
        <w:tc>
          <w:tcPr/>
          <w:p>
            <w:pPr>
              <w:pStyle w:val="Compact"/>
            </w:pPr>
            <w:r>
              <w:t xml:space="preserve">19,568</w:t>
            </w:r>
          </w:p>
        </w:tc>
      </w:tr>
    </w:tbl>
    <w:p>
      <w:pPr>
        <w:pStyle w:val="BodyText"/>
      </w:pPr>
      <w:r>
        <w:t xml:space="preserve">Ears per cycle: AUX_I 2015–2016 8,566, AUX_G 2011–2012 7,670, AUX1 1999–2000 3,332</w:t>
      </w:r>
    </w:p>
    <w:bookmarkEnd w:id="11"/>
    <w:bookmarkStart w:id="18" w:name="demographics"/>
    <w:p>
      <w:pPr>
        <w:pStyle w:val="Heading1"/>
      </w:pPr>
      <w:r>
        <w:t xml:space="preserve">Demographics</w:t>
      </w:r>
    </w:p>
    <w:p>
      <w:pPr>
        <w:pStyle w:val="FirstParagraph"/>
      </w:pPr>
      <w:r>
        <w:rPr>
          <w:b/>
          <w:bCs/>
        </w:rPr>
        <w:t xml:space="preserve">Age (full combined file):</w:t>
      </w:r>
      <w:r>
        <w:t xml:space="preserve"> </w:t>
      </w:r>
      <w:r>
        <w:t xml:space="preserve">mean 43.9 y, median 44.0 y, range 20–69 y; 51.8% female.</w:t>
      </w:r>
    </w:p>
    <w:p>
      <w:pPr>
        <w:pStyle w:val="CaptionedFigure"/>
      </w:pPr>
      <w:r>
        <w:drawing>
          <wp:inline>
            <wp:extent cx="5334000" cy="2905028"/>
            <wp:effectExtent b="0" l="0" r="0" t="0"/>
            <wp:docPr descr="Age distribution" title="" id="13" name="Picture"/>
            <a:graphic>
              <a:graphicData uri="http://schemas.openxmlformats.org/drawingml/2006/picture">
                <pic:pic>
                  <pic:nvPicPr>
                    <pic:cNvPr descr="figures/fig_c01_age_his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 distribution</w:t>
      </w:r>
    </w:p>
    <w:p>
      <w:pPr>
        <w:pStyle w:val="CaptionedFigure"/>
      </w:pPr>
      <w:r>
        <w:drawing>
          <wp:inline>
            <wp:extent cx="5334000" cy="2928588"/>
            <wp:effectExtent b="0" l="0" r="0" t="0"/>
            <wp:docPr descr="Sample per cycle" title="" id="16" name="Picture"/>
            <a:graphic>
              <a:graphicData uri="http://schemas.openxmlformats.org/drawingml/2006/picture">
                <pic:pic>
                  <pic:nvPicPr>
                    <pic:cNvPr descr="figures/fig_c02_cycl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per cycle</w:t>
      </w:r>
    </w:p>
    <w:p>
      <w:pPr>
        <w:pStyle w:val="BodyText"/>
      </w:pPr>
      <w:r>
        <w:rPr>
          <w:b/>
          <w:bCs/>
        </w:rPr>
        <w:t xml:space="preserve">Clean-ear set:</w:t>
      </w:r>
      <w:r>
        <w:t xml:space="preserve"> </w:t>
      </w:r>
      <w:r>
        <w:t xml:space="preserve">9,832 participants, 19,568 ears, mean age 43.9 y, 50.9% female.</w:t>
      </w:r>
    </w:p>
    <w:bookmarkEnd w:id="18"/>
    <w:bookmarkStart w:id="22" w:name="threshold-distributions"/>
    <w:p>
      <w:pPr>
        <w:pStyle w:val="Heading1"/>
      </w:pPr>
      <w:r>
        <w:t xml:space="preserve">Threshold Distributions</w:t>
      </w:r>
    </w:p>
    <w:p>
      <w:pPr>
        <w:pStyle w:val="CaptionedFigure"/>
      </w:pPr>
      <w:r>
        <w:drawing>
          <wp:inline>
            <wp:extent cx="5334000" cy="2902085"/>
            <wp:effectExtent b="0" l="0" r="0" t="0"/>
            <wp:docPr descr="Threshold box plots by frequency" title="" id="20" name="Picture"/>
            <a:graphic>
              <a:graphicData uri="http://schemas.openxmlformats.org/drawingml/2006/picture">
                <pic:pic>
                  <pic:nvPicPr>
                    <pic:cNvPr descr="figures/fig_c03_threshold_bo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box plots by frequency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n (pooled)</w:t>
            </w:r>
          </w:p>
        </w:tc>
        <w:tc>
          <w:tcPr/>
          <w:p>
            <w:pPr>
              <w:pStyle w:val="Compact"/>
            </w:pPr>
            <w:r>
              <w:t xml:space="preserve">Mean (dB)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0.5k</w:t>
            </w:r>
          </w:p>
        </w:tc>
        <w:tc>
          <w:tcPr/>
          <w:p>
            <w:pPr>
              <w:pStyle w:val="Compact"/>
            </w:pPr>
            <w:r>
              <w:t xml:space="preserve">19,655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1k</w:t>
            </w:r>
          </w:p>
        </w:tc>
        <w:tc>
          <w:tcPr/>
          <w:p>
            <w:pPr>
              <w:pStyle w:val="Compact"/>
            </w:pPr>
            <w:r>
              <w:t xml:space="preserve">19,651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2k</w:t>
            </w:r>
          </w:p>
        </w:tc>
        <w:tc>
          <w:tcPr/>
          <w:p>
            <w:pPr>
              <w:pStyle w:val="Compact"/>
            </w:pPr>
            <w:r>
              <w:t xml:space="preserve">19,651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3k</w:t>
            </w:r>
          </w:p>
        </w:tc>
        <w:tc>
          <w:tcPr/>
          <w:p>
            <w:pPr>
              <w:pStyle w:val="Compact"/>
            </w:pPr>
            <w:r>
              <w:t xml:space="preserve">19,643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</w:pPr>
            <w:r>
              <w:t xml:space="preserve">19,634</w:t>
            </w: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6k</w:t>
            </w:r>
          </w:p>
        </w:tc>
        <w:tc>
          <w:tcPr/>
          <w:p>
            <w:pPr>
              <w:pStyle w:val="Compact"/>
            </w:pPr>
            <w:r>
              <w:t xml:space="preserve">19,622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8k</w:t>
            </w:r>
          </w:p>
        </w:tc>
        <w:tc>
          <w:tcPr/>
          <w:p>
            <w:pPr>
              <w:pStyle w:val="Compact"/>
            </w:pPr>
            <w:r>
              <w:t xml:space="preserve">19,589</w:t>
            </w:r>
          </w:p>
        </w:tc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</w:tbl>
    <w:bookmarkEnd w:id="22"/>
    <w:bookmarkStart w:id="26" w:name="pta-4-and-who-severity"/>
    <w:p>
      <w:pPr>
        <w:pStyle w:val="Heading1"/>
      </w:pPr>
      <w:r>
        <w:t xml:space="preserve">PTA-4 and WHO Severity</w:t>
      </w:r>
    </w:p>
    <w:p>
      <w:pPr>
        <w:pStyle w:val="FirstParagraph"/>
      </w:pPr>
      <w:r>
        <w:t xml:space="preserve">PTA-4 = mean of 500, 1000, 2000, 4000 Hz.</w:t>
      </w:r>
    </w:p>
    <w:p>
      <w:pPr>
        <w:pStyle w:val="CaptionedFigure"/>
      </w:pPr>
      <w:r>
        <w:drawing>
          <wp:inline>
            <wp:extent cx="5334000" cy="2902085"/>
            <wp:effectExtent b="0" l="0" r="0" t="0"/>
            <wp:docPr descr="PTA-4 distribution with WHO severity bands" title="" id="24" name="Picture"/>
            <a:graphic>
              <a:graphicData uri="http://schemas.openxmlformats.org/drawingml/2006/picture">
                <pic:pic>
                  <pic:nvPicPr>
                    <pic:cNvPr descr="figures/fig_c04_pta_d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PTA-4 distribution with WHO severity bands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 (WHO)</w:t>
            </w:r>
          </w:p>
        </w:tc>
        <w:tc>
          <w:tcPr/>
          <w:p>
            <w:pPr>
              <w:pStyle w:val="Compact"/>
            </w:pPr>
            <w:r>
              <w:t xml:space="preserve">% of clean 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88.1%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Severe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Profound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</w:tbl>
    <w:bookmarkEnd w:id="26"/>
    <w:bookmarkStart w:id="27" w:name="the-borderline-problem"/>
    <w:p>
      <w:pPr>
        <w:pStyle w:val="Heading1"/>
      </w:pPr>
      <w:r>
        <w:t xml:space="preserve">The Borderline Problem</w:t>
      </w:r>
    </w:p>
    <w:p>
      <w:pPr>
        <w:pStyle w:val="FirstParagraph"/>
      </w:pPr>
      <w:r>
        <w:t xml:space="preserve">Share of clean ears within ±5 dB of a WHO severity boundary: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 zone</w:t>
            </w:r>
          </w:p>
        </w:tc>
        <w:tc>
          <w:tcPr/>
          <w:p>
            <w:pPr>
              <w:pStyle w:val="Compact"/>
            </w:pPr>
            <w:r>
              <w:t xml:space="preserve">dB range</w:t>
            </w:r>
          </w:p>
        </w:tc>
        <w:tc>
          <w:tcPr/>
          <w:p>
            <w:pPr>
              <w:pStyle w:val="Compact"/>
            </w:pPr>
            <w:r>
              <w:t xml:space="preserve">% of 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Normal–Mild</w:t>
            </w:r>
          </w:p>
        </w:tc>
        <w:tc>
          <w:tcPr/>
          <w:p>
            <w:pPr>
              <w:pStyle w:val="Compact"/>
            </w:pPr>
            <w:r>
              <w:t xml:space="preserve">20–30 dB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Mild–Moderate</w:t>
            </w:r>
          </w:p>
        </w:tc>
        <w:tc>
          <w:tcPr/>
          <w:p>
            <w:pPr>
              <w:pStyle w:val="Compact"/>
            </w:pPr>
            <w:r>
              <w:t xml:space="preserve">35–45 dB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Moderate–Mod-Sev</w:t>
            </w:r>
          </w:p>
        </w:tc>
        <w:tc>
          <w:tcPr/>
          <w:p>
            <w:pPr>
              <w:pStyle w:val="Compact"/>
            </w:pPr>
            <w:r>
              <w:t xml:space="preserve">50–60 dB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Mod-Sev–Severe</w:t>
            </w:r>
          </w:p>
        </w:tc>
        <w:tc>
          <w:tcPr/>
          <w:p>
            <w:pPr>
              <w:pStyle w:val="Compact"/>
            </w:pPr>
            <w:r>
              <w:t xml:space="preserve">65–75 dB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Severe–Profound</w:t>
            </w:r>
          </w:p>
        </w:tc>
        <w:tc>
          <w:tcPr/>
          <w:p>
            <w:pPr>
              <w:pStyle w:val="Compact"/>
            </w:pPr>
            <w:r>
              <w:t xml:space="preserve">85–95 dB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18.2%</w:t>
      </w:r>
      <w:r>
        <w:t xml:space="preserve"> </w:t>
      </w:r>
      <w:r>
        <w:t xml:space="preserve">of clean ears fall within ±5 dB of a boundary.</w:t>
      </w:r>
    </w:p>
    <w:bookmarkEnd w:id="27"/>
    <w:bookmarkStart w:id="31" w:name="audiogram-configuration"/>
    <w:p>
      <w:pPr>
        <w:pStyle w:val="Heading1"/>
      </w:pPr>
      <w:r>
        <w:t xml:space="preserve">Audiogram Configuration</w:t>
      </w:r>
    </w:p>
    <w:p>
      <w:pPr>
        <w:pStyle w:val="FirstParagraph"/>
      </w:pPr>
      <w:r>
        <w:t xml:space="preserve">Slope = threshold(4 kHz) − threshold(500 Hz).</w:t>
      </w:r>
    </w:p>
    <w:p>
      <w:pPr>
        <w:pStyle w:val="CaptionedFigure"/>
      </w:pPr>
      <w:r>
        <w:drawing>
          <wp:inline>
            <wp:extent cx="5334000" cy="3229264"/>
            <wp:effectExtent b="0" l="0" r="0" t="0"/>
            <wp:docPr descr="Configuration distribution" title="" id="29" name="Picture"/>
            <a:graphic>
              <a:graphicData uri="http://schemas.openxmlformats.org/drawingml/2006/picture">
                <pic:pic>
                  <pic:nvPicPr>
                    <pic:cNvPr descr="figures/fig_c05_confi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% of clean 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t xml:space="preserve">56.7%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Gently Sloping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Steeply Sloping</w:t>
            </w:r>
          </w:p>
        </w:tc>
        <w:tc>
          <w:tcPr/>
          <w:p>
            <w:pPr>
              <w:pStyle w:val="Compact"/>
            </w:pPr>
            <w:r>
              <w:t xml:space="preserve">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Precipitous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13.0%</w:t>
            </w:r>
          </w:p>
        </w:tc>
      </w:tr>
    </w:tbl>
    <w:bookmarkEnd w:id="31"/>
    <w:bookmarkStart w:id="35" w:name="inter-aural-asymmetry"/>
    <w:p>
      <w:pPr>
        <w:pStyle w:val="Heading1"/>
      </w:pPr>
      <w:r>
        <w:t xml:space="preserve">Inter-Aural Asymmetry</w:t>
      </w:r>
    </w:p>
    <w:p>
      <w:pPr>
        <w:pStyle w:val="FirstParagraph"/>
      </w:pPr>
      <w:r>
        <w:t xml:space="preserve">Bilateral participants (n = 9,736); |PTA-4 R − PTA-4 L|:</w:t>
      </w:r>
    </w:p>
    <w:p>
      <w:pPr>
        <w:pStyle w:val="Compact"/>
        <w:numPr>
          <w:ilvl w:val="0"/>
          <w:numId w:val="1002"/>
        </w:numPr>
      </w:pPr>
      <w:r>
        <w:t xml:space="preserve">94.9% symmetric (≤15 dB)</w:t>
      </w:r>
    </w:p>
    <w:p>
      <w:pPr>
        <w:pStyle w:val="Compact"/>
        <w:numPr>
          <w:ilvl w:val="0"/>
          <w:numId w:val="1002"/>
        </w:numPr>
      </w:pPr>
      <w:r>
        <w:t xml:space="preserve">3.5% mildly asymmetric (16–30 dB)</w:t>
      </w:r>
    </w:p>
    <w:p>
      <w:pPr>
        <w:pStyle w:val="Compact"/>
        <w:numPr>
          <w:ilvl w:val="0"/>
          <w:numId w:val="1002"/>
        </w:numPr>
      </w:pPr>
      <w:r>
        <w:t xml:space="preserve">0.9% moderately asymmetric (31–45 dB)</w:t>
      </w:r>
    </w:p>
    <w:p>
      <w:pPr>
        <w:pStyle w:val="Compact"/>
        <w:numPr>
          <w:ilvl w:val="0"/>
          <w:numId w:val="1002"/>
        </w:numPr>
      </w:pPr>
      <w:r>
        <w:t xml:space="preserve">0.6% severely asymmetric (&gt;45 dB)</w:t>
      </w:r>
    </w:p>
    <w:p>
      <w:pPr>
        <w:pStyle w:val="FirstParagraph"/>
      </w:pPr>
      <w:r>
        <w:t xml:space="preserve">Mean asymmetry 5.2 dB, median 3.8 dB.</w:t>
      </w:r>
    </w:p>
    <w:p>
      <w:pPr>
        <w:pStyle w:val="CaptionedFigure"/>
      </w:pPr>
      <w:r>
        <w:drawing>
          <wp:inline>
            <wp:extent cx="5334000" cy="2631872"/>
            <wp:effectExtent b="0" l="0" r="0" t="0"/>
            <wp:docPr descr="Inter-aural asymmetry" title="" id="33" name="Picture"/>
            <a:graphic>
              <a:graphicData uri="http://schemas.openxmlformats.org/drawingml/2006/picture">
                <pic:pic>
                  <pic:nvPicPr>
                    <pic:cNvPr descr="figures/fig_c06_asymmetr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Inter-aural asymmetry</w:t>
      </w:r>
    </w:p>
    <w:bookmarkEnd w:id="35"/>
    <w:bookmarkStart w:id="39" w:name="inter-frequency-correlations"/>
    <w:p>
      <w:pPr>
        <w:pStyle w:val="Heading1"/>
      </w:pPr>
      <w:r>
        <w:t xml:space="preserve">Inter-Frequency Correlations</w:t>
      </w:r>
    </w:p>
    <w:p>
      <w:pPr>
        <w:pStyle w:val="CaptionedFigure"/>
      </w:pPr>
      <w:r>
        <w:drawing>
          <wp:inline>
            <wp:extent cx="5334000" cy="4681850"/>
            <wp:effectExtent b="0" l="0" r="0" t="0"/>
            <wp:docPr descr="Correlation matrix" title="" id="37" name="Picture"/>
            <a:graphic>
              <a:graphicData uri="http://schemas.openxmlformats.org/drawingml/2006/picture">
                <pic:pic>
                  <pic:nvPicPr>
                    <pic:cNvPr descr="figures/fig_c07_cor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pPr>
        <w:pStyle w:val="BodyText"/>
      </w:pPr>
      <w:r>
        <w:t xml:space="preserve">Adjacent-frequency mean r = 0.80; 500 Hz–8 kHz r = 0.46.</w:t>
      </w:r>
    </w:p>
    <w:bookmarkEnd w:id="39"/>
    <w:bookmarkStart w:id="43" w:name="missing-data-patterns"/>
    <w:p>
      <w:pPr>
        <w:pStyle w:val="Heading1"/>
      </w:pPr>
      <w:r>
        <w:t xml:space="preserve">Missing Data Patterns</w:t>
      </w:r>
    </w:p>
    <w:p>
      <w:pPr>
        <w:pStyle w:val="CaptionedFigure"/>
      </w:pPr>
      <w:r>
        <w:drawing>
          <wp:inline>
            <wp:extent cx="5334000" cy="3229264"/>
            <wp:effectExtent b="0" l="0" r="0" t="0"/>
            <wp:docPr descr="Missing/sentinel share by cycle" title="" id="41" name="Picture"/>
            <a:graphic>
              <a:graphicData uri="http://schemas.openxmlformats.org/drawingml/2006/picture">
                <pic:pic>
                  <pic:nvPicPr>
                    <pic:cNvPr descr="figures/fig_c08_missi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Missing/sentinel share by cycle</w:t>
      </w:r>
    </w:p>
    <w:bookmarkEnd w:id="43"/>
    <w:bookmarkStart w:id="44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True working-age adult cohort:</w:t>
      </w:r>
      <w:r>
        <w:t xml:space="preserve"> </w:t>
      </w:r>
      <w:r>
        <w:t xml:space="preserve">10,889 participants aged 20–69 across three cycles — the population the 2017–2020 P_AUX cycle does not contain.</w:t>
      </w:r>
    </w:p>
    <w:p>
      <w:pPr>
        <w:pStyle w:val="Compact"/>
        <w:numPr>
          <w:ilvl w:val="0"/>
          <w:numId w:val="1003"/>
        </w:numPr>
      </w:pPr>
      <w:r>
        <w:t xml:space="preserve">Hearing thresholds increase monotonically with frequency; absolute levels are lower than the ≥70 cohort (age-related loss less severe).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18.2%</w:t>
      </w:r>
      <w:r>
        <w:t xml:space="preserve"> </w:t>
      </w:r>
      <w:r>
        <w:t xml:space="preserve">of ears sit within ±5 dB of a severity boundary — still a substantial borderline population.</w:t>
      </w:r>
    </w:p>
    <w:p>
      <w:pPr>
        <w:pStyle w:val="Compact"/>
        <w:numPr>
          <w:ilvl w:val="0"/>
          <w:numId w:val="1003"/>
        </w:numPr>
      </w:pPr>
      <w:r>
        <w:t xml:space="preserve">Configurations are predominantly flat/gently sloping; steeply sloping and precipitous patterns are less common than in the ≥70 cohort.</w:t>
      </w:r>
    </w:p>
    <w:p>
      <w:pPr>
        <w:pStyle w:val="Compact"/>
        <w:numPr>
          <w:ilvl w:val="0"/>
          <w:numId w:val="1003"/>
        </w:numPr>
      </w:pPr>
      <w:r>
        <w:t xml:space="preserve">Inter-frequency correlations justify frequency-resolved (fuzzy) representation.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NHANES Adult Audiometry 20–69 y: Combined-Cycle EDA</dc:title>
  <dc:creator/>
  <cp:keywords/>
  <dcterms:created xsi:type="dcterms:W3CDTF">2026-08-14T09:24:55Z</dcterms:created>
  <dcterms:modified xsi:type="dcterms:W3CDTF">2026-08-14T09:24:55Z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2026-08-14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AUX1 (1999–2000) + AUX_G (2011–2012) + AUX_I (2015–2016)</vt:lpwstr>
  </property>
  <property fmtid="{D5CDD505-2E9C-101B-9397-08002B2CF9AE}" pid="9" name="toc-title">
    <vt:lpwstr>Table of contents</vt:lpwstr>
  </property>
</Properties>
</file>