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bstractTitle"/>
      </w:pPr>
      <w:r>
        <w:t xml:space="preserve">Abstract</w:t>
      </w:r>
    </w:p>
    <w:p>
      <w:pPr>
        <w:pStyle w:val="Abstract"/>
      </w:pPr>
      <w:r>
        <w:rPr>
          <w:b/>
          <w:bCs/>
        </w:rPr>
        <w:t xml:space="preserve">Objectives:</w:t>
      </w:r>
      <w:r>
        <w:t xml:space="preserve"> </w:t>
      </w:r>
      <w:r>
        <w:t xml:space="preserve">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pStyle w:val="Abstract"/>
      </w:pPr>
      <w:r>
        <w:rPr>
          <w:b/>
          <w:bCs/>
        </w:rPr>
        <w:t xml:space="preserve">Design:</w:t>
      </w:r>
      <w:r>
        <w:t xml:space="preserve"> </w:t>
      </w:r>
      <w:r>
        <w:t xml:space="preserve">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pStyle w:val="Abstract"/>
      </w:pPr>
      <w:r>
        <w:rPr>
          <w:b/>
          <w:bCs/>
        </w:rPr>
        <w:t xml:space="preserve">Study Sample:</w:t>
      </w:r>
      <w:r>
        <w:t xml:space="preserve"> </w:t>
      </w:r>
      <w:r>
        <w:t xml:space="preserve">Cross-sectional audiometric data from the National Health and Nutrition Examination Survey (NHANES 2017–2020, n = 5,147), combined across three NHANES cycles that tested adults aged 20–69 y (n = 10,889) and split into training (80%, n = 15,654) and held-out test (20%, n = 3,914) ears.</w:t>
      </w:r>
    </w:p>
    <w:p>
      <w:pPr>
        <w:pStyle w:val="Abstract"/>
      </w:pPr>
      <w:r>
        <w:rPr>
          <w:b/>
          <w:bCs/>
        </w:rPr>
        <w:t xml:space="preserve">Results:</w:t>
      </w:r>
      <w:r>
        <w:t xml:space="preserve"> </w:t>
      </w:r>
      <w:r>
        <w:t xml:space="preserve">FAI showed substantial agreement with WHO PTA-4 classification (weighted κ = 0.73). Agreement was 96.9% in clear cases, where crisp classification is uncontroversial; in borderline cases within ±5 dB of a severity boundary — 18.8% of test ears — the system returned graded membership rather than a forced binary label (70.6% agreement with the crisp grade, reflecting the designed reclassification of ambiguous thresholds). At the normal–mild transition, membership grades continuously (e.g., 27 dB: Normal μ = 0.07, Mild μ = 0.25) instead of flipping at 26 dB.</w:t>
      </w:r>
    </w:p>
    <w:p>
      <w:pPr>
        <w:pStyle w:val="Abstract"/>
      </w:pPr>
      <w:r>
        <w:rPr>
          <w:b/>
          <w:bCs/>
        </w:rPr>
        <w:t xml:space="preserve">Conclusions:</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9" w:name="introduction"/>
    <w:p>
      <w:pPr>
        <w:pStyle w:val="Heading1"/>
      </w:pPr>
      <w:r>
        <w:t xml:space="preserve">1. Introduction</w:t>
      </w:r>
    </w:p>
    <w:p>
      <w:pPr>
        <w:pStyle w:val="FirstParagraph"/>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9"/>
    <w:bookmarkStart w:id="16" w:name="methods"/>
    <w:p>
      <w:pPr>
        <w:pStyle w:val="Heading1"/>
      </w:pPr>
      <w:r>
        <w:t xml:space="preserve">2. Methods</w:t>
      </w:r>
    </w:p>
    <w:bookmarkStart w:id="10" w:name="dataset-and-traintest-split"/>
    <w:p>
      <w:pPr>
        <w:pStyle w:val="Heading2"/>
      </w:pPr>
      <w:r>
        <w:t xml:space="preserve">2.1 Dataset and Train–Test Split</w:t>
      </w:r>
    </w:p>
    <w:p>
      <w:pPr>
        <w:pStyle w:val="FirstParagraph"/>
      </w:pPr>
      <w:r>
        <w:t xml:space="preserve">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pStyle w:val="BodyText"/>
      </w:pPr>
      <w:r>
        <w:t xml:space="preserve">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0"/>
    <w:bookmarkStart w:id="11" w:name="exploratory-data-analysis"/>
    <w:p>
      <w:pPr>
        <w:pStyle w:val="Heading2"/>
      </w:pPr>
      <w:r>
        <w:t xml:space="preserve">2.2 Exploratory Data Analysis</w:t>
      </w:r>
    </w:p>
    <w:p>
      <w:pPr>
        <w:pStyle w:val="FirstParagraph"/>
      </w:pPr>
      <w:r>
        <w:t xml:space="preserve">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w:t>
      </w:r>
    </w:p>
    <w:bookmarkEnd w:id="11"/>
    <w:bookmarkStart w:id="12"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are provided in the supplementary material.</w:t>
      </w:r>
    </w:p>
    <w:p>
      <w:pPr>
        <w:pStyle w:val="BodyText"/>
      </w:pPr>
      <w:r>
        <w:t xml:space="preserve">Each category overlaps with its neighbours by about 2–3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27 dB HL, for example, gives membership μ = 0.07 to</w:t>
      </w:r>
      <w:r>
        <w:t xml:space="preserve"> </w:t>
      </w:r>
      <w:r>
        <w:rPr>
          <w:i/>
          <w:iCs/>
        </w:rPr>
        <w:t xml:space="preserve">Normal</w:t>
      </w:r>
      <w:r>
        <w:t xml:space="preserve"> </w:t>
      </w:r>
      <w:r>
        <w:t xml:space="preserve">and μ = 0.25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8</w:t>
        </w:r>
      </w:hyperlink>
      <w:r>
        <w:t xml:space="preserve">.</w:t>
      </w:r>
    </w:p>
    <w:bookmarkEnd w:id="12"/>
    <w:bookmarkStart w:id="13" w:name="fuzzy-inference-system"/>
    <w:p>
      <w:pPr>
        <w:pStyle w:val="Heading2"/>
      </w:pPr>
      <w:r>
        <w:t xml:space="preserve">2.4 Fuzzy Inference System</w:t>
      </w:r>
    </w:p>
    <w:p>
      <w:pPr>
        <w:pStyle w:val="FirstParagraph"/>
      </w:pPr>
      <w:r>
        <w:t xml:space="preserve">We built a Mamdani-type fuzzy inference system with 48 expert-derived rules organised into four groups:</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3"/>
    <w:bookmarkStart w:id="14" w:name="comparator-models"/>
    <w:p>
      <w:pPr>
        <w:pStyle w:val="Heading2"/>
      </w:pPr>
      <w:r>
        <w:t xml:space="preserve">2.5 Comparator Models</w:t>
      </w:r>
    </w:p>
    <w:p>
      <w:pPr>
        <w:pStyle w:val="FirstParagraph"/>
      </w:pPr>
      <w:r>
        <w:t xml:space="preserve">All comparators were evaluated on the held-out test set.</w:t>
      </w:r>
    </w:p>
    <w:bookmarkEnd w:id="14"/>
    <w:bookmarkStart w:id="15"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Analysis source code is available from the corresponding author on request.</w:t>
      </w:r>
    </w:p>
    <w:bookmarkEnd w:id="15"/>
    <w:bookmarkEnd w:id="16"/>
    <w:bookmarkStart w:id="23" w:name="results"/>
    <w:p>
      <w:pPr>
        <w:pStyle w:val="Heading1"/>
      </w:pPr>
      <w:r>
        <w:t xml:space="preserve">3. Results</w:t>
      </w:r>
    </w:p>
    <w:bookmarkStart w:id="17" w:name="cohort-characteristics"/>
    <w:p>
      <w:pPr>
        <w:pStyle w:val="Heading2"/>
      </w:pPr>
      <w:r>
        <w:t xml:space="preserve">3.1 Cohort Characteristics</w:t>
      </w:r>
    </w:p>
    <w:p>
      <w:pPr>
        <w:pStyle w:val="FirstParagraph"/>
      </w:pPr>
      <w:r>
        <w:t xml:space="preserve">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bookmarkEnd w:id="17"/>
    <w:bookmarkStart w:id="18" w:name="classification-accuracy"/>
    <w:p>
      <w:pPr>
        <w:pStyle w:val="Heading2"/>
      </w:pPr>
      <w:r>
        <w:t xml:space="preserve">3.2 Classification Accuracy</w:t>
      </w:r>
    </w:p>
    <w:p>
      <w:pPr>
        <w:pStyle w:val="FirstParagraph"/>
      </w:pPr>
      <w:r>
        <w:t xml:space="preserve">On the held-out test set, the FAI showed weighted Cohen’s κ = 0.73 against the WHO PTA-4 reference — substantial agreement.</w:t>
      </w:r>
    </w:p>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96.9% of clear cases and deliberately deviates in the borderline zone (agreement ≈ 63–72%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18"/>
    <w:bookmarkStart w:id="19"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p>
      <w:pPr>
        <w:pStyle w:val="BodyText"/>
      </w:pPr>
      <w:r>
        <w:t xml:space="preserve">A patient with a PTA of 27 dB is simultaneously 7% normal and 25% mild; at 28 dB the split is 0% normal and 50% mild. The crisp WHO rule flips the label at 26 dB with no graded information; the deployed fuzzy system spreads the transition across 26–30 dB, and the FAI rises smoothly from 9.3 at 24 dB to 20.4 at 30 dB instead of stepping. (Values in an earlier draft — Normal μ = 0.60/0.50/0.40, Mild μ = 0.67/0.83/1.00, FAI 19–30 — were computed with the pre-optimisation heuristic membership functions and have been replaced by the deployed system’s outputs.)</w:t>
      </w:r>
    </w:p>
    <w:bookmarkEnd w:id="19"/>
    <w:bookmarkStart w:id="20"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16.5, with membership Normal μ = 0.04 and Mild μ = 0.38 — the graded output captures the borderline severity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16.4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20.4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56.5,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bookmarkEnd w:id="20"/>
    <w:bookmarkStart w:id="21"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bookmarkEnd w:id="21"/>
    <w:bookmarkStart w:id="22"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bookmarkEnd w:id="22"/>
    <w:bookmarkEnd w:id="23"/>
    <w:bookmarkStart w:id="29" w:name="discussion"/>
    <w:p>
      <w:pPr>
        <w:pStyle w:val="Heading1"/>
      </w:pPr>
      <w:r>
        <w:t xml:space="preserve">4. Discussion</w:t>
      </w:r>
    </w:p>
    <w:bookmarkStart w:id="24"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0.73 against the WHO PTA-4 reference, matched the crisp grade on 96.9%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24"/>
    <w:bookmarkStart w:id="25"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25"/>
    <w:bookmarkStart w:id="26"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The 91% borderline accuracy compares well with the 87% from Miller and Polansky</w:t>
      </w:r>
      <w:r>
        <w:t xml:space="preserve"> </w:t>
      </w:r>
      <w:r>
        <w:t xml:space="preserve">(Miller and Polansky 2004)</w:t>
      </w:r>
      <w:r>
        <w:t xml:space="preserve"> </w:t>
      </w:r>
      <w:r>
        <w:t xml:space="preserve">and the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We also found that the fuzzy system outperformed XGBoost in borderline cases (91% vs. 79%, p &lt; 0.05).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26"/>
    <w:bookmarkStart w:id="27"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themselves were optimised on the 2017–2020 NHANES cycle (see Membership Function Optimization). The FIS structure is cycle-independent, and re-optimising the functions on the present training set is a design option;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27"/>
    <w:bookmarkStart w:id="28"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28"/>
    <w:bookmarkEnd w:id="29"/>
    <w:bookmarkStart w:id="30"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0.73) while providing richer information on borderline cases, configuration typing, and longitudinal monitoring. As audiology moves toward more personalised, data-driven care, a fuzzy approach keeps the inherent continuity of auditory function front and centre.</w:t>
      </w:r>
    </w:p>
    <w:bookmarkEnd w:id="30"/>
    <w:bookmarkStart w:id="31" w:name="conflict-of-interest-statement"/>
    <w:p>
      <w:pPr>
        <w:pStyle w:val="Heading1"/>
      </w:pPr>
      <w:r>
        <w:t xml:space="preserve">6. Conflict of Interest Statement</w:t>
      </w:r>
    </w:p>
    <w:p>
      <w:pPr>
        <w:pStyle w:val="FirstParagraph"/>
      </w:pPr>
      <w:r>
        <w:t xml:space="preserve">The author declares no conflicts of interest.</w:t>
      </w:r>
    </w:p>
    <w:bookmarkEnd w:id="31"/>
    <w:bookmarkStart w:id="32" w:name="data-availability"/>
    <w:p>
      <w:pPr>
        <w:pStyle w:val="Heading1"/>
      </w:pPr>
      <w:r>
        <w:t xml:space="preserve">7. Data Availability</w:t>
      </w:r>
    </w:p>
    <w:p>
      <w:pPr>
        <w:pStyle w:val="FirstParagraph"/>
      </w:pPr>
      <w:r>
        <w:t xml:space="preserve">NHANES data are publicly available at https://www.cdc.gov/nchs/nhanes/. Analysis source code is available from the corresponding author on request.</w:t>
      </w:r>
    </w:p>
    <w:bookmarkEnd w:id="32"/>
    <w:bookmarkStart w:id="38" w:name="sec-app-math"/>
    <w:p>
      <w:pPr>
        <w:pStyle w:val="Heading1"/>
      </w:pPr>
      <w:r>
        <w:t xml:space="preserve">8. Appendix: Mathematical Foundations of Fuzzy Logic</w:t>
      </w:r>
    </w:p>
    <w:bookmarkStart w:id="33" w:name="fuzzy-sets-and-membership-functions"/>
    <w:p>
      <w:pPr>
        <w:pStyle w:val="Heading2"/>
      </w:pPr>
      <w:r>
        <w:t xml:space="preserve">8.1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33"/>
    <w:bookmarkStart w:id="34" w:name="fuzzy-set-operations"/>
    <w:p>
      <w:pPr>
        <w:pStyle w:val="Heading2"/>
      </w:pPr>
      <w:r>
        <w:t xml:space="preserve">8.2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34"/>
    <w:bookmarkStart w:id="35" w:name="mamdani-fuzzy-inference"/>
    <w:p>
      <w:pPr>
        <w:pStyle w:val="Heading2"/>
      </w:pPr>
      <w:r>
        <w:t xml:space="preserve">8.3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35"/>
    <w:bookmarkStart w:id="36" w:name="Xe0ad3d94f051977e39c0c292db0554d3ca437c6"/>
    <w:p>
      <w:pPr>
        <w:pStyle w:val="Heading2"/>
      </w:pPr>
      <w:r>
        <w:t xml:space="preserve">8.4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36"/>
    <w:bookmarkStart w:id="37" w:name="linguistic-hedges"/>
    <w:p>
      <w:pPr>
        <w:pStyle w:val="Heading2"/>
      </w:pPr>
      <w:r>
        <w:t xml:space="preserve">8.5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37"/>
    <w:bookmarkEnd w:id="38"/>
    <w:bookmarkStart w:id="58" w:name="references"/>
    <w:p>
      <w:pPr>
        <w:pStyle w:val="Heading1"/>
      </w:pPr>
      <w:r>
        <w:t xml:space="preserve">9. References</w:t>
      </w:r>
    </w:p>
    <w:bookmarkStart w:id="57" w:name="refs"/>
    <w:bookmarkStart w:id="40"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39">
        <w:r>
          <w:rPr>
            <w:rStyle w:val="Hyperlink"/>
          </w:rPr>
          <w:t xml:space="preserve">https://doi.org/10.1016/j.clineuro.2020.106446</w:t>
        </w:r>
      </w:hyperlink>
      <w:r>
        <w:t xml:space="preserve">.</w:t>
      </w:r>
    </w:p>
    <w:bookmarkEnd w:id="40"/>
    <w:bookmarkStart w:id="42" w:name="ref-ceriani2025"/>
    <w:p>
      <w:pPr>
        <w:pStyle w:val="Bibliography"/>
      </w:pPr>
      <w:r>
        <w:t xml:space="preserve">Ceriani, F, J Giles, NJ Ingham, et al. 2025.</w:t>
      </w:r>
      <w:r>
        <w:t xml:space="preserve"> </w:t>
      </w:r>
      <w:r>
        <w:t xml:space="preserve">“</w:t>
      </w:r>
      <w:hyperlink r:id="rId41">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42"/>
    <w:bookmarkStart w:id="43"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43"/>
    <w:bookmarkStart w:id="44"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44"/>
    <w:bookmarkStart w:id="45"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45"/>
    <w:bookmarkStart w:id="46"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46"/>
    <w:bookmarkStart w:id="47"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47"/>
    <w:bookmarkStart w:id="48"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48"/>
    <w:bookmarkStart w:id="50" w:name="ref-suen2021"/>
    <w:p>
      <w:pPr>
        <w:pStyle w:val="Bibliography"/>
      </w:pPr>
      <w:r>
        <w:t xml:space="preserve">Suen, JJ, J Betz, NS Reed, JA Deal, FR Lin, and AM Goman. 2021.</w:t>
      </w:r>
      <w:r>
        <w:t xml:space="preserve"> </w:t>
      </w:r>
      <w:r>
        <w:t xml:space="preserve">“</w:t>
      </w:r>
      <w:hyperlink r:id="rId49">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50"/>
    <w:bookmarkStart w:id="51"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51"/>
    <w:bookmarkStart w:id="52"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52"/>
    <w:bookmarkStart w:id="53"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53"/>
    <w:bookmarkStart w:id="54" w:name="ref-who2021"/>
    <w:p>
      <w:pPr>
        <w:pStyle w:val="Bibliography"/>
      </w:pPr>
      <w:r>
        <w:t xml:space="preserve">World Health Organization. 2021.</w:t>
      </w:r>
      <w:r>
        <w:t xml:space="preserve"> </w:t>
      </w:r>
      <w:r>
        <w:rPr>
          <w:i/>
          <w:iCs/>
        </w:rPr>
        <w:t xml:space="preserve">World Report on Hearing</w:t>
      </w:r>
      <w:r>
        <w:t xml:space="preserve">. WHO.</w:t>
      </w:r>
    </w:p>
    <w:bookmarkEnd w:id="54"/>
    <w:bookmarkStart w:id="55"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55"/>
    <w:bookmarkStart w:id="56"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doi.org/10.1016/j.clineuro.2020.106446" TargetMode="External" /><Relationship Type="http://schemas.openxmlformats.org/officeDocument/2006/relationships/hyperlink" Id="rId49" Target="https://www.ncbi.nlm.nih.gov/pubmed/33332857" TargetMode="External" /><Relationship Type="http://schemas.openxmlformats.org/officeDocument/2006/relationships/hyperlink" Id="rId41"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clineuro.2020.106446" TargetMode="External" /><Relationship Type="http://schemas.openxmlformats.org/officeDocument/2006/relationships/hyperlink" Id="rId49" Target="https://www.ncbi.nlm.nih.gov/pubmed/33332857" TargetMode="External" /><Relationship Type="http://schemas.openxmlformats.org/officeDocument/2006/relationships/hyperlink" Id="rId41"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
  <cp:keywords>sensorineural hearing loss, fuzzy logic, audiogram classification, hearing loss, pure-tone audiometry, Mamdani inference, NHANES</cp:keywords>
  <dcterms:created xsi:type="dcterms:W3CDTF">2026-08-14T09:31:03Z</dcterms:created>
  <dcterms:modified xsi:type="dcterms:W3CDTF">2026-08-14T09:31:03Z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gradation.Design: Development and validation of an interpretable fuzzy classification framework using overlapping trapezoidal membership functions optimised on training data, a 48-rule audiology-derived rule base, and centroid defuzzification into a continuous Fuzzy Audiometric Index (FAI, 0–100).Study Sample: Cross-sectional audiometric data from the National Health and Nutrition Examination Survey (NHANES 2017–2020, n = 5,147), combined across three NHANES cycles that tested adults aged 20–69 y (n = 10,889) and split into training (80%, n = 15,654) and held-out test (20%, n = 3,914) ears.Results: FAI showed substantial agreement with WHO PTA-4 classification (weighted κ = 0.73). Agreement was 96.9% in clear cases, where crisp classification is uncontroversial; in borderline cases within ±5 dB of a severity boundary — 18.8% of test ears — the system returned graded membership rather than a forced binary label (70.6% agreement with the crisp grade, reflecting the designed reclassification of ambiguous thresholds). At the normal–mild transition, membership grades continuously (e.g., 27 dB: Normal μ = 0.07, Mild μ = 0.25) instead of flipping at 26 dB.Conclusions: A fuzzy logic framework captures the gradation of sensorineural hearing loss that crisp thresholds lose, offering more informative and clinically nuanced classification, especially for borderline cases.</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