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Heading1"/>
        <w:jc w:val="center"/>
      </w:pPr>
      <w:r>
        <w:rPr>
          <w:b/>
        </w:rPr>
        <w:t>A Fuzzy Logic Framework for Sensorineural Hearing Loss Classification: Preserving Diagnostic Gradation Lost to Crisp Thresholds</w:t>
      </w:r>
    </w:p>
    <w:p>
      <w:pPr>
        <w:spacing w:line="480" w:lineRule="auto"/>
        <w:jc w:val="center"/>
      </w:pPr>
    </w:p>
    <w:p>
      <w:pPr>
        <w:spacing w:line="480" w:lineRule="auto"/>
        <w:jc w:val="both"/>
      </w:pPr>
      <w:r>
        <w:rPr>
          <w:b/>
        </w:rPr>
        <w:t>Objectives:</w:t>
      </w:r>
      <w:r>
        <w:t xml:space="preserve">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spacing w:line="480" w:lineRule="auto"/>
        <w:jc w:val="both"/>
      </w:pPr>
      <w:r>
        <w:rPr>
          <w:b/>
        </w:rPr>
        <w:t>Design:</w:t>
      </w:r>
      <w:r>
        <w:t xml:space="preserve"> 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spacing w:line="480" w:lineRule="auto"/>
        <w:jc w:val="both"/>
      </w:pPr>
      <w:r>
        <w:rPr>
          <w:b/>
        </w:rPr>
        <w:t>Study Sample:</w:t>
      </w:r>
      <w:r>
        <w:t xml:space="preserve"> Cross-sectional audiometric data from the National Health and Nutrition Examination Survey (NHANES 2017–2020, n = 5,147), combined across three NHANES cycles that tested adults aged 20–69 y (n = 10,889) and split into training (80%, n = 15,654) and held-out test (20%, n = 3,914) ears.</w:t>
      </w:r>
    </w:p>
    <w:p>
      <w:pPr>
        <w:spacing w:line="480" w:lineRule="auto"/>
        <w:jc w:val="both"/>
      </w:pPr>
      <w:r>
        <w:rPr>
          <w:b/>
        </w:rPr>
        <w:t>Results:</w:t>
      </w:r>
      <w:r>
        <w:t xml:space="preserve"> FAI showed substantial agreement with WHO PTA-4 classification (weighted κ = 0.73). Agreement was 96.9% in clear cases, where crisp classification is uncontroversial; in borderline cases within ±5 dB of a severity boundary — 18.8% of test ears — the system returned graded membership rather than a forced binary label (70.6% agreement with the crisp grade, reflecting the designed reclassification of ambiguous thresholds). At the normal–mild transition, membership grades continuously (e.g., 27 dB: Normal μ = 0.07, Mild μ = 0.25) instead of flipping at 26 dB.</w:t>
      </w:r>
    </w:p>
    <w:p>
      <w:pPr>
        <w:spacing w:line="480" w:lineRule="auto"/>
        <w:jc w:val="both"/>
      </w:pPr>
      <w:r>
        <w:rPr>
          <w:b/>
        </w:rPr>
        <w:t>Conclusions:</w:t>
      </w:r>
      <w:r>
        <w:t xml:space="preserve"> A fuzzy logic framework captures the gradation of sensorineural hearing loss that crisp thresholds lose, offering more informative and clinically nuanced classification, especially for borderline cases.</w:t>
      </w:r>
    </w:p>
    <w:p>
      <w:pPr>
        <w:spacing w:line="480" w:lineRule="auto"/>
        <w:jc w:val="both"/>
      </w:pPr>
      <w:r>
        <w:rPr>
          <w:b/>
        </w:rPr>
        <w:t>Keywords:</w:t>
      </w:r>
      <w:r>
        <w:t xml:space="preserve"> sensorineural hearing loss; fuzzy logic; audiogram classification; hearing loss; pure-tone audiometry; Mamdani inference; NHANES</w:t>
      </w:r>
    </w:p>
    <w:p>
      <w:pPr>
        <w:pStyle w:val="Heading2"/>
      </w:pPr>
      <w:r>
        <w:rPr>
          <w:b/>
        </w:rPr>
        <w:t>Introduction</w:t>
      </w:r>
    </w:p>
    <w:p>
      <w:pPr>
        <w:spacing w:line="480" w:lineRule="auto"/>
        <w:jc w:val="both"/>
      </w:pPr>
      <w:r>
        <w:t>The way we classify hearing loss from pure-tone audiometry has barely changed in over fifty years. Goodman (1965) proposed the mild–moderate–severe framework back in 1965. Clark (1981) refined it. The WHO eventually formalised it in the *World Report on Hearing* (World Health Organization, 2021) 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spacing w:line="480" w:lineRule="auto"/>
        <w:jc w:val="both"/>
      </w:pPr>
      <w:r>
        <w:t>Consider two patients. Patient A has a PTA-4 of 25 dB HL in the better ear. That is *normal*. Patient B has a PTA-4 of 26 dB HL. That is *mild hearing loss*. One decibel separates them. One decibel, well within the test–retest variability of pure-tone audiometry (±5–10 dB) (Miller and Polansky, 2004), and they get categorically different labels with different implications for follow-up, hearing aid candidacy, and occupational hearing conservation. We need to ask whether such crisp boundaries hold up to clinical scrutiny.</w:t>
      </w:r>
    </w:p>
    <w:p>
      <w:pPr>
        <w:spacing w:line="480" w:lineRule="auto"/>
        <w:jc w:val="both"/>
      </w:pPr>
      <w:r>
        <w:t>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spacing w:line="480" w:lineRule="auto"/>
        <w:jc w:val="both"/>
      </w:pPr>
      <w:r>
        <w:t>Fuzzy set theory, which Zadeh introduced (1965),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 (Mamdani and Assilian, 1975) build on this by adding rule-based reasoning, interpretable expert systems with a rule base you can inspect and modify. Fuzzy inference systems have proven their value beyond audiology as well. Amezquita-Sanchez et al. (2021) used dispersion entropy features and a fuzzy logic system to automate the classification of dementia stages from electroencephalograms.</w:t>
      </w:r>
    </w:p>
    <w:p>
      <w:pPr>
        <w:spacing w:line="480" w:lineRule="auto"/>
        <w:jc w:val="both"/>
      </w:pPr>
      <w:r>
        <w:t>Most of the computational work in audiology so far has gone to machine learning. Ceriani et al. (2025) used ML to predict early hallmarks of progressive hearing loss. Wasmann et al. (2022) built a deep learning system for automated audiogram interpretation. Sanchez-Lopez et al. (2021) and van Beek et al. (2024) applied clustering for data-driven auditory profiling. Tseng et al. (2023) used XGBoost to classify hearing loss from demographic and audiometric variables. These approaches get good accuracy, but they are black boxes. Clinicians cannot inspect or modify the decision rules. Fuzzy logic, by contrast, is interpretable by design.</w:t>
      </w:r>
    </w:p>
    <w:p>
      <w:pPr>
        <w:spacing w:line="480" w:lineRule="auto"/>
        <w:jc w:val="both"/>
      </w:pPr>
      <w:r>
        <w:t>Specific fuzzy logic applications in audiology are still limited. Miller and Polansky (2004) built an early fuzzy inference system for audiogram classification that hit 87% agreement with expert judgments. Chen et al. (2017) reported 91% accuracy with a Mamdani-type system using frequency-specific inputs. Zadoush et al. (2020) 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spacing w:line="480" w:lineRule="auto"/>
        <w:jc w:val="both"/>
      </w:pPr>
      <w:r>
        <w:t>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p>
      <w:pPr>
        <w:pStyle w:val="Heading2"/>
      </w:pPr>
      <w:r>
        <w:rPr>
          <w:b/>
        </w:rPr>
        <w:t>Methods</w:t>
      </w:r>
    </w:p>
    <w:p>
      <w:pPr>
        <w:pStyle w:val="Heading3"/>
      </w:pPr>
      <w:r>
        <w:rPr>
          <w:b/>
          <w:i/>
        </w:rPr>
        <w:t>Dataset and Train–Test Split</w:t>
      </w:r>
    </w:p>
    <w:p>
      <w:pPr>
        <w:spacing w:line="480" w:lineRule="auto"/>
        <w:jc w:val="both"/>
      </w:pPr>
      <w:r>
        <w:t>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spacing w:line="480" w:lineRule="auto"/>
        <w:jc w:val="both"/>
      </w:pPr>
      <w:r>
        <w:t>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spacing w:line="480" w:lineRule="auto"/>
        <w:jc w:val="both"/>
      </w:pPr>
      <w:r>
        <w:t>NHANES data are publicly available from the U.S. Centers for Disease Control and Prevention. No ethics approval is required for secondary analysis of de-identified public data.</w:t>
      </w:r>
    </w:p>
    <w:p>
      <w:pPr>
        <w:spacing w:line="480" w:lineRule="auto"/>
        <w:jc w:val="both"/>
      </w:pPr>
      <w:r>
        <w:rPr>
          <w:b/>
        </w:rPr>
        <w:t>Longitudinal sub-cohort.</w:t>
      </w:r>
      <w:r>
        <w:t xml:space="preserve"> We identified NHANES participants with audiometry data in multiple cycles (n = 120, 4–8 year follow-up window) for temporal trajectory analysis.</w:t>
      </w:r>
    </w:p>
    <w:p>
      <w:pPr>
        <w:pStyle w:val="Heading3"/>
      </w:pPr>
      <w:r>
        <w:rPr>
          <w:b/>
          <w:i/>
        </w:rPr>
        <w:t>Exploratory Data Analysis</w:t>
      </w:r>
    </w:p>
    <w:p>
      <w:pPr>
        <w:spacing w:line="480" w:lineRule="auto"/>
        <w:jc w:val="both"/>
      </w:pPr>
      <w:r>
        <w:t>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spacing w:line="480" w:lineRule="auto"/>
        <w:jc w:val="both"/>
      </w:pPr>
      <w:r>
        <w:rPr>
          <w:b/>
        </w:rPr>
        <w:t>Threshold distributions.</w:t>
      </w:r>
      <w:r>
        <w:t xml:space="preserve"> 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spacing w:line="480" w:lineRule="auto"/>
        <w:jc w:val="both"/>
      </w:pPr>
      <w:r>
        <w:rPr>
          <w:b/>
        </w:rPr>
        <w:t>Hearing loss prevalence.</w:t>
      </w:r>
      <w:r>
        <w:t xml:space="preserve"> 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spacing w:line="480" w:lineRule="auto"/>
        <w:jc w:val="both"/>
      </w:pPr>
      <w:r>
        <w:rPr>
          <w:b/>
        </w:rPr>
        <w:t>Inter-frequency correlation.</w:t>
      </w:r>
      <w:r>
        <w:t xml:space="preserve"> 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spacing w:line="480" w:lineRule="auto"/>
        <w:jc w:val="both"/>
      </w:pPr>
      <w:r>
        <w:rPr>
          <w:b/>
        </w:rPr>
        <w:t>Audiogram configuration.</w:t>
      </w:r>
      <w:r>
        <w:t xml:space="preserve"> 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spacing w:line="480" w:lineRule="auto"/>
        <w:jc w:val="both"/>
      </w:pPr>
      <w:r>
        <w:rPr>
          <w:b/>
        </w:rPr>
        <w:t>Asymmetry.</w:t>
      </w:r>
      <w:r>
        <w:t xml:space="preserve"> Mean inter-aural asymmetry was 5.5 dB. About 5.7% of participants exceeded the 15 dB threshold for significant asymmetry, consistent with published NHANES-based estimates (Suen et al., 2021).</w:t>
      </w:r>
    </w:p>
    <w:p>
      <w:pPr>
        <w:spacing w:line="480" w:lineRule="auto"/>
        <w:jc w:val="both"/>
      </w:pPr>
      <w:r>
        <w:rPr>
          <w:b/>
        </w:rPr>
        <w:t>Bivariate relationships.</w:t>
      </w:r>
      <w:r>
        <w:t xml:space="preserve"> Hearing loss severity increased with age, with higher thresholds at high frequencies (4–8 kHz) compared to low frequencies. A complete set of EDA visualisations is in the supplementary materials.</w:t>
      </w:r>
    </w:p>
    <w:p>
      <w:pPr>
        <w:pStyle w:val="Heading3"/>
      </w:pPr>
      <w:r>
        <w:rPr>
          <w:b/>
          <w:i/>
        </w:rPr>
        <w:t>Fuzzification: Membership Functions</w:t>
      </w:r>
    </w:p>
    <w:p>
      <w:pPr>
        <w:spacing w:line="480" w:lineRule="auto"/>
        <w:jc w:val="both"/>
      </w:pPr>
      <w:r>
        <w:t>For each test frequency (500, 1000, 2000, 3000, 4000, 6000, and 8000 Hz), we fuzzified the hearing threshold using overlapping trapezoidal membership functions for six linguistic severity categories: *Normal*, *Mild*, *Moderate*, *Moderately Severe*, *Severe*, and *Profound*. We chose trapezoidal functions over triangular or Gaussian after comparing NHANES training set distributions, which turned out asymmetric and plateau-containing within each WHO severity category, not well captured by symmetric or unimodal alternatives.</w:t>
      </w:r>
    </w:p>
    <w:p>
      <w:pPr>
        <w:spacing w:line="480" w:lineRule="auto"/>
        <w:jc w:val="both"/>
      </w:pPr>
      <w:r>
        <w:t>Each membership function is defined by a quadruple [a, b, c, d] where [b, c] is the core (membership μ = 1.0), and [a, b] and [c, d] are the left and right shoulders where membership transitions from 0 to 1 or 1 to 0. The optimised parameters from the training set are provided in the supplementary material.</w:t>
      </w:r>
    </w:p>
    <w:p>
      <w:pPr>
        <w:spacing w:line="480" w:lineRule="auto"/>
        <w:jc w:val="both"/>
      </w:pPr>
      <w:r>
        <w:t>Each category overlaps with its neighbours by about 2–3 dB at the classic WHO boundaries, which gives smooth transitions while keeping the fuzzy zone smaller than the ±5–10 dB test–retest variability of audiometry (Miller and Polansky, 2004). A threshold of 27 dB HL, for example, gives membership μ = 0.07 to *Normal* and μ = 0.25 to *Mild*, reflecting its borderline status more honestly than a forced binary label.</w:t>
      </w:r>
    </w:p>
    <w:p>
      <w:pPr>
        <w:spacing w:line="480" w:lineRule="auto"/>
        <w:jc w:val="both"/>
      </w:pPr>
      <w:r>
        <w:rPr>
          <w:b/>
        </w:rPr>
        <w:t>Configuration fuzzification.</w:t>
      </w:r>
      <w:r>
        <w:t xml:space="preserve"> We fuzzified the audiogram slope (dB change from 500 Hz to 4 kHz) into five overlapping categories: *Rising* (negative slope, low frequencies worse than high), *Flat* (|Δ| ≤ 12 dB), *Gently Sloping* (5–28 dB), *Steeply Sloping* (22–50 dB), and *Precipitous* (&gt;40 dB). We fuzzified notch depth at 4 kHz (dip relative to average of 2 kHz and 8 kHz thresholds) as *No Notch*, *Shallow Notch* (&lt;15 dB), or *Deep Notch* (≥15 dB) to catch notched configurations linked to noise-induced hearing loss.</w:t>
      </w:r>
    </w:p>
    <w:p>
      <w:pPr>
        <w:spacing w:line="480" w:lineRule="auto"/>
        <w:jc w:val="both"/>
      </w:pPr>
      <w:r>
        <w:rPr>
          <w:b/>
        </w:rPr>
        <w:t>Asymmetry fuzzification.</w:t>
      </w:r>
      <w:r>
        <w:t xml:space="preserve"> We fuzzified inter-aural difference (maximum absolute difference across frequencies) into *Symmetric* (≤15 dB), *Mildly Asymmetric* (12–32 dB), *Moderately Asymmetric* (25–48 dB), and *Severely Asymmetric* (&gt;40 dB), with overlapping transitions at the clinical significance threshold of 15 dB.</w:t>
      </w:r>
    </w:p>
    <w:p>
      <w:pPr>
        <w:spacing w:line="480" w:lineRule="auto"/>
        <w:jc w:val="both"/>
      </w:pPr>
      <w:r>
        <w:t>The formal fuzzy set mathematics (membership functions, Zadeh operators, Mamdani min–max inference, centroid defuzzification, and FAI computation) is in the appendix.</w:t>
      </w:r>
    </w:p>
    <w:p>
      <w:pPr>
        <w:pStyle w:val="Heading3"/>
      </w:pPr>
      <w:r>
        <w:rPr>
          <w:b/>
          <w:i/>
        </w:rPr>
        <w:t>Fuzzy Inference System</w:t>
      </w:r>
    </w:p>
    <w:p>
      <w:pPr>
        <w:spacing w:line="480" w:lineRule="auto"/>
        <w:jc w:val="both"/>
      </w:pPr>
      <w:r>
        <w:t>We built a Mamdani-type fuzzy inference system with 48 expert-derived rules organised into four groups:</w:t>
      </w:r>
    </w:p>
    <w:p>
      <w:pPr>
        <w:spacing w:line="480" w:lineRule="auto"/>
        <w:jc w:val="both"/>
      </w:pPr>
      <w:r>
        <w:t xml:space="preserve">1. </w:t>
      </w:r>
      <w:r>
        <w:rPr>
          <w:b/>
        </w:rPr>
        <w:t>Severity rules (12 rules):</w:t>
      </w:r>
      <w:r>
        <w:t xml:space="preserve"> Map fuzzified threshold inputs to severity output categories. Primary rules fire the consequent category matching the input's fuzzy membership; blended rules handle transitional zones where thresholds straddle two adjacent categories.</w:t>
      </w:r>
    </w:p>
    <w:p>
      <w:pPr>
        <w:spacing w:line="480" w:lineRule="auto"/>
        <w:jc w:val="both"/>
      </w:pPr>
      <w:r>
        <w:t xml:space="preserve">2. </w:t>
      </w:r>
      <w:r>
        <w:rPr>
          <w:b/>
        </w:rPr>
        <w:t>Configuration rules (14 rules):</w:t>
      </w:r>
      <w:r>
        <w:t xml:space="preserve"> Combine slope and notch fuzzifications to classify audiogram configuration. For example: IF slope is *Steeply Sloping* AND notch is *Deep Notch* THEN configuration is *Notched*.</w:t>
      </w:r>
    </w:p>
    <w:p>
      <w:pPr>
        <w:spacing w:line="480" w:lineRule="auto"/>
        <w:jc w:val="both"/>
      </w:pPr>
      <w:r>
        <w:t xml:space="preserve">3. </w:t>
      </w:r>
      <w:r>
        <w:rPr>
          <w:b/>
        </w:rPr>
        <w:t>Asymmetry rules (12 rules):</w:t>
      </w:r>
      <w:r>
        <w:t xml:space="preserve"> Map inter-aural differences to asymmetry categories and adjust the severity output for asymmetric presentations.</w:t>
      </w:r>
    </w:p>
    <w:p>
      <w:pPr>
        <w:spacing w:line="480" w:lineRule="auto"/>
        <w:jc w:val="both"/>
      </w:pPr>
      <w:r>
        <w:t xml:space="preserve">4. </w:t>
      </w:r>
      <w:r>
        <w:rPr>
          <w:b/>
        </w:rPr>
        <w:t>Mixed-loss rules (10 rules):</w:t>
      </w:r>
      <w:r>
        <w:t xml:space="preserve"> Handle complex presentations where severity, configuration, and asymmetry together suggest mixed aetiology.</w:t>
      </w:r>
    </w:p>
    <w:p>
      <w:pPr>
        <w:spacing w:line="480" w:lineRule="auto"/>
        <w:jc w:val="both"/>
      </w:pPr>
      <w:r>
        <w:t>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spacing w:line="480" w:lineRule="auto"/>
        <w:jc w:val="both"/>
      </w:pPr>
      <w:r>
        <w:t>The system also outputs a configuration vector (membership degrees for each of six canonical shapes), an asymmetry index (0–100), and a linguistic summary with associated firing strength.</w:t>
      </w:r>
    </w:p>
    <w:p>
      <w:pPr>
        <w:pStyle w:val="Heading3"/>
      </w:pPr>
      <w:r>
        <w:rPr>
          <w:b/>
          <w:i/>
        </w:rPr>
        <w:t>Comparator Models</w:t>
      </w:r>
    </w:p>
    <w:p>
      <w:pPr>
        <w:spacing w:line="480" w:lineRule="auto"/>
        <w:jc w:val="both"/>
      </w:pPr>
      <w:r>
        <w:t>All comparators were evaluated on the held-out test set.</w:t>
      </w:r>
    </w:p>
    <w:p>
      <w:pPr>
        <w:pStyle w:val="Heading3"/>
      </w:pPr>
      <w:r>
        <w:rPr>
          <w:b/>
          <w:i/>
        </w:rPr>
        <w:t>Evaluation Metrics</w:t>
      </w:r>
    </w:p>
    <w:p>
      <w:pPr>
        <w:spacing w:line="480" w:lineRule="auto"/>
        <w:jc w:val="both"/>
      </w:pPr>
      <w:r>
        <w:t>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spacing w:line="480" w:lineRule="auto"/>
        <w:jc w:val="both"/>
      </w:pPr>
      <w:r>
        <w:t>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Analysis source code is available from the corresponding author on request.</w:t>
      </w:r>
    </w:p>
    <w:p>
      <w:pPr>
        <w:pStyle w:val="Heading2"/>
      </w:pPr>
      <w:r>
        <w:rPr>
          <w:b/>
        </w:rPr>
        <w:t>Results</w:t>
      </w:r>
    </w:p>
    <w:p>
      <w:pPr>
        <w:pStyle w:val="Heading3"/>
      </w:pPr>
      <w:r>
        <w:rPr>
          <w:b/>
          <w:i/>
        </w:rPr>
        <w:t>Cohort Characteristics</w:t>
      </w:r>
    </w:p>
    <w:p>
      <w:pPr>
        <w:spacing w:line="480" w:lineRule="auto"/>
        <w:jc w:val="both"/>
      </w:pPr>
      <w:r>
        <w:t>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p>
      <w:pPr>
        <w:pStyle w:val="Heading3"/>
      </w:pPr>
      <w:r>
        <w:rPr>
          <w:b/>
          <w:i/>
        </w:rPr>
        <w:t>Classification Accuracy</w:t>
      </w:r>
    </w:p>
    <w:p>
      <w:pPr>
        <w:spacing w:line="480" w:lineRule="auto"/>
        <w:jc w:val="both"/>
      </w:pPr>
      <w:r>
        <w:t>On the held-out test set, the FAI showed weighted Cohen's κ = 0.73 against the WHO PTA-4 reference — substantial agreement.</w:t>
      </w:r>
    </w:p>
    <w:p>
      <w:pPr>
        <w:spacing w:line="480" w:lineRule="auto"/>
        <w:jc w:val="both"/>
      </w:pPr>
      <w:r>
        <w:t>*PTA-4 is the reference standard; its agreement is definitional. XGBoost and Random Forest regress PTA-4 directly from the seven thresholds, so their near-perfect agreement is expected — they are PTA-4 in disguise rather than independent classifiers.</w:t>
      </w:r>
    </w:p>
    <w:p>
      <w:pPr>
        <w:spacing w:line="480" w:lineRule="auto"/>
        <w:jc w:val="both"/>
      </w:pPr>
      <w:r>
        <w:t>The fuzzy system's value does not lie in mimicking the crisp grade: it matches the WHO reference on 96.9% of clear cases and deliberately deviates in the borderline zone (agreement ≈ 63–72%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p>
      <w:pPr>
        <w:pStyle w:val="Heading3"/>
      </w:pPr>
      <w:r>
        <w:rPr>
          <w:b/>
          <w:i/>
        </w:rPr>
        <w:t>The 25/26 dB Boundary: A Closer Look</w:t>
      </w:r>
    </w:p>
    <w:p>
      <w:pPr>
        <w:spacing w:line="480" w:lineRule="auto"/>
        <w:jc w:val="both"/>
      </w:pPr>
      <w:r>
        <w:t>To show what this means clinically, we looked at classification at the normal/mild boundary.</w:t>
      </w:r>
    </w:p>
    <w:p>
      <w:pPr>
        <w:spacing w:line="480" w:lineRule="auto"/>
        <w:jc w:val="both"/>
      </w:pPr>
      <w:r>
        <w:t>A patient with a PTA of 27 dB is simultaneously 7% normal and 25% mild; at 28 dB the split is 0% normal and 50% mild. The crisp WHO rule flips the label at 26 dB with no graded information; the deployed fuzzy system spreads the transition across 26–30 dB, and the FAI rises smoothly from 9.3 at 24 dB to 20.4 at 30 dB instead of stepping. (Values in an earlier draft — Normal μ = 0.60/0.50/0.40, Mild μ = 0.67/0.83/1.00, FAI 19–30 — were computed with the pre-optimisation heuristic membership functions and have been replaced by the deployed system's outputs.)</w:t>
      </w:r>
    </w:p>
    <w:p>
      <w:pPr>
        <w:pStyle w:val="Heading3"/>
      </w:pPr>
      <w:r>
        <w:rPr>
          <w:b/>
          <w:i/>
        </w:rPr>
        <w:t>Clinical Case Studies</w:t>
      </w:r>
    </w:p>
    <w:p>
      <w:pPr>
        <w:spacing w:line="480" w:lineRule="auto"/>
        <w:jc w:val="both"/>
      </w:pPr>
      <w:r>
        <w:t>Four archetypal audiograms illustrate how the deployed fuzzy framework behaves in practice (Figure 4); they are clinical archetypes rather than individual records from the analysis cohort.</w:t>
      </w:r>
    </w:p>
    <w:p>
      <w:pPr>
        <w:spacing w:line="480" w:lineRule="auto"/>
        <w:jc w:val="both"/>
      </w:pPr>
      <w:r>
        <w:rPr>
          <w:b/>
        </w:rPr>
        <w:t>Case A (textile mill worker, 58 years).</w:t>
      </w:r>
      <w:r>
        <w:t xml:space="preserve"> Borderline mild hearing loss with 25 years of occupational noise exposure. PTA-4 was 27.5 dB (WHO: "Mild" but borderline). The FIS gave FAI = 16.5, with membership Normal μ = 0.04 and Mild μ = 0.38 — the graded output captures the borderline severity that the crisp label flattens.</w:t>
      </w:r>
    </w:p>
    <w:p>
      <w:pPr>
        <w:spacing w:line="480" w:lineRule="auto"/>
        <w:jc w:val="both"/>
      </w:pPr>
      <w:r>
        <w:rPr>
          <w:b/>
        </w:rPr>
        <w:t>Case B (military officer, 34 years).</w:t>
      </w:r>
      <w:r>
        <w:t xml:space="preserve"> Noise-induced notched configuration with thresholds of 10, 10, 12, 20, 35, 50, 45, and 30 dB HL (250–8000 Hz). PTA-4 was 23.0 dB, labelled "Normal". But there is functionally significant high-frequency loss here. The FIS returned FAI = 16.4 (Normal) while identifying a 25 dB notch at 4 kHz; the derived configuration label (Precipitous, from the shape rules) is coarse here, but the six-category configuration vector preserves the notched pattern that the PTA misses. The PTA completely missed this.</w:t>
      </w:r>
    </w:p>
    <w:p>
      <w:pPr>
        <w:spacing w:line="480" w:lineRule="auto"/>
        <w:jc w:val="both"/>
      </w:pPr>
      <w:r>
        <w:rPr>
          <w:b/>
        </w:rPr>
        <w:t>Case C (retired teacher, 70 years).</w:t>
      </w:r>
      <w:r>
        <w:t xml:space="preserve"> Presbycusis with a gently sloping high-frequency loss (thresholds 15–70 dB HL). PTA-4 was 33.8 dB (Mild). The FIS returned FAI = 20.4 (Mild), configuration = Sloping, a classic age-related pattern. The FIS graded the loss as mild overall while preserving the frequency-specific gradient.</w:t>
      </w:r>
    </w:p>
    <w:p>
      <w:pPr>
        <w:spacing w:line="480" w:lineRule="auto"/>
        <w:jc w:val="both"/>
      </w:pPr>
      <w:r>
        <w:rPr>
          <w:b/>
        </w:rPr>
        <w:t>Case D (retiree, 72 years).</w:t>
      </w:r>
      <w:r>
        <w:t xml:space="preserve"> Asymmetric sensorineural loss. Right ear PTA-4 was 53.8 dB (Moderate) and left ear 28.8 dB (Mild). The asymmetry input upgraded the composite severity estimate to FAI = 56.5,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p>
      <w:pPr>
        <w:pStyle w:val="Heading3"/>
      </w:pPr>
      <w:r>
        <w:rPr>
          <w:b/>
          <w:i/>
        </w:rPr>
        <w:t>Configuration Classification</w:t>
      </w:r>
    </w:p>
    <w:p>
      <w:pPr>
        <w:spacing w:line="480" w:lineRule="auto"/>
        <w:jc w:val="both"/>
      </w:pPr>
      <w:r>
        <w:t>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p>
      <w:pPr>
        <w:pStyle w:val="Heading3"/>
      </w:pPr>
      <w:r>
        <w:rPr>
          <w:b/>
          <w:i/>
        </w:rPr>
        <w:t>Temporal Tracking</w:t>
      </w:r>
    </w:p>
    <w:p>
      <w:pPr>
        <w:spacing w:line="480" w:lineRule="auto"/>
        <w:jc w:val="both"/>
      </w:pPr>
      <w:r>
        <w:t>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pStyle w:val="Heading2"/>
      </w:pPr>
      <w:r>
        <w:rPr>
          <w:b/>
        </w:rPr>
        <w:t>Discussion</w:t>
      </w:r>
    </w:p>
    <w:p>
      <w:pPr>
        <w:pStyle w:val="Heading3"/>
      </w:pPr>
      <w:r>
        <w:rPr>
          <w:b/>
          <w:i/>
        </w:rPr>
        <w:t>Principal Findings</w:t>
      </w:r>
    </w:p>
    <w:p>
      <w:pPr>
        <w:spacing w:line="480" w:lineRule="auto"/>
        <w:jc w:val="both"/>
      </w:pPr>
      <w:r>
        <w:t>This study shows that a Mamdani-type fuzzy inference system can classify audiometric data with more gradation than conventional PTA-based classification. The FAI reached weighted κ = 0.73 against the WHO PTA-4 reference, matched the crisp grade on 96.9% of clear cases, and — most importantly — returned graded membership where crisp classification forces a binary choice among patients whose thresholds sit near the classic severity boundaries.</w:t>
      </w:r>
    </w:p>
    <w:p>
      <w:pPr>
        <w:spacing w:line="480" w:lineRule="auto"/>
        <w:jc w:val="both"/>
      </w:pPr>
      <w:r>
        <w:t>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p>
      <w:pPr>
        <w:pStyle w:val="Heading3"/>
      </w:pPr>
      <w:r>
        <w:rPr>
          <w:b/>
          <w:i/>
        </w:rPr>
        <w:t>Clinical Implications</w:t>
      </w:r>
    </w:p>
    <w:p>
      <w:pPr>
        <w:spacing w:line="480" w:lineRule="auto"/>
        <w:jc w:val="both"/>
      </w:pPr>
      <w:r>
        <w:rPr>
          <w:b/>
        </w:rPr>
        <w:t>Audiologic triage and referral.</w:t>
      </w:r>
      <w:r>
        <w:t xml:space="preserve"> The FAI could refine referral pathways by flagging patients who straddle severity boundaries. Someone with FAI = 45 (borderline mild–moderate) might be scheduled for monitoring rather than forced into a single category that either under- or over-states their loss.</w:t>
      </w:r>
    </w:p>
    <w:p>
      <w:pPr>
        <w:spacing w:line="480" w:lineRule="auto"/>
        <w:jc w:val="both"/>
      </w:pPr>
      <w:r>
        <w:rPr>
          <w:b/>
        </w:rPr>
        <w:t>Hearing aid fitting.</w:t>
      </w:r>
      <w:r>
        <w:t xml:space="preserve"> 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spacing w:line="480" w:lineRule="auto"/>
        <w:jc w:val="both"/>
      </w:pPr>
      <w:r>
        <w:rPr>
          <w:b/>
        </w:rPr>
        <w:t>Ototoxicity monitoring.</w:t>
      </w:r>
      <w:r>
        <w:t xml:space="preserve"> 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spacing w:line="480" w:lineRule="auto"/>
        <w:jc w:val="both"/>
      </w:pPr>
      <w:r>
        <w:rPr>
          <w:b/>
        </w:rPr>
        <w:t>Low-resource settings.</w:t>
      </w:r>
      <w:r>
        <w:t xml:space="preserve"> 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p>
      <w:pPr>
        <w:pStyle w:val="Heading3"/>
      </w:pPr>
      <w:r>
        <w:rPr>
          <w:b/>
          <w:i/>
        </w:rPr>
        <w:t>Comparison with Prior Work</w:t>
      </w:r>
    </w:p>
    <w:p>
      <w:pPr>
        <w:spacing w:line="480" w:lineRule="auto"/>
        <w:jc w:val="both"/>
      </w:pPr>
      <w:r>
        <w:t>Our results fit with the emerging computational audiology literature while extending it in a few directions. The 91% borderline accuracy compares well with the 87% from Miller and Polansky (2004) and the 91% from Chen et al. (2017), though direct comparison is limited by different datasets and outcome definitions. We also found that the fuzzy system outperformed XGBoost in borderline cases (91% vs. 79%, p &lt; 0.05). Machine learning classifiers are not designed to model partial membership at severity boundaries. Fuzzy logic is mathematically structured to do exactly that.</w:t>
      </w:r>
    </w:p>
    <w:p>
      <w:pPr>
        <w:spacing w:line="480" w:lineRule="auto"/>
        <w:jc w:val="both"/>
      </w:pPr>
      <w:r>
        <w:t>Compared to clustering-based profiling approaches (Sanchez-Lopez et al., 2021; Van Beek et al., 2024), the fuzzy system produces outputs clinicians can actually inspect. A clinician can see the rule base, understand why a particular grade was assigned, and modify rules if needed. That transparency matters for real clinical adoption.</w:t>
      </w:r>
    </w:p>
    <w:p>
      <w:pPr>
        <w:pStyle w:val="Heading3"/>
      </w:pPr>
      <w:r>
        <w:rPr>
          <w:b/>
          <w:i/>
        </w:rPr>
        <w:t>Limitations</w:t>
      </w:r>
    </w:p>
    <w:p>
      <w:pPr>
        <w:spacing w:line="480" w:lineRule="auto"/>
        <w:jc w:val="both"/>
      </w:pPr>
      <w:r>
        <w:t>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themselves were optimised on the 2017–2020 NHANES cycle (see Membership Function Optimization). The FIS structure is cycle-independent, and re-optimising the functions on the present training set is a design option;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p>
      <w:pPr>
        <w:pStyle w:val="Heading3"/>
      </w:pPr>
      <w:r>
        <w:rPr>
          <w:b/>
          <w:i/>
        </w:rPr>
        <w:t>Generalisability and Future Directions</w:t>
      </w:r>
    </w:p>
    <w:p>
      <w:pPr>
        <w:spacing w:line="480" w:lineRule="auto"/>
        <w:jc w:val="both"/>
      </w:pPr>
      <w:r>
        <w:t>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p>
      <w:pPr>
        <w:pStyle w:val="Heading2"/>
      </w:pPr>
      <w:r>
        <w:rPr>
          <w:b/>
        </w:rPr>
        <w:t>Conclusion</w:t>
      </w:r>
    </w:p>
    <w:p>
      <w:pPr>
        <w:spacing w:line="480" w:lineRule="auto"/>
        <w:jc w:val="both"/>
      </w:pPr>
      <w:r>
        <w:t>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0.73) while providing richer information on borderline cases, configuration typing, and longitudinal monitoring. As audiology moves toward more personalised, data-driven care, a fuzzy approach keeps the inherent continuity of auditory function front and centre.</w:t>
      </w:r>
    </w:p>
    <w:p>
      <w:pPr>
        <w:pStyle w:val="Heading2"/>
      </w:pPr>
      <w:r>
        <w:rPr>
          <w:b/>
        </w:rPr>
        <w:t>Conflict of Interest Statement</w:t>
      </w:r>
    </w:p>
    <w:p>
      <w:pPr>
        <w:spacing w:line="480" w:lineRule="auto"/>
        <w:jc w:val="both"/>
      </w:pPr>
      <w:r>
        <w:t>The author declares no conflicts of interest.</w:t>
      </w:r>
    </w:p>
    <w:p>
      <w:pPr>
        <w:pStyle w:val="Heading2"/>
      </w:pPr>
      <w:r>
        <w:rPr>
          <w:b/>
        </w:rPr>
        <w:t>Data Availability</w:t>
      </w:r>
    </w:p>
    <w:p>
      <w:pPr>
        <w:spacing w:line="480" w:lineRule="auto"/>
        <w:jc w:val="both"/>
      </w:pPr>
      <w:r>
        <w:t>NHANES data are publicly available at https://www.cdc.gov/nchs/nhanes/. Analysis source code is available from the corresponding author on request.</w:t>
      </w:r>
    </w:p>
    <w:p>
      <w:pPr>
        <w:pStyle w:val="Heading2"/>
      </w:pPr>
      <w:r>
        <w:rPr>
          <w:b/>
        </w:rPr>
        <w:t>Appendix: Mathematical Foundations of Fuzzy Logic</w:t>
      </w:r>
    </w:p>
    <w:p>
      <w:pPr>
        <w:pStyle w:val="Heading3"/>
      </w:pPr>
      <w:r>
        <w:rPr>
          <w:b/>
          <w:i/>
        </w:rPr>
        <w:t>Fuzzy Sets and Membership Functions</w:t>
      </w:r>
    </w:p>
    <w:p>
      <w:pPr>
        <w:spacing w:line="480" w:lineRule="auto"/>
        <w:jc w:val="both"/>
      </w:pPr>
      <w:r>
        <w:t xml:space="preserve">Let X be a universe of discourse (e.g., the set of all possible hearing thresholds in dB HL). A </w:t>
      </w:r>
      <w:r>
        <w:rPr>
          <w:b/>
        </w:rPr>
        <w:t>fuzzy set</w:t>
      </w:r>
      <w:r>
        <w:t xml:space="preserve"> A on X is defined by its </w:t>
      </w:r>
      <w:r>
        <w:rPr>
          <w:b/>
        </w:rPr>
        <w:t>membership function</w:t>
      </w:r>
      <w:r>
        <w:t xml:space="preserve"> μA: X → [0, 1], which assigns to each element x ∈ X a degree of membership in the interval [0, 1] (Zadeh, 1965):</w:t>
      </w:r>
    </w:p>
    <w:p>
      <w:pPr>
        <w:spacing w:line="480" w:lineRule="auto"/>
        <w:jc w:val="both"/>
      </w:pPr>
      <w:r>
        <w:t>A = {(x, μA(x)) | x ∈ X}</w:t>
      </w:r>
    </w:p>
    <w:p>
      <w:pPr>
        <w:spacing w:line="480" w:lineRule="auto"/>
        <w:jc w:val="both"/>
      </w:pPr>
      <w:r>
        <w:t>where μA(x) = 0 indicates complete non-membership, μA(x) = 1 indicates complete membership, and intermediate values represent partial membership. This is the fundamental distinction from crisp (classical) sets, where membership is binary {0, 1}.</w:t>
      </w:r>
    </w:p>
    <w:p>
      <w:pPr>
        <w:spacing w:line="480" w:lineRule="auto"/>
        <w:jc w:val="both"/>
      </w:pPr>
      <w:r>
        <w:t xml:space="preserve">For each audiometric severity category, we define a </w:t>
      </w:r>
      <w:r>
        <w:rPr>
          <w:b/>
        </w:rPr>
        <w:t>trapezoidal membership function</w:t>
      </w:r>
      <w:r>
        <w:t xml:space="preserve"> parameterised by a quadruple (a, b, c, d), where [b, c] is the core (complete membership, μ = 1) and [a, b] and [c, d] are the left and right shoulders:</w:t>
      </w:r>
    </w:p>
    <w:p>
      <w:pPr>
        <w:spacing w:line="480" w:lineRule="auto"/>
        <w:jc w:val="both"/>
      </w:pPr>
      <w:r>
        <w:t>μ(x; a, b, c, d) = 0, if x ≤ a (x - a)/(b - a), if a &lt; x ≤ b 1, if b &lt; x ≤ c (d - x)/(d - c), if c &lt; x ≤ d 0, if x ≥ d</w:t>
      </w:r>
    </w:p>
    <w:p>
      <w:pPr>
        <w:spacing w:line="480" w:lineRule="auto"/>
        <w:jc w:val="both"/>
      </w:pPr>
      <w:r>
        <w:t xml:space="preserve">We chose trapezoidal functions over triangular (b = c) or Gaussian because the NHANES training set distributions within each WHO severity grade showed asymmetric, plateau-containing shapes that symmetric or unimodal functions capture poorly. The </w:t>
      </w:r>
      <w:r>
        <w:rPr>
          <w:b/>
        </w:rPr>
        <w:t>support</w:t>
      </w:r>
      <w:r>
        <w:t xml:space="preserve"> of a fuzzy set, supp(A) = {x | μA(x) &gt; 0}, and the </w:t>
      </w:r>
      <w:r>
        <w:rPr>
          <w:b/>
        </w:rPr>
        <w:t>core</w:t>
      </w:r>
      <w:r>
        <w:t>, core(A) = {x | μA(x) = 1}, are directly interpretable from the trapezoidal parameters.</w:t>
      </w:r>
    </w:p>
    <w:p>
      <w:pPr>
        <w:pStyle w:val="Heading3"/>
      </w:pPr>
      <w:r>
        <w:rPr>
          <w:b/>
          <w:i/>
        </w:rPr>
        <w:t>Fuzzy Set Operations</w:t>
      </w:r>
    </w:p>
    <w:p>
      <w:pPr>
        <w:spacing w:line="480" w:lineRule="auto"/>
        <w:jc w:val="both"/>
      </w:pPr>
      <w:r>
        <w:t xml:space="preserve">Let μA and μB be membership functions of fuzzy sets A and B on the same universe X. The standard </w:t>
      </w:r>
      <w:r>
        <w:rPr>
          <w:b/>
        </w:rPr>
        <w:t>Zadeh operators</w:t>
      </w:r>
      <w:r>
        <w:t xml:space="preserve"> define set-theoretic operations pointwise (Zadeh, 1965):</w:t>
      </w:r>
    </w:p>
    <w:p>
      <w:pPr>
        <w:spacing w:line="480" w:lineRule="auto"/>
        <w:jc w:val="both"/>
      </w:pPr>
      <w:r>
        <w:rPr>
          <w:b/>
        </w:rPr>
        <w:t>Union (fuzzy OR):</w:t>
      </w:r>
    </w:p>
    <w:p>
      <w:pPr>
        <w:spacing w:line="480" w:lineRule="auto"/>
        <w:jc w:val="both"/>
      </w:pPr>
      <w:r>
        <w:t>μA ∪ B(x) = max(μA(x), μB(x))</w:t>
      </w:r>
    </w:p>
    <w:p>
      <w:pPr>
        <w:spacing w:line="480" w:lineRule="auto"/>
        <w:jc w:val="both"/>
      </w:pPr>
      <w:r>
        <w:rPr>
          <w:b/>
        </w:rPr>
        <w:t>Intersection (fuzzy AND):</w:t>
      </w:r>
    </w:p>
    <w:p>
      <w:pPr>
        <w:spacing w:line="480" w:lineRule="auto"/>
        <w:jc w:val="both"/>
      </w:pPr>
      <w:r>
        <w:t>μA ∩ B(x) = min(μA(x), μB(x))</w:t>
      </w:r>
    </w:p>
    <w:p>
      <w:pPr>
        <w:spacing w:line="480" w:lineRule="auto"/>
        <w:jc w:val="both"/>
      </w:pPr>
      <w:r>
        <w:rPr>
          <w:b/>
        </w:rPr>
        <w:t>Complement (fuzzy NOT):</w:t>
      </w:r>
    </w:p>
    <w:p>
      <w:pPr>
        <w:spacing w:line="480" w:lineRule="auto"/>
        <w:jc w:val="both"/>
      </w:pPr>
      <w:r>
        <w:t>μ_{bar{A}}(x) = 1 - μA(x)</w:t>
      </w:r>
    </w:p>
    <w:p>
      <w:pPr>
        <w:spacing w:line="480" w:lineRule="auto"/>
        <w:jc w:val="both"/>
      </w:pPr>
      <w:r>
        <w:t>These operations implement fuzzy conjunction and disjunction in the rule base.</w:t>
      </w:r>
    </w:p>
    <w:p>
      <w:pPr>
        <w:pStyle w:val="Heading3"/>
      </w:pPr>
      <w:r>
        <w:rPr>
          <w:b/>
          <w:i/>
        </w:rPr>
        <w:t>Mamdani Fuzzy Inference</w:t>
      </w:r>
    </w:p>
    <w:p>
      <w:pPr>
        <w:spacing w:line="480" w:lineRule="auto"/>
        <w:jc w:val="both"/>
      </w:pPr>
      <w:r>
        <w:t xml:space="preserve">We employ </w:t>
      </w:r>
      <w:r>
        <w:rPr>
          <w:b/>
        </w:rPr>
        <w:t>Mamdani-type inference</w:t>
      </w:r>
      <w:r>
        <w:t xml:space="preserve"> (Mamdani and Assilian, 1975), in which both antecedents and consequents are fuzzy sets. A typical rule Rk:</w:t>
      </w:r>
    </w:p>
    <w:p>
      <w:pPr>
        <w:spacing w:line="480" w:lineRule="auto"/>
        <w:jc w:val="both"/>
      </w:pPr>
      <w:r>
        <w:t>Rk: IF x1 is Ak,1 AND … AND x7 is Ak,7 THEN y is Bk</w:t>
      </w:r>
    </w:p>
    <w:p>
      <w:pPr>
        <w:spacing w:line="480" w:lineRule="auto"/>
        <w:jc w:val="both"/>
      </w:pPr>
      <w:r>
        <w:rPr>
          <w:b/>
        </w:rPr>
        <w:t>Firing strength</w:t>
      </w:r>
      <w:r>
        <w:t xml:space="preserve"> αk = min(μ_{Ak,1}(x1), …, μ_{Ak,7}(x7))</w:t>
      </w:r>
    </w:p>
    <w:p>
      <w:pPr>
        <w:spacing w:line="480" w:lineRule="auto"/>
        <w:jc w:val="both"/>
      </w:pPr>
      <w:r>
        <w:rPr>
          <w:b/>
        </w:rPr>
        <w:t>Implication (clipping):</w:t>
      </w:r>
      <w:r>
        <w:t xml:space="preserve"> μRk(y) = min(αk, μBk(y))</w:t>
      </w:r>
    </w:p>
    <w:p>
      <w:pPr>
        <w:spacing w:line="480" w:lineRule="auto"/>
        <w:jc w:val="both"/>
      </w:pPr>
      <w:r>
        <w:rPr>
          <w:b/>
        </w:rPr>
        <w:t>Aggregation:</w:t>
      </w:r>
      <w:r>
        <w:t xml:space="preserve"> μagg(y) = maxk=1^N μRk(y)</w:t>
      </w:r>
    </w:p>
    <w:p>
      <w:pPr>
        <w:pStyle w:val="Heading3"/>
      </w:pPr>
      <w:r>
        <w:rPr>
          <w:b/>
          <w:i/>
        </w:rPr>
        <w:t>Defuzzification: The Fuzzy Audiometric Index</w:t>
      </w:r>
    </w:p>
    <w:p>
      <w:pPr>
        <w:spacing w:line="480" w:lineRule="auto"/>
        <w:jc w:val="both"/>
      </w:pPr>
      <w:r>
        <w:rPr>
          <w:b/>
        </w:rPr>
        <w:t>Centroid of area:</w:t>
      </w:r>
    </w:p>
    <w:p>
      <w:pPr>
        <w:spacing w:line="480" w:lineRule="auto"/>
        <w:jc w:val="both"/>
      </w:pPr>
      <w:r>
        <w:t>y^* = (∫ y · μagg(y) dy)/(∫ μagg(y) dy)</w:t>
      </w:r>
    </w:p>
    <w:p>
      <w:pPr>
        <w:spacing w:line="480" w:lineRule="auto"/>
        <w:jc w:val="both"/>
      </w:pPr>
      <w:r>
        <w:rPr>
          <w:b/>
        </w:rPr>
        <w:t>Discrete FAI:</w:t>
      </w:r>
    </w:p>
    <w:p>
      <w:pPr>
        <w:spacing w:line="480" w:lineRule="auto"/>
        <w:jc w:val="both"/>
      </w:pPr>
      <w:r>
        <w:t>FAI = (Σi=1ⁿ yi · μagg(yi))/(Σi=1ⁿ μagg(yi))</w:t>
      </w:r>
    </w:p>
    <w:p>
      <w:pPr>
        <w:spacing w:line="480" w:lineRule="auto"/>
        <w:jc w:val="both"/>
      </w:pPr>
      <w:r>
        <w:rPr>
          <w:b/>
        </w:rPr>
        <w:t>Composite FAI (design option, not deployed):</w:t>
      </w:r>
      <w:r>
        <w:t xml:space="preserve"> a frequency-weighted composite FAIcomposite = (Σf wf · FAIf)/(Σf wf) with wf = 1.5 for speech frequencies (0.5–4 kHz) and wf = 0.75 for extended high frequencies (6–8 kHz) was explored as a design option but is not implemented in the deployed pipeline; no metric reported here depends on it. The deployed FAI is the single Mamdani FIS output described above.</w:t>
      </w:r>
    </w:p>
    <w:p>
      <w:pPr>
        <w:pStyle w:val="Heading3"/>
      </w:pPr>
      <w:r>
        <w:rPr>
          <w:b/>
          <w:i/>
        </w:rPr>
        <w:t>Linguistic Hedges</w:t>
      </w:r>
    </w:p>
    <w:p>
      <w:pPr>
        <w:spacing w:line="480" w:lineRule="auto"/>
        <w:jc w:val="both"/>
      </w:pPr>
      <w:r>
        <w:rPr>
          <w:b/>
        </w:rPr>
        <w:t>Concentration (very):</w:t>
      </w:r>
      <w:r>
        <w:t xml:space="preserve"> μvery A(x) = [μA(x)]²</w:t>
      </w:r>
    </w:p>
    <w:p>
      <w:pPr>
        <w:spacing w:line="480" w:lineRule="auto"/>
        <w:jc w:val="both"/>
      </w:pPr>
      <w:r>
        <w:rPr>
          <w:b/>
        </w:rPr>
        <w:t>Dilation (somewhat):</w:t>
      </w:r>
      <w:r>
        <w:t xml:space="preserve"> μsomewhat A(x) = [μA(x)]⁰.5</w:t>
      </w:r>
    </w:p>
    <w:p>
      <w:pPr>
        <w:spacing w:line="480" w:lineRule="auto"/>
        <w:jc w:val="both"/>
      </w:pPr>
      <w:r>
        <w:t>These hedges are available for future refinements but were not needed in the current rule base.</w:t>
      </w:r>
    </w:p>
    <w:p>
      <w:pPr>
        <w:pStyle w:val="Heading2"/>
      </w:pPr>
      <w:r>
        <w:rPr>
          <w:b/>
        </w:rPr>
        <w:t>References</w:t>
      </w:r>
    </w:p>
    <w:p>
      <w:pPr>
        <w:spacing w:line="480" w:lineRule="auto"/>
        <w:jc w:val="both"/>
      </w:pPr>
      <w:r>
        <w:t>Amezquita-Sanchez, JP, Mammone, N, Morabito, FC, Adeli, H (2021) A new dispersion entropy and fuzzy logic system methodology for automated classification of dementia stages using electroencephalograms. Clinical Neurology and Neurosurgery, 201, pp. 106446. doi: 10.1016/j.clineuro.2020.106446</w:t>
      </w:r>
    </w:p>
    <w:p>
      <w:pPr>
        <w:spacing w:line="480" w:lineRule="auto"/>
        <w:jc w:val="both"/>
      </w:pPr>
      <w:r>
        <w:t>Ceriani, F, Giles, J, Ingham, NJ, Jeng, JY, Lewis, MA, Steel, KP, Arvaneh, M, Marcotti, W (2025) A machine-learning-based approach to predict early hallmarks of progressive hearing loss. Hearing Research, 464, pp. 109328.</w:t>
      </w:r>
    </w:p>
    <w:p>
      <w:pPr>
        <w:spacing w:line="480" w:lineRule="auto"/>
        <w:jc w:val="both"/>
      </w:pPr>
      <w:r>
        <w:t>Chen, H (2017) A fuzzy rule-based system for automated audiogram classification. Biomedical Signal Processing and Control, 39, pp. 412–420.</w:t>
      </w:r>
    </w:p>
    <w:p>
      <w:pPr>
        <w:spacing w:line="480" w:lineRule="auto"/>
        <w:jc w:val="both"/>
      </w:pPr>
      <w:r>
        <w:t>Clark, JG (1981) Uses and abuses of hearing loss classification. ASHA, 23(7), pp. 493–500.</w:t>
      </w:r>
    </w:p>
    <w:p>
      <w:pPr>
        <w:spacing w:line="480" w:lineRule="auto"/>
        <w:jc w:val="both"/>
      </w:pPr>
      <w:r>
        <w:t>Goodman, A (1965) Reference zero levels for pure-tone audiometers. ASHA, 7, pp. 262–263.</w:t>
      </w:r>
    </w:p>
    <w:p>
      <w:pPr>
        <w:spacing w:line="480" w:lineRule="auto"/>
        <w:jc w:val="both"/>
      </w:pPr>
      <w:r>
        <w:t>Mamdani, EH, Assilian, S (1975) An experiment in linguistic synthesis with a fuzzy logic controller. International Journal of Man-Machine Studies, 7(1), pp. 1–13.</w:t>
      </w:r>
    </w:p>
    <w:p>
      <w:pPr>
        <w:spacing w:line="480" w:lineRule="auto"/>
        <w:jc w:val="both"/>
      </w:pPr>
      <w:r>
        <w:t>Miller, J, Polansky, K (2004) A fuzzy logic approach to audiogram interpretation. Journal of the American Academy of Audiology, 15(9), pp. 606–615.</w:t>
      </w:r>
    </w:p>
    <w:p>
      <w:pPr>
        <w:spacing w:line="480" w:lineRule="auto"/>
        <w:jc w:val="both"/>
      </w:pPr>
      <w:r>
        <w:t>Sanchez-Lopez, R, Perea Perez, J, Christensen-Dalsgaard, J, Harte, JM, Hammershøi, D, Schmidt, JH, Neher, T (2021) A flexible data-driven audiological patient stratification method for deriving auditory profiles. Frontiers in Digital Health, 3, pp. 673686.</w:t>
      </w:r>
    </w:p>
    <w:p>
      <w:pPr>
        <w:spacing w:line="480" w:lineRule="auto"/>
        <w:jc w:val="both"/>
      </w:pPr>
      <w:r>
        <w:t>Suen, JJ, Betz, J, Reed, NS, Deal, JA, Lin, FR, Goman, AM (2021) Prevalence of asymmetric hearing among adults in the United States. Otology &amp; Neurotology, 42(2), pp. e111–e113.</w:t>
      </w:r>
    </w:p>
    <w:p>
      <w:pPr>
        <w:spacing w:line="480" w:lineRule="auto"/>
        <w:jc w:val="both"/>
      </w:pPr>
      <w:r>
        <w:t>Tseng, CW, Wang, TC, Lin, YS, Shiao, AS, Wang, PC (2023) Using machine learning and the National Health and Nutrition Examination Survey to classify individuals with hearing loss. Journal of the American Academy of Audiology, 34(5-6), pp. 113–121.</w:t>
      </w:r>
    </w:p>
    <w:p>
      <w:pPr>
        <w:spacing w:line="480" w:lineRule="auto"/>
        <w:jc w:val="both"/>
      </w:pPr>
      <w:r>
        <w:t>Van Beek, L, Sanchez-Lopez, R, Neher, T, Christensen-Dalsgaard, J, Schmidt, JH, Harte, JM (2024) Integrating audiological datasets via federated merging of auditory profiles. Trends in Hearing, 28, pp. 23312165241273215.</w:t>
      </w:r>
    </w:p>
    <w:p>
      <w:pPr>
        <w:spacing w:line="480" w:lineRule="auto"/>
        <w:jc w:val="both"/>
      </w:pPr>
      <w:r>
        <w:t>Wasmann, JW, Lammers, MJW, van de Berg, R, van der Heijden, GJMG, Kunst, HPM (2022) Developing a diagnostic support system for audiogram interpretation using deep learning-based object detection. European Archives of Oto-Rhino-Laryngology, 279(10), pp. 4825–4833.</w:t>
      </w:r>
    </w:p>
    <w:p>
      <w:pPr>
        <w:spacing w:line="480" w:lineRule="auto"/>
        <w:jc w:val="both"/>
      </w:pPr>
      <w:r>
        <w:t>World Health Organization (2021) World Report on Hearing. Geneva: WHO.</w:t>
      </w:r>
    </w:p>
    <w:p>
      <w:pPr>
        <w:spacing w:line="480" w:lineRule="auto"/>
        <w:jc w:val="both"/>
      </w:pPr>
      <w:r>
        <w:t>Zadeh, LA (1965) Fuzzy sets. Information and Control, 8(3), pp. 338–353.</w:t>
      </w:r>
    </w:p>
    <w:p>
      <w:pPr>
        <w:spacing w:line="480" w:lineRule="auto"/>
        <w:jc w:val="both"/>
      </w:pPr>
      <w:r>
        <w:t>Zadoush, MR (2020) Fuzzy membership functions for audiogram configuration. International Journal of Audiology, 59(7), pp. 529–536.</w:t>
      </w:r>
    </w:p>
    <w:sectPr w:rsidR="009A5C81" w:rsidRPr="009A5C8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Sanyaolu Alani AMEYE" w:date="2024-03-23T04:47:00Z" w:initials="SA">
    <w:p w14:paraId="015BB709" w14:textId="77777777" w:rsidR="00541FF7" w:rsidRDefault="00541FF7" w:rsidP="00541FF7">
      <w:pPr>
        <w:pStyle w:val="CommentText"/>
        <w:jc w:val="left"/>
      </w:pPr>
      <w:r>
        <w:rPr>
          <w:rStyle w:val="CommentReference"/>
        </w:rPr>
        <w:annotationRef/>
      </w:r>
      <w:r>
        <w:t>Your recommeded title</w:t>
      </w:r>
    </w:p>
  </w:comment>
  <w:comment w:id="1" w:author="Sanyaolu Alani AMEYE" w:date="2024-03-23T04:47:00Z" w:initials="SA">
    <w:p w14:paraId="229FDC0C" w14:textId="77777777" w:rsidR="0011501F" w:rsidRDefault="0011501F" w:rsidP="0011501F">
      <w:pPr>
        <w:pStyle w:val="CommentText"/>
        <w:jc w:val="left"/>
      </w:pPr>
      <w:r>
        <w:rPr>
          <w:rStyle w:val="CommentReference"/>
        </w:rPr>
        <w:annotationRef/>
      </w:r>
      <w:r>
        <w:t>Your recommeded title</w:t>
      </w:r>
    </w:p>
  </w:comment>
  <w:comment w:id="2" w:author="Sanyaolu Alani AMEYE" w:date="2024-03-26T05:02:00Z" w:initials="SA">
    <w:p w14:paraId="5C23CB21" w14:textId="77777777" w:rsidR="00ED6552" w:rsidRDefault="00ED6552" w:rsidP="00ED6552">
      <w:pPr>
        <w:pStyle w:val="CommentText"/>
        <w:jc w:val="left"/>
      </w:pPr>
      <w:r>
        <w:rPr>
          <w:rStyle w:val="CommentReference"/>
        </w:rPr>
        <w:annotationRef/>
      </w:r>
      <w:r>
        <w:t>Will still be redone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15BB709" w15:done="0"/>
  <w15:commentEx w15:paraId="229FDC0C" w15:done="0"/>
  <w15:commentEx w15:paraId="5C23CB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A2A434A" w16cex:dateUtc="2024-03-23T01:47:00Z"/>
  <w16cex:commentExtensible w16cex:durableId="3792B302" w16cex:dateUtc="2024-03-23T01:47:00Z"/>
  <w16cex:commentExtensible w16cex:durableId="3019E81E" w16cex:dateUtc="2024-03-26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15BB709" w16cid:durableId="7A2A434A"/>
  <w16cid:commentId w16cid:paraId="229FDC0C" w16cid:durableId="3792B302"/>
  <w16cid:commentId w16cid:paraId="5C23CB21" w16cid:durableId="3019E8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5DA109" w14:textId="77777777" w:rsidR="00177673" w:rsidRDefault="00177673" w:rsidP="004B75E1">
      <w:pPr>
        <w:spacing w:line="240" w:lineRule="auto"/>
      </w:pPr>
      <w:r>
        <w:separator/>
      </w:r>
    </w:p>
  </w:endnote>
  <w:endnote w:type="continuationSeparator" w:id="0">
    <w:p w14:paraId="52540686" w14:textId="77777777" w:rsidR="00177673" w:rsidRDefault="00177673" w:rsidP="004B75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ar(--jp-code-font-family)">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3FE532" w14:textId="77777777" w:rsidR="00177673" w:rsidRDefault="00177673" w:rsidP="004B75E1">
      <w:pPr>
        <w:spacing w:line="240" w:lineRule="auto"/>
      </w:pPr>
      <w:r>
        <w:separator/>
      </w:r>
    </w:p>
  </w:footnote>
  <w:footnote w:type="continuationSeparator" w:id="0">
    <w:p w14:paraId="56DEE489" w14:textId="77777777" w:rsidR="00177673" w:rsidRDefault="00177673" w:rsidP="004B75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D6255"/>
    <w:multiLevelType w:val="hybridMultilevel"/>
    <w:tmpl w:val="6128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504C0"/>
    <w:multiLevelType w:val="multilevel"/>
    <w:tmpl w:val="C58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B42464"/>
    <w:multiLevelType w:val="multilevel"/>
    <w:tmpl w:val="7266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0323675">
    <w:abstractNumId w:val="2"/>
  </w:num>
  <w:num w:numId="2" w16cid:durableId="441656892">
    <w:abstractNumId w:val="0"/>
  </w:num>
  <w:num w:numId="3" w16cid:durableId="3997901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anyaolu Alani AMEYE">
    <w15:presenceInfo w15:providerId="Windows Live" w15:userId="a941af0249f30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wtjQzNDeyNDY1tzBQ0lEKTi0uzszPAykwNKsFAKeby7MtAAAA"/>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Bookman Old Style&lt;/FontName&gt;&lt;FontSize&gt;12&lt;/FontSize&gt;&lt;ReflistTitle&gt;&lt;style face=&quot;bold&quot;&gt;References&lt;/style&gt;&lt;/ReflistTitle&gt;&lt;StartingRefnum&gt;1&lt;/StartingRefnum&gt;&lt;FirstLineIndent&gt;0&lt;/FirstLineIndent&gt;&lt;HangingIndent&gt;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wvdwdedeqvwfzje0apgxpzptax0dsz5awtza&quot;&gt;Geospatial Head and Neck Cancer&lt;record-ids&gt;&lt;item&gt;1&lt;/item&gt;&lt;item&gt;2&lt;/item&gt;&lt;item&gt;3&lt;/item&gt;&lt;item&gt;4&lt;/item&gt;&lt;item&gt;5&lt;/item&gt;&lt;item&gt;6&lt;/item&gt;&lt;item&gt;7&lt;/item&gt;&lt;item&gt;9&lt;/item&gt;&lt;item&gt;11&lt;/item&gt;&lt;item&gt;12&lt;/item&gt;&lt;item&gt;13&lt;/item&gt;&lt;item&gt;14&lt;/item&gt;&lt;item&gt;15&lt;/item&gt;&lt;item&gt;18&lt;/item&gt;&lt;item&gt;19&lt;/item&gt;&lt;item&gt;20&lt;/item&gt;&lt;item&gt;21&lt;/item&gt;&lt;/record-ids&gt;&lt;/item&gt;&lt;/Libraries&gt;"/>
  </w:docVars>
  <w:rsids>
    <w:rsidRoot w:val="00A3046F"/>
    <w:rsid w:val="00000900"/>
    <w:rsid w:val="000019DD"/>
    <w:rsid w:val="00004D72"/>
    <w:rsid w:val="000130DB"/>
    <w:rsid w:val="00013F29"/>
    <w:rsid w:val="00015730"/>
    <w:rsid w:val="0002317F"/>
    <w:rsid w:val="00031C1D"/>
    <w:rsid w:val="00032B0A"/>
    <w:rsid w:val="00040779"/>
    <w:rsid w:val="00040E0B"/>
    <w:rsid w:val="000443B2"/>
    <w:rsid w:val="00045336"/>
    <w:rsid w:val="000461B3"/>
    <w:rsid w:val="00050D04"/>
    <w:rsid w:val="00057AD3"/>
    <w:rsid w:val="00075201"/>
    <w:rsid w:val="000758A7"/>
    <w:rsid w:val="0007689E"/>
    <w:rsid w:val="00076DA1"/>
    <w:rsid w:val="00077AFB"/>
    <w:rsid w:val="00084352"/>
    <w:rsid w:val="00087C76"/>
    <w:rsid w:val="00092480"/>
    <w:rsid w:val="00095D21"/>
    <w:rsid w:val="000A3F81"/>
    <w:rsid w:val="000B103D"/>
    <w:rsid w:val="000B239F"/>
    <w:rsid w:val="000B2580"/>
    <w:rsid w:val="000B2BD8"/>
    <w:rsid w:val="000B2E87"/>
    <w:rsid w:val="000B7D51"/>
    <w:rsid w:val="000C3A60"/>
    <w:rsid w:val="000C4B12"/>
    <w:rsid w:val="000C54B5"/>
    <w:rsid w:val="000D49F7"/>
    <w:rsid w:val="000E53A8"/>
    <w:rsid w:val="000F4752"/>
    <w:rsid w:val="000F6253"/>
    <w:rsid w:val="000F6BC7"/>
    <w:rsid w:val="00102BEB"/>
    <w:rsid w:val="00105877"/>
    <w:rsid w:val="00106C19"/>
    <w:rsid w:val="00107C79"/>
    <w:rsid w:val="00107E8B"/>
    <w:rsid w:val="0011501F"/>
    <w:rsid w:val="00116320"/>
    <w:rsid w:val="0011749C"/>
    <w:rsid w:val="00123AFE"/>
    <w:rsid w:val="00131CD8"/>
    <w:rsid w:val="00132B59"/>
    <w:rsid w:val="00135961"/>
    <w:rsid w:val="001415FA"/>
    <w:rsid w:val="00142AC8"/>
    <w:rsid w:val="001433A9"/>
    <w:rsid w:val="0014627E"/>
    <w:rsid w:val="00147753"/>
    <w:rsid w:val="0015263E"/>
    <w:rsid w:val="00154451"/>
    <w:rsid w:val="00157A36"/>
    <w:rsid w:val="00160CD4"/>
    <w:rsid w:val="00163D23"/>
    <w:rsid w:val="0016572C"/>
    <w:rsid w:val="00167349"/>
    <w:rsid w:val="00175375"/>
    <w:rsid w:val="00177673"/>
    <w:rsid w:val="00181784"/>
    <w:rsid w:val="00196A29"/>
    <w:rsid w:val="00197A38"/>
    <w:rsid w:val="001A1A88"/>
    <w:rsid w:val="001A7247"/>
    <w:rsid w:val="001B3BC1"/>
    <w:rsid w:val="001B60E1"/>
    <w:rsid w:val="001C0BC6"/>
    <w:rsid w:val="001C12CD"/>
    <w:rsid w:val="001C6228"/>
    <w:rsid w:val="001D0D4C"/>
    <w:rsid w:val="001D1767"/>
    <w:rsid w:val="001D18A1"/>
    <w:rsid w:val="001D2241"/>
    <w:rsid w:val="001D63DE"/>
    <w:rsid w:val="001E0C99"/>
    <w:rsid w:val="001F5A13"/>
    <w:rsid w:val="001F6933"/>
    <w:rsid w:val="002054BD"/>
    <w:rsid w:val="00210485"/>
    <w:rsid w:val="002109B7"/>
    <w:rsid w:val="002120BD"/>
    <w:rsid w:val="00222B6D"/>
    <w:rsid w:val="00223A96"/>
    <w:rsid w:val="00225237"/>
    <w:rsid w:val="00226A57"/>
    <w:rsid w:val="002333D9"/>
    <w:rsid w:val="00242DFD"/>
    <w:rsid w:val="0025041E"/>
    <w:rsid w:val="00253491"/>
    <w:rsid w:val="0025349C"/>
    <w:rsid w:val="00253B13"/>
    <w:rsid w:val="00253F00"/>
    <w:rsid w:val="0025704B"/>
    <w:rsid w:val="00257AA1"/>
    <w:rsid w:val="00261C4C"/>
    <w:rsid w:val="00274AE6"/>
    <w:rsid w:val="00275382"/>
    <w:rsid w:val="00277ECF"/>
    <w:rsid w:val="00280F49"/>
    <w:rsid w:val="00282E89"/>
    <w:rsid w:val="0028518E"/>
    <w:rsid w:val="00294E23"/>
    <w:rsid w:val="002A00A1"/>
    <w:rsid w:val="002A1C62"/>
    <w:rsid w:val="002A490E"/>
    <w:rsid w:val="002B2926"/>
    <w:rsid w:val="002B4385"/>
    <w:rsid w:val="002B6BA7"/>
    <w:rsid w:val="002B7F83"/>
    <w:rsid w:val="002C2FF3"/>
    <w:rsid w:val="002D15B3"/>
    <w:rsid w:val="002D3DE9"/>
    <w:rsid w:val="002D401D"/>
    <w:rsid w:val="002E01CA"/>
    <w:rsid w:val="002E02F5"/>
    <w:rsid w:val="002F0177"/>
    <w:rsid w:val="002F02BD"/>
    <w:rsid w:val="002F3400"/>
    <w:rsid w:val="002F43A6"/>
    <w:rsid w:val="0030138A"/>
    <w:rsid w:val="00306537"/>
    <w:rsid w:val="00307128"/>
    <w:rsid w:val="00312277"/>
    <w:rsid w:val="00321494"/>
    <w:rsid w:val="00321944"/>
    <w:rsid w:val="0032255F"/>
    <w:rsid w:val="003238B0"/>
    <w:rsid w:val="00330CF3"/>
    <w:rsid w:val="00342FE4"/>
    <w:rsid w:val="00355811"/>
    <w:rsid w:val="00361E9D"/>
    <w:rsid w:val="00362C19"/>
    <w:rsid w:val="0037485A"/>
    <w:rsid w:val="003753C1"/>
    <w:rsid w:val="0038022F"/>
    <w:rsid w:val="003831C2"/>
    <w:rsid w:val="0039097C"/>
    <w:rsid w:val="00393FB8"/>
    <w:rsid w:val="003A3FD4"/>
    <w:rsid w:val="003A4504"/>
    <w:rsid w:val="003A7D44"/>
    <w:rsid w:val="003B3D67"/>
    <w:rsid w:val="003B4BA6"/>
    <w:rsid w:val="003B7FB6"/>
    <w:rsid w:val="003D40B9"/>
    <w:rsid w:val="003E1B20"/>
    <w:rsid w:val="003E2240"/>
    <w:rsid w:val="003E534E"/>
    <w:rsid w:val="003F4053"/>
    <w:rsid w:val="00405893"/>
    <w:rsid w:val="00407CE7"/>
    <w:rsid w:val="00424226"/>
    <w:rsid w:val="00424A26"/>
    <w:rsid w:val="004265B0"/>
    <w:rsid w:val="0042774D"/>
    <w:rsid w:val="004304B3"/>
    <w:rsid w:val="00430D47"/>
    <w:rsid w:val="0043331F"/>
    <w:rsid w:val="00440FDE"/>
    <w:rsid w:val="00446251"/>
    <w:rsid w:val="004464EC"/>
    <w:rsid w:val="00447910"/>
    <w:rsid w:val="00450F22"/>
    <w:rsid w:val="00452135"/>
    <w:rsid w:val="00467302"/>
    <w:rsid w:val="00470F67"/>
    <w:rsid w:val="00480D39"/>
    <w:rsid w:val="00481E05"/>
    <w:rsid w:val="00494BB4"/>
    <w:rsid w:val="004B75E1"/>
    <w:rsid w:val="004C1F79"/>
    <w:rsid w:val="004C5862"/>
    <w:rsid w:val="004D18D6"/>
    <w:rsid w:val="004D4DB1"/>
    <w:rsid w:val="004D6D57"/>
    <w:rsid w:val="004E46D8"/>
    <w:rsid w:val="004E6059"/>
    <w:rsid w:val="004E6F2F"/>
    <w:rsid w:val="004E7312"/>
    <w:rsid w:val="004F0890"/>
    <w:rsid w:val="004F2201"/>
    <w:rsid w:val="004F25D6"/>
    <w:rsid w:val="004F30FC"/>
    <w:rsid w:val="004F43DC"/>
    <w:rsid w:val="00501CC3"/>
    <w:rsid w:val="00517A4D"/>
    <w:rsid w:val="00521D7D"/>
    <w:rsid w:val="00525AAE"/>
    <w:rsid w:val="00526336"/>
    <w:rsid w:val="005313C0"/>
    <w:rsid w:val="00531FF2"/>
    <w:rsid w:val="00533163"/>
    <w:rsid w:val="005378BE"/>
    <w:rsid w:val="00541FF7"/>
    <w:rsid w:val="0054213C"/>
    <w:rsid w:val="00544A27"/>
    <w:rsid w:val="0055462B"/>
    <w:rsid w:val="005550A4"/>
    <w:rsid w:val="00567390"/>
    <w:rsid w:val="00570E45"/>
    <w:rsid w:val="00572525"/>
    <w:rsid w:val="00575A7D"/>
    <w:rsid w:val="00577772"/>
    <w:rsid w:val="005802EE"/>
    <w:rsid w:val="00584359"/>
    <w:rsid w:val="005844F8"/>
    <w:rsid w:val="00591D1A"/>
    <w:rsid w:val="0059485A"/>
    <w:rsid w:val="00595A3D"/>
    <w:rsid w:val="00596396"/>
    <w:rsid w:val="005C41B6"/>
    <w:rsid w:val="005D0EED"/>
    <w:rsid w:val="005D1E2B"/>
    <w:rsid w:val="005D57D1"/>
    <w:rsid w:val="005F1373"/>
    <w:rsid w:val="005F44D4"/>
    <w:rsid w:val="00600852"/>
    <w:rsid w:val="00607EE2"/>
    <w:rsid w:val="0061341F"/>
    <w:rsid w:val="00616C21"/>
    <w:rsid w:val="00617F53"/>
    <w:rsid w:val="00621B14"/>
    <w:rsid w:val="006223E8"/>
    <w:rsid w:val="00622E21"/>
    <w:rsid w:val="0062343E"/>
    <w:rsid w:val="0062358C"/>
    <w:rsid w:val="00630355"/>
    <w:rsid w:val="00635ECB"/>
    <w:rsid w:val="00635ED2"/>
    <w:rsid w:val="006413DA"/>
    <w:rsid w:val="00643582"/>
    <w:rsid w:val="00644A12"/>
    <w:rsid w:val="006541D3"/>
    <w:rsid w:val="00663A6D"/>
    <w:rsid w:val="0066453A"/>
    <w:rsid w:val="00671510"/>
    <w:rsid w:val="00675738"/>
    <w:rsid w:val="006776E2"/>
    <w:rsid w:val="00683B29"/>
    <w:rsid w:val="00685E9C"/>
    <w:rsid w:val="00686CBA"/>
    <w:rsid w:val="0069457D"/>
    <w:rsid w:val="0069732B"/>
    <w:rsid w:val="006A1CDB"/>
    <w:rsid w:val="006B1441"/>
    <w:rsid w:val="006B62D7"/>
    <w:rsid w:val="006C1528"/>
    <w:rsid w:val="006C2A27"/>
    <w:rsid w:val="006C4003"/>
    <w:rsid w:val="006C7A58"/>
    <w:rsid w:val="006D1334"/>
    <w:rsid w:val="006E22AA"/>
    <w:rsid w:val="006E7BA6"/>
    <w:rsid w:val="006F1143"/>
    <w:rsid w:val="007146FA"/>
    <w:rsid w:val="00714F60"/>
    <w:rsid w:val="007170F0"/>
    <w:rsid w:val="007212AB"/>
    <w:rsid w:val="00727DAE"/>
    <w:rsid w:val="007301A8"/>
    <w:rsid w:val="00734DB9"/>
    <w:rsid w:val="007352B1"/>
    <w:rsid w:val="00752CC7"/>
    <w:rsid w:val="007604F4"/>
    <w:rsid w:val="00765F8E"/>
    <w:rsid w:val="00767994"/>
    <w:rsid w:val="007776B1"/>
    <w:rsid w:val="00780063"/>
    <w:rsid w:val="00793FE5"/>
    <w:rsid w:val="00796662"/>
    <w:rsid w:val="00796F0A"/>
    <w:rsid w:val="00797323"/>
    <w:rsid w:val="007B7F75"/>
    <w:rsid w:val="007C0005"/>
    <w:rsid w:val="007D1E87"/>
    <w:rsid w:val="007E4486"/>
    <w:rsid w:val="007E67E3"/>
    <w:rsid w:val="007F2158"/>
    <w:rsid w:val="0080600B"/>
    <w:rsid w:val="00806439"/>
    <w:rsid w:val="00806879"/>
    <w:rsid w:val="008130FD"/>
    <w:rsid w:val="00817C34"/>
    <w:rsid w:val="00817CDD"/>
    <w:rsid w:val="008279DD"/>
    <w:rsid w:val="008340C7"/>
    <w:rsid w:val="00840D90"/>
    <w:rsid w:val="00843CF7"/>
    <w:rsid w:val="008443DA"/>
    <w:rsid w:val="00844828"/>
    <w:rsid w:val="00855D4D"/>
    <w:rsid w:val="00860333"/>
    <w:rsid w:val="00865B86"/>
    <w:rsid w:val="00871E35"/>
    <w:rsid w:val="00874926"/>
    <w:rsid w:val="008750C2"/>
    <w:rsid w:val="00881ADB"/>
    <w:rsid w:val="008823B9"/>
    <w:rsid w:val="00886ED5"/>
    <w:rsid w:val="0089040B"/>
    <w:rsid w:val="008A0A5D"/>
    <w:rsid w:val="008A1521"/>
    <w:rsid w:val="008A38CE"/>
    <w:rsid w:val="008A4896"/>
    <w:rsid w:val="008B0C56"/>
    <w:rsid w:val="008B373F"/>
    <w:rsid w:val="008B470C"/>
    <w:rsid w:val="008B5E8B"/>
    <w:rsid w:val="008C0DA5"/>
    <w:rsid w:val="008C2395"/>
    <w:rsid w:val="008C325B"/>
    <w:rsid w:val="008C635B"/>
    <w:rsid w:val="008D1051"/>
    <w:rsid w:val="008D184B"/>
    <w:rsid w:val="008D4B08"/>
    <w:rsid w:val="008E3925"/>
    <w:rsid w:val="008E7E18"/>
    <w:rsid w:val="008F45FE"/>
    <w:rsid w:val="008F6052"/>
    <w:rsid w:val="009000F3"/>
    <w:rsid w:val="009039DF"/>
    <w:rsid w:val="0090587D"/>
    <w:rsid w:val="00912C07"/>
    <w:rsid w:val="00921178"/>
    <w:rsid w:val="0092484D"/>
    <w:rsid w:val="00924D3F"/>
    <w:rsid w:val="009265CB"/>
    <w:rsid w:val="0093165A"/>
    <w:rsid w:val="009406C1"/>
    <w:rsid w:val="009424C2"/>
    <w:rsid w:val="009478A9"/>
    <w:rsid w:val="00947FEE"/>
    <w:rsid w:val="00953B1F"/>
    <w:rsid w:val="0095524E"/>
    <w:rsid w:val="00963A07"/>
    <w:rsid w:val="00973604"/>
    <w:rsid w:val="00975EEB"/>
    <w:rsid w:val="00976944"/>
    <w:rsid w:val="009940ED"/>
    <w:rsid w:val="00997FFA"/>
    <w:rsid w:val="009A5C81"/>
    <w:rsid w:val="009A7778"/>
    <w:rsid w:val="009B1448"/>
    <w:rsid w:val="009B3383"/>
    <w:rsid w:val="009B5FE4"/>
    <w:rsid w:val="009C6719"/>
    <w:rsid w:val="009C7868"/>
    <w:rsid w:val="009D249F"/>
    <w:rsid w:val="009D34D5"/>
    <w:rsid w:val="009D41D3"/>
    <w:rsid w:val="009D5C91"/>
    <w:rsid w:val="009E2CEC"/>
    <w:rsid w:val="009E6401"/>
    <w:rsid w:val="009E716F"/>
    <w:rsid w:val="009F45C2"/>
    <w:rsid w:val="009F54D2"/>
    <w:rsid w:val="00A00DA4"/>
    <w:rsid w:val="00A01A65"/>
    <w:rsid w:val="00A104ED"/>
    <w:rsid w:val="00A121F3"/>
    <w:rsid w:val="00A13FB7"/>
    <w:rsid w:val="00A30358"/>
    <w:rsid w:val="00A3046F"/>
    <w:rsid w:val="00A337DB"/>
    <w:rsid w:val="00A3657E"/>
    <w:rsid w:val="00A40451"/>
    <w:rsid w:val="00A524EF"/>
    <w:rsid w:val="00A53949"/>
    <w:rsid w:val="00A65235"/>
    <w:rsid w:val="00A73E40"/>
    <w:rsid w:val="00A75E13"/>
    <w:rsid w:val="00A81712"/>
    <w:rsid w:val="00A83B67"/>
    <w:rsid w:val="00A90461"/>
    <w:rsid w:val="00A907B3"/>
    <w:rsid w:val="00A90D32"/>
    <w:rsid w:val="00A93972"/>
    <w:rsid w:val="00AA2A4D"/>
    <w:rsid w:val="00AA5B79"/>
    <w:rsid w:val="00AA7123"/>
    <w:rsid w:val="00AB1137"/>
    <w:rsid w:val="00AB2105"/>
    <w:rsid w:val="00AB2F9D"/>
    <w:rsid w:val="00AB3EA4"/>
    <w:rsid w:val="00AC3FC5"/>
    <w:rsid w:val="00AC4B48"/>
    <w:rsid w:val="00AD2B3E"/>
    <w:rsid w:val="00AD4880"/>
    <w:rsid w:val="00AD779F"/>
    <w:rsid w:val="00AE0D59"/>
    <w:rsid w:val="00AE3F84"/>
    <w:rsid w:val="00AE70CB"/>
    <w:rsid w:val="00AE7997"/>
    <w:rsid w:val="00AF0B69"/>
    <w:rsid w:val="00AF4454"/>
    <w:rsid w:val="00AF466E"/>
    <w:rsid w:val="00AF6860"/>
    <w:rsid w:val="00B20452"/>
    <w:rsid w:val="00B235FA"/>
    <w:rsid w:val="00B246FE"/>
    <w:rsid w:val="00B269F0"/>
    <w:rsid w:val="00B30071"/>
    <w:rsid w:val="00B347DB"/>
    <w:rsid w:val="00B4198F"/>
    <w:rsid w:val="00B41F31"/>
    <w:rsid w:val="00B42E07"/>
    <w:rsid w:val="00B5710D"/>
    <w:rsid w:val="00B67B58"/>
    <w:rsid w:val="00B71430"/>
    <w:rsid w:val="00B7528A"/>
    <w:rsid w:val="00B8605A"/>
    <w:rsid w:val="00B9028E"/>
    <w:rsid w:val="00BA699C"/>
    <w:rsid w:val="00BB2BD0"/>
    <w:rsid w:val="00BB312D"/>
    <w:rsid w:val="00BB3F80"/>
    <w:rsid w:val="00BB43FC"/>
    <w:rsid w:val="00BB6F15"/>
    <w:rsid w:val="00BC0879"/>
    <w:rsid w:val="00BC1D30"/>
    <w:rsid w:val="00BC40FD"/>
    <w:rsid w:val="00BE1D81"/>
    <w:rsid w:val="00BE28C9"/>
    <w:rsid w:val="00BE7B9F"/>
    <w:rsid w:val="00BF21CC"/>
    <w:rsid w:val="00BF6D46"/>
    <w:rsid w:val="00C0578E"/>
    <w:rsid w:val="00C07C9F"/>
    <w:rsid w:val="00C24656"/>
    <w:rsid w:val="00C24FDA"/>
    <w:rsid w:val="00C2661E"/>
    <w:rsid w:val="00C26EC4"/>
    <w:rsid w:val="00C34632"/>
    <w:rsid w:val="00C372D7"/>
    <w:rsid w:val="00C449AE"/>
    <w:rsid w:val="00C53E2C"/>
    <w:rsid w:val="00C5520E"/>
    <w:rsid w:val="00C633A4"/>
    <w:rsid w:val="00C663E4"/>
    <w:rsid w:val="00C718D6"/>
    <w:rsid w:val="00C80D83"/>
    <w:rsid w:val="00C821C8"/>
    <w:rsid w:val="00C82CE8"/>
    <w:rsid w:val="00C833E1"/>
    <w:rsid w:val="00CA52A5"/>
    <w:rsid w:val="00CB169C"/>
    <w:rsid w:val="00CB3134"/>
    <w:rsid w:val="00CB51A3"/>
    <w:rsid w:val="00CD098D"/>
    <w:rsid w:val="00CD41D3"/>
    <w:rsid w:val="00CD65B7"/>
    <w:rsid w:val="00CE69D0"/>
    <w:rsid w:val="00CF26CD"/>
    <w:rsid w:val="00D0018A"/>
    <w:rsid w:val="00D07009"/>
    <w:rsid w:val="00D10F24"/>
    <w:rsid w:val="00D11435"/>
    <w:rsid w:val="00D143FE"/>
    <w:rsid w:val="00D15019"/>
    <w:rsid w:val="00D21965"/>
    <w:rsid w:val="00D2235C"/>
    <w:rsid w:val="00D22D5F"/>
    <w:rsid w:val="00D24A6F"/>
    <w:rsid w:val="00D33A00"/>
    <w:rsid w:val="00D33CAB"/>
    <w:rsid w:val="00D37A41"/>
    <w:rsid w:val="00D42E48"/>
    <w:rsid w:val="00D44923"/>
    <w:rsid w:val="00D466AB"/>
    <w:rsid w:val="00D46A7D"/>
    <w:rsid w:val="00D47C09"/>
    <w:rsid w:val="00D50842"/>
    <w:rsid w:val="00D51384"/>
    <w:rsid w:val="00D51480"/>
    <w:rsid w:val="00D541BE"/>
    <w:rsid w:val="00D54AF8"/>
    <w:rsid w:val="00D5526B"/>
    <w:rsid w:val="00D62E5E"/>
    <w:rsid w:val="00D64D73"/>
    <w:rsid w:val="00D71697"/>
    <w:rsid w:val="00D72E50"/>
    <w:rsid w:val="00D77BB6"/>
    <w:rsid w:val="00D81D58"/>
    <w:rsid w:val="00D83A1E"/>
    <w:rsid w:val="00D87905"/>
    <w:rsid w:val="00D901D1"/>
    <w:rsid w:val="00D950B8"/>
    <w:rsid w:val="00DA1E22"/>
    <w:rsid w:val="00DA2507"/>
    <w:rsid w:val="00DA66C3"/>
    <w:rsid w:val="00DB785B"/>
    <w:rsid w:val="00DC29E2"/>
    <w:rsid w:val="00DC5705"/>
    <w:rsid w:val="00DD1EA5"/>
    <w:rsid w:val="00DD2A03"/>
    <w:rsid w:val="00DF15F3"/>
    <w:rsid w:val="00DF7AFD"/>
    <w:rsid w:val="00E04FCE"/>
    <w:rsid w:val="00E055F6"/>
    <w:rsid w:val="00E070F5"/>
    <w:rsid w:val="00E1340F"/>
    <w:rsid w:val="00E13F3F"/>
    <w:rsid w:val="00E21BF6"/>
    <w:rsid w:val="00E23366"/>
    <w:rsid w:val="00E2398E"/>
    <w:rsid w:val="00E263A1"/>
    <w:rsid w:val="00E27DE9"/>
    <w:rsid w:val="00E35D8C"/>
    <w:rsid w:val="00E44A56"/>
    <w:rsid w:val="00E52AD0"/>
    <w:rsid w:val="00E52C04"/>
    <w:rsid w:val="00E603CB"/>
    <w:rsid w:val="00E6082A"/>
    <w:rsid w:val="00E62BB9"/>
    <w:rsid w:val="00E6477D"/>
    <w:rsid w:val="00E64932"/>
    <w:rsid w:val="00E65B6F"/>
    <w:rsid w:val="00E664E0"/>
    <w:rsid w:val="00E678E3"/>
    <w:rsid w:val="00E67C98"/>
    <w:rsid w:val="00E67E00"/>
    <w:rsid w:val="00E810EF"/>
    <w:rsid w:val="00E8214B"/>
    <w:rsid w:val="00E82AE9"/>
    <w:rsid w:val="00E84021"/>
    <w:rsid w:val="00EA3D5E"/>
    <w:rsid w:val="00EA50EC"/>
    <w:rsid w:val="00EA5183"/>
    <w:rsid w:val="00EA593F"/>
    <w:rsid w:val="00EA67BB"/>
    <w:rsid w:val="00EB0F98"/>
    <w:rsid w:val="00EB20C4"/>
    <w:rsid w:val="00EB5691"/>
    <w:rsid w:val="00EB59DE"/>
    <w:rsid w:val="00EB64E3"/>
    <w:rsid w:val="00EC5463"/>
    <w:rsid w:val="00EC7DBD"/>
    <w:rsid w:val="00ED033D"/>
    <w:rsid w:val="00ED3223"/>
    <w:rsid w:val="00ED38D4"/>
    <w:rsid w:val="00ED6552"/>
    <w:rsid w:val="00EE267C"/>
    <w:rsid w:val="00EE320E"/>
    <w:rsid w:val="00EE65EB"/>
    <w:rsid w:val="00EF3822"/>
    <w:rsid w:val="00F04B7E"/>
    <w:rsid w:val="00F123B9"/>
    <w:rsid w:val="00F152A3"/>
    <w:rsid w:val="00F16333"/>
    <w:rsid w:val="00F1708A"/>
    <w:rsid w:val="00F20142"/>
    <w:rsid w:val="00F22953"/>
    <w:rsid w:val="00F23559"/>
    <w:rsid w:val="00F330A6"/>
    <w:rsid w:val="00F33B0C"/>
    <w:rsid w:val="00F35E28"/>
    <w:rsid w:val="00F46DF7"/>
    <w:rsid w:val="00F4731E"/>
    <w:rsid w:val="00F618E0"/>
    <w:rsid w:val="00F646C1"/>
    <w:rsid w:val="00F71B87"/>
    <w:rsid w:val="00F71DCE"/>
    <w:rsid w:val="00F750F6"/>
    <w:rsid w:val="00F8129C"/>
    <w:rsid w:val="00F9144B"/>
    <w:rsid w:val="00F97D94"/>
    <w:rsid w:val="00FA1E42"/>
    <w:rsid w:val="00FA2963"/>
    <w:rsid w:val="00FA455F"/>
    <w:rsid w:val="00FA4895"/>
    <w:rsid w:val="00FA5065"/>
    <w:rsid w:val="00FA5752"/>
    <w:rsid w:val="00FB4800"/>
    <w:rsid w:val="00FB4CF8"/>
    <w:rsid w:val="00FC1C2A"/>
    <w:rsid w:val="00FC5543"/>
    <w:rsid w:val="00FC7640"/>
    <w:rsid w:val="00FC7CF5"/>
    <w:rsid w:val="00FD6FD7"/>
    <w:rsid w:val="00FE2348"/>
    <w:rsid w:val="00FE4D1D"/>
    <w:rsid w:val="00FE5CE6"/>
    <w:rsid w:val="00FE7D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42C65"/>
  <w15:chartTrackingRefBased/>
  <w15:docId w15:val="{2E69B399-C0C6-4E19-88CD-96C697CF8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95"/>
    <w:pPr>
      <w:spacing w:after="0" w:line="480" w:lineRule="auto"/>
      <w:jc w:val="both"/>
    </w:pPr>
    <w:rPr>
      <w:rFonts w:ascii="Bookman Old Style" w:hAnsi="Bookman Old Style"/>
      <w:sz w:val="24"/>
    </w:rPr>
  </w:style>
  <w:style w:type="paragraph" w:styleId="Heading1">
    <w:name w:val="heading 1"/>
    <w:basedOn w:val="Normal"/>
    <w:next w:val="Normal"/>
    <w:link w:val="Heading1Char"/>
    <w:uiPriority w:val="9"/>
    <w:qFormat/>
    <w:rsid w:val="00AB1137"/>
    <w:pPr>
      <w:keepNext/>
      <w:keepLines/>
      <w:spacing w:line="240" w:lineRule="auto"/>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AB1137"/>
    <w:pPr>
      <w:keepNext/>
      <w:keepLines/>
      <w:spacing w:line="24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4E6F2F"/>
    <w:pPr>
      <w:keepNext/>
      <w:keepLines/>
      <w:spacing w:line="240" w:lineRule="auto"/>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095D21"/>
    <w:pPr>
      <w:keepNext/>
      <w:keepLines/>
      <w:spacing w:before="40"/>
      <w:outlineLvl w:val="3"/>
    </w:pPr>
    <w:rPr>
      <w:rFonts w:asciiTheme="majorHAnsi" w:eastAsiaTheme="majorEastAsia" w:hAnsiTheme="majorHAnsi" w:cstheme="majorBidi"/>
      <w:iCs/>
      <w:color w:val="000000" w:themeColor="text1"/>
    </w:rPr>
  </w:style>
  <w:style w:type="paragraph" w:styleId="Heading5">
    <w:name w:val="heading 5"/>
    <w:basedOn w:val="Normal"/>
    <w:next w:val="Normal"/>
    <w:link w:val="Heading5Char"/>
    <w:uiPriority w:val="9"/>
    <w:unhideWhenUsed/>
    <w:qFormat/>
    <w:rsid w:val="009940E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37"/>
    <w:rPr>
      <w:rFonts w:ascii="Bookman Old Style" w:eastAsiaTheme="majorEastAsia" w:hAnsi="Bookman Old Style" w:cstheme="majorBidi"/>
      <w:b/>
      <w:sz w:val="24"/>
      <w:szCs w:val="32"/>
    </w:rPr>
  </w:style>
  <w:style w:type="character" w:customStyle="1" w:styleId="Heading2Char">
    <w:name w:val="Heading 2 Char"/>
    <w:basedOn w:val="DefaultParagraphFont"/>
    <w:link w:val="Heading2"/>
    <w:uiPriority w:val="9"/>
    <w:rsid w:val="00AB1137"/>
    <w:rPr>
      <w:rFonts w:ascii="Bookman Old Style" w:eastAsiaTheme="majorEastAsia" w:hAnsi="Bookman Old Style" w:cstheme="majorBidi"/>
      <w:b/>
      <w:color w:val="000000" w:themeColor="text1"/>
      <w:sz w:val="24"/>
      <w:szCs w:val="26"/>
    </w:rPr>
  </w:style>
  <w:style w:type="paragraph" w:styleId="HTMLPreformatted">
    <w:name w:val="HTML Preformatted"/>
    <w:basedOn w:val="Normal"/>
    <w:link w:val="HTMLPreformattedChar"/>
    <w:uiPriority w:val="99"/>
    <w:semiHidden/>
    <w:unhideWhenUsed/>
    <w:rsid w:val="002333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33D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E6F2F"/>
    <w:rPr>
      <w:rFonts w:ascii="Bookman Old Style" w:eastAsiaTheme="majorEastAsia" w:hAnsi="Bookman Old Style" w:cstheme="majorBidi"/>
      <w:b/>
      <w:i/>
      <w:color w:val="000000" w:themeColor="text1"/>
      <w:sz w:val="24"/>
      <w:szCs w:val="24"/>
    </w:rPr>
  </w:style>
  <w:style w:type="character" w:customStyle="1" w:styleId="Heading4Char">
    <w:name w:val="Heading 4 Char"/>
    <w:basedOn w:val="DefaultParagraphFont"/>
    <w:link w:val="Heading4"/>
    <w:uiPriority w:val="9"/>
    <w:rsid w:val="00095D21"/>
    <w:rPr>
      <w:rFonts w:asciiTheme="majorHAnsi" w:eastAsiaTheme="majorEastAsia" w:hAnsiTheme="majorHAnsi" w:cstheme="majorBidi"/>
      <w:iCs/>
      <w:color w:val="000000" w:themeColor="text1"/>
      <w:sz w:val="24"/>
    </w:rPr>
  </w:style>
  <w:style w:type="character" w:customStyle="1" w:styleId="Heading5Char">
    <w:name w:val="Heading 5 Char"/>
    <w:basedOn w:val="DefaultParagraphFont"/>
    <w:link w:val="Heading5"/>
    <w:uiPriority w:val="9"/>
    <w:rsid w:val="009940ED"/>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D879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C325B"/>
    <w:pPr>
      <w:spacing w:line="240" w:lineRule="auto"/>
    </w:pPr>
    <w:rPr>
      <w:b/>
      <w:iCs/>
      <w:color w:val="000000" w:themeColor="text1"/>
      <w:szCs w:val="18"/>
    </w:rPr>
  </w:style>
  <w:style w:type="character" w:styleId="CommentReference">
    <w:name w:val="annotation reference"/>
    <w:basedOn w:val="DefaultParagraphFont"/>
    <w:uiPriority w:val="99"/>
    <w:semiHidden/>
    <w:unhideWhenUsed/>
    <w:rsid w:val="0089040B"/>
    <w:rPr>
      <w:sz w:val="16"/>
      <w:szCs w:val="16"/>
    </w:rPr>
  </w:style>
  <w:style w:type="paragraph" w:styleId="CommentText">
    <w:name w:val="annotation text"/>
    <w:basedOn w:val="Normal"/>
    <w:link w:val="CommentTextChar"/>
    <w:uiPriority w:val="99"/>
    <w:unhideWhenUsed/>
    <w:rsid w:val="0089040B"/>
    <w:pPr>
      <w:spacing w:line="240" w:lineRule="auto"/>
    </w:pPr>
    <w:rPr>
      <w:sz w:val="20"/>
      <w:szCs w:val="20"/>
    </w:rPr>
  </w:style>
  <w:style w:type="character" w:customStyle="1" w:styleId="CommentTextChar">
    <w:name w:val="Comment Text Char"/>
    <w:basedOn w:val="DefaultParagraphFont"/>
    <w:link w:val="CommentText"/>
    <w:uiPriority w:val="99"/>
    <w:rsid w:val="0089040B"/>
    <w:rPr>
      <w:rFonts w:ascii="Bookman Old Style" w:hAnsi="Bookman Old Style"/>
      <w:sz w:val="20"/>
      <w:szCs w:val="20"/>
    </w:rPr>
  </w:style>
  <w:style w:type="paragraph" w:styleId="CommentSubject">
    <w:name w:val="annotation subject"/>
    <w:basedOn w:val="CommentText"/>
    <w:next w:val="CommentText"/>
    <w:link w:val="CommentSubjectChar"/>
    <w:uiPriority w:val="99"/>
    <w:semiHidden/>
    <w:unhideWhenUsed/>
    <w:rsid w:val="0089040B"/>
    <w:rPr>
      <w:b/>
      <w:bCs/>
    </w:rPr>
  </w:style>
  <w:style w:type="character" w:customStyle="1" w:styleId="CommentSubjectChar">
    <w:name w:val="Comment Subject Char"/>
    <w:basedOn w:val="CommentTextChar"/>
    <w:link w:val="CommentSubject"/>
    <w:uiPriority w:val="99"/>
    <w:semiHidden/>
    <w:rsid w:val="0089040B"/>
    <w:rPr>
      <w:rFonts w:ascii="Bookman Old Style" w:hAnsi="Bookman Old Style"/>
      <w:b/>
      <w:bCs/>
      <w:sz w:val="20"/>
      <w:szCs w:val="20"/>
    </w:rPr>
  </w:style>
  <w:style w:type="paragraph" w:styleId="NormalWeb">
    <w:name w:val="Normal (Web)"/>
    <w:basedOn w:val="Normal"/>
    <w:uiPriority w:val="99"/>
    <w:semiHidden/>
    <w:unhideWhenUsed/>
    <w:rsid w:val="00E6477D"/>
    <w:pPr>
      <w:spacing w:before="100" w:beforeAutospacing="1" w:after="100" w:afterAutospacing="1" w:line="240" w:lineRule="auto"/>
      <w:jc w:val="left"/>
    </w:pPr>
    <w:rPr>
      <w:rFonts w:ascii="Times New Roman" w:eastAsia="Times New Roman" w:hAnsi="Times New Roman" w:cs="Times New Roman"/>
      <w:szCs w:val="24"/>
    </w:rPr>
  </w:style>
  <w:style w:type="table" w:styleId="PlainTable1">
    <w:name w:val="Plain Table 1"/>
    <w:basedOn w:val="TableNormal"/>
    <w:uiPriority w:val="41"/>
    <w:rsid w:val="00AA7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44A56"/>
    <w:pPr>
      <w:ind w:left="720"/>
      <w:contextualSpacing/>
    </w:pPr>
  </w:style>
  <w:style w:type="paragraph" w:styleId="Header">
    <w:name w:val="header"/>
    <w:basedOn w:val="Normal"/>
    <w:link w:val="HeaderChar"/>
    <w:uiPriority w:val="99"/>
    <w:unhideWhenUsed/>
    <w:rsid w:val="004B75E1"/>
    <w:pPr>
      <w:tabs>
        <w:tab w:val="center" w:pos="4680"/>
        <w:tab w:val="right" w:pos="9360"/>
      </w:tabs>
      <w:spacing w:line="240" w:lineRule="auto"/>
    </w:pPr>
  </w:style>
  <w:style w:type="character" w:customStyle="1" w:styleId="HeaderChar">
    <w:name w:val="Header Char"/>
    <w:basedOn w:val="DefaultParagraphFont"/>
    <w:link w:val="Header"/>
    <w:uiPriority w:val="99"/>
    <w:rsid w:val="004B75E1"/>
    <w:rPr>
      <w:rFonts w:ascii="Bookman Old Style" w:hAnsi="Bookman Old Style"/>
      <w:sz w:val="24"/>
    </w:rPr>
  </w:style>
  <w:style w:type="paragraph" w:styleId="Footer">
    <w:name w:val="footer"/>
    <w:basedOn w:val="Normal"/>
    <w:link w:val="FooterChar"/>
    <w:uiPriority w:val="99"/>
    <w:unhideWhenUsed/>
    <w:rsid w:val="004B75E1"/>
    <w:pPr>
      <w:tabs>
        <w:tab w:val="center" w:pos="4680"/>
        <w:tab w:val="right" w:pos="9360"/>
      </w:tabs>
      <w:spacing w:line="240" w:lineRule="auto"/>
    </w:pPr>
  </w:style>
  <w:style w:type="character" w:customStyle="1" w:styleId="FooterChar">
    <w:name w:val="Footer Char"/>
    <w:basedOn w:val="DefaultParagraphFont"/>
    <w:link w:val="Footer"/>
    <w:uiPriority w:val="99"/>
    <w:rsid w:val="004B75E1"/>
    <w:rPr>
      <w:rFonts w:ascii="Bookman Old Style" w:hAnsi="Bookman Old Style"/>
      <w:sz w:val="24"/>
    </w:rPr>
  </w:style>
  <w:style w:type="paragraph" w:customStyle="1" w:styleId="EndNoteBibliographyTitle">
    <w:name w:val="EndNote Bibliography Title"/>
    <w:basedOn w:val="Normal"/>
    <w:link w:val="EndNoteBibliographyTitleChar"/>
    <w:rsid w:val="003E1B20"/>
    <w:pPr>
      <w:jc w:val="center"/>
    </w:pPr>
    <w:rPr>
      <w:noProof/>
    </w:rPr>
  </w:style>
  <w:style w:type="character" w:customStyle="1" w:styleId="EndNoteBibliographyTitleChar">
    <w:name w:val="EndNote Bibliography Title Char"/>
    <w:basedOn w:val="DefaultParagraphFont"/>
    <w:link w:val="EndNoteBibliographyTitle"/>
    <w:rsid w:val="003E1B20"/>
    <w:rPr>
      <w:rFonts w:ascii="Bookman Old Style" w:hAnsi="Bookman Old Style"/>
      <w:noProof/>
      <w:sz w:val="24"/>
    </w:rPr>
  </w:style>
  <w:style w:type="paragraph" w:customStyle="1" w:styleId="EndNoteBibliography">
    <w:name w:val="EndNote Bibliography"/>
    <w:basedOn w:val="Normal"/>
    <w:link w:val="EndNoteBibliographyChar"/>
    <w:rsid w:val="003E1B20"/>
    <w:pPr>
      <w:spacing w:line="240" w:lineRule="auto"/>
    </w:pPr>
    <w:rPr>
      <w:noProof/>
    </w:rPr>
  </w:style>
  <w:style w:type="character" w:customStyle="1" w:styleId="EndNoteBibliographyChar">
    <w:name w:val="EndNote Bibliography Char"/>
    <w:basedOn w:val="DefaultParagraphFont"/>
    <w:link w:val="EndNoteBibliography"/>
    <w:rsid w:val="003E1B20"/>
    <w:rPr>
      <w:rFonts w:ascii="Bookman Old Style" w:hAnsi="Bookman Old Style"/>
      <w:noProof/>
      <w:sz w:val="24"/>
    </w:rPr>
  </w:style>
  <w:style w:type="paragraph" w:styleId="Revision">
    <w:name w:val="Revision"/>
    <w:hidden/>
    <w:uiPriority w:val="99"/>
    <w:semiHidden/>
    <w:rsid w:val="00ED6552"/>
    <w:pPr>
      <w:spacing w:after="0" w:line="240" w:lineRule="auto"/>
    </w:pPr>
    <w:rPr>
      <w:rFonts w:ascii="Bookman Old Style" w:hAnsi="Bookman Old Style"/>
      <w:sz w:val="24"/>
    </w:rPr>
  </w:style>
  <w:style w:type="character" w:styleId="Strong">
    <w:name w:val="Strong"/>
    <w:basedOn w:val="DefaultParagraphFont"/>
    <w:uiPriority w:val="22"/>
    <w:qFormat/>
    <w:rsid w:val="00E055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93337">
      <w:bodyDiv w:val="1"/>
      <w:marLeft w:val="0"/>
      <w:marRight w:val="0"/>
      <w:marTop w:val="0"/>
      <w:marBottom w:val="0"/>
      <w:divBdr>
        <w:top w:val="none" w:sz="0" w:space="0" w:color="auto"/>
        <w:left w:val="none" w:sz="0" w:space="0" w:color="auto"/>
        <w:bottom w:val="none" w:sz="0" w:space="0" w:color="auto"/>
        <w:right w:val="none" w:sz="0" w:space="0" w:color="auto"/>
      </w:divBdr>
    </w:div>
    <w:div w:id="193427144">
      <w:bodyDiv w:val="1"/>
      <w:marLeft w:val="0"/>
      <w:marRight w:val="0"/>
      <w:marTop w:val="0"/>
      <w:marBottom w:val="0"/>
      <w:divBdr>
        <w:top w:val="none" w:sz="0" w:space="0" w:color="auto"/>
        <w:left w:val="none" w:sz="0" w:space="0" w:color="auto"/>
        <w:bottom w:val="none" w:sz="0" w:space="0" w:color="auto"/>
        <w:right w:val="none" w:sz="0" w:space="0" w:color="auto"/>
      </w:divBdr>
    </w:div>
    <w:div w:id="219290037">
      <w:bodyDiv w:val="1"/>
      <w:marLeft w:val="0"/>
      <w:marRight w:val="0"/>
      <w:marTop w:val="0"/>
      <w:marBottom w:val="0"/>
      <w:divBdr>
        <w:top w:val="none" w:sz="0" w:space="0" w:color="auto"/>
        <w:left w:val="none" w:sz="0" w:space="0" w:color="auto"/>
        <w:bottom w:val="none" w:sz="0" w:space="0" w:color="auto"/>
        <w:right w:val="none" w:sz="0" w:space="0" w:color="auto"/>
      </w:divBdr>
    </w:div>
    <w:div w:id="236329707">
      <w:bodyDiv w:val="1"/>
      <w:marLeft w:val="0"/>
      <w:marRight w:val="0"/>
      <w:marTop w:val="0"/>
      <w:marBottom w:val="0"/>
      <w:divBdr>
        <w:top w:val="none" w:sz="0" w:space="0" w:color="auto"/>
        <w:left w:val="none" w:sz="0" w:space="0" w:color="auto"/>
        <w:bottom w:val="none" w:sz="0" w:space="0" w:color="auto"/>
        <w:right w:val="none" w:sz="0" w:space="0" w:color="auto"/>
      </w:divBdr>
    </w:div>
    <w:div w:id="324281559">
      <w:bodyDiv w:val="1"/>
      <w:marLeft w:val="0"/>
      <w:marRight w:val="0"/>
      <w:marTop w:val="0"/>
      <w:marBottom w:val="0"/>
      <w:divBdr>
        <w:top w:val="none" w:sz="0" w:space="0" w:color="auto"/>
        <w:left w:val="none" w:sz="0" w:space="0" w:color="auto"/>
        <w:bottom w:val="none" w:sz="0" w:space="0" w:color="auto"/>
        <w:right w:val="none" w:sz="0" w:space="0" w:color="auto"/>
      </w:divBdr>
    </w:div>
    <w:div w:id="410078720">
      <w:bodyDiv w:val="1"/>
      <w:marLeft w:val="0"/>
      <w:marRight w:val="0"/>
      <w:marTop w:val="0"/>
      <w:marBottom w:val="0"/>
      <w:divBdr>
        <w:top w:val="none" w:sz="0" w:space="0" w:color="auto"/>
        <w:left w:val="none" w:sz="0" w:space="0" w:color="auto"/>
        <w:bottom w:val="none" w:sz="0" w:space="0" w:color="auto"/>
        <w:right w:val="none" w:sz="0" w:space="0" w:color="auto"/>
      </w:divBdr>
      <w:divsChild>
        <w:div w:id="1075005405">
          <w:marLeft w:val="0"/>
          <w:marRight w:val="0"/>
          <w:marTop w:val="0"/>
          <w:marBottom w:val="0"/>
          <w:divBdr>
            <w:top w:val="none" w:sz="0" w:space="0" w:color="auto"/>
            <w:left w:val="none" w:sz="0" w:space="0" w:color="auto"/>
            <w:bottom w:val="none" w:sz="0" w:space="0" w:color="auto"/>
            <w:right w:val="none" w:sz="0" w:space="0" w:color="auto"/>
          </w:divBdr>
          <w:divsChild>
            <w:div w:id="1121998078">
              <w:marLeft w:val="0"/>
              <w:marRight w:val="0"/>
              <w:marTop w:val="0"/>
              <w:marBottom w:val="0"/>
              <w:divBdr>
                <w:top w:val="none" w:sz="0" w:space="0" w:color="auto"/>
                <w:left w:val="none" w:sz="0" w:space="0" w:color="auto"/>
                <w:bottom w:val="none" w:sz="0" w:space="0" w:color="auto"/>
                <w:right w:val="none" w:sz="0" w:space="0" w:color="auto"/>
              </w:divBdr>
              <w:divsChild>
                <w:div w:id="8247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801617">
      <w:bodyDiv w:val="1"/>
      <w:marLeft w:val="0"/>
      <w:marRight w:val="0"/>
      <w:marTop w:val="0"/>
      <w:marBottom w:val="0"/>
      <w:divBdr>
        <w:top w:val="none" w:sz="0" w:space="0" w:color="auto"/>
        <w:left w:val="none" w:sz="0" w:space="0" w:color="auto"/>
        <w:bottom w:val="none" w:sz="0" w:space="0" w:color="auto"/>
        <w:right w:val="none" w:sz="0" w:space="0" w:color="auto"/>
      </w:divBdr>
    </w:div>
    <w:div w:id="459953628">
      <w:bodyDiv w:val="1"/>
      <w:marLeft w:val="0"/>
      <w:marRight w:val="0"/>
      <w:marTop w:val="0"/>
      <w:marBottom w:val="0"/>
      <w:divBdr>
        <w:top w:val="none" w:sz="0" w:space="0" w:color="auto"/>
        <w:left w:val="none" w:sz="0" w:space="0" w:color="auto"/>
        <w:bottom w:val="none" w:sz="0" w:space="0" w:color="auto"/>
        <w:right w:val="none" w:sz="0" w:space="0" w:color="auto"/>
      </w:divBdr>
    </w:div>
    <w:div w:id="461847699">
      <w:bodyDiv w:val="1"/>
      <w:marLeft w:val="0"/>
      <w:marRight w:val="0"/>
      <w:marTop w:val="0"/>
      <w:marBottom w:val="0"/>
      <w:divBdr>
        <w:top w:val="none" w:sz="0" w:space="0" w:color="auto"/>
        <w:left w:val="none" w:sz="0" w:space="0" w:color="auto"/>
        <w:bottom w:val="none" w:sz="0" w:space="0" w:color="auto"/>
        <w:right w:val="none" w:sz="0" w:space="0" w:color="auto"/>
      </w:divBdr>
    </w:div>
    <w:div w:id="526796904">
      <w:bodyDiv w:val="1"/>
      <w:marLeft w:val="0"/>
      <w:marRight w:val="0"/>
      <w:marTop w:val="0"/>
      <w:marBottom w:val="0"/>
      <w:divBdr>
        <w:top w:val="none" w:sz="0" w:space="0" w:color="auto"/>
        <w:left w:val="none" w:sz="0" w:space="0" w:color="auto"/>
        <w:bottom w:val="none" w:sz="0" w:space="0" w:color="auto"/>
        <w:right w:val="none" w:sz="0" w:space="0" w:color="auto"/>
      </w:divBdr>
    </w:div>
    <w:div w:id="555974638">
      <w:bodyDiv w:val="1"/>
      <w:marLeft w:val="0"/>
      <w:marRight w:val="0"/>
      <w:marTop w:val="0"/>
      <w:marBottom w:val="0"/>
      <w:divBdr>
        <w:top w:val="none" w:sz="0" w:space="0" w:color="auto"/>
        <w:left w:val="none" w:sz="0" w:space="0" w:color="auto"/>
        <w:bottom w:val="none" w:sz="0" w:space="0" w:color="auto"/>
        <w:right w:val="none" w:sz="0" w:space="0" w:color="auto"/>
      </w:divBdr>
    </w:div>
    <w:div w:id="605625867">
      <w:bodyDiv w:val="1"/>
      <w:marLeft w:val="0"/>
      <w:marRight w:val="0"/>
      <w:marTop w:val="0"/>
      <w:marBottom w:val="0"/>
      <w:divBdr>
        <w:top w:val="none" w:sz="0" w:space="0" w:color="auto"/>
        <w:left w:val="none" w:sz="0" w:space="0" w:color="auto"/>
        <w:bottom w:val="none" w:sz="0" w:space="0" w:color="auto"/>
        <w:right w:val="none" w:sz="0" w:space="0" w:color="auto"/>
      </w:divBdr>
    </w:div>
    <w:div w:id="762186638">
      <w:bodyDiv w:val="1"/>
      <w:marLeft w:val="0"/>
      <w:marRight w:val="0"/>
      <w:marTop w:val="0"/>
      <w:marBottom w:val="0"/>
      <w:divBdr>
        <w:top w:val="none" w:sz="0" w:space="0" w:color="auto"/>
        <w:left w:val="none" w:sz="0" w:space="0" w:color="auto"/>
        <w:bottom w:val="none" w:sz="0" w:space="0" w:color="auto"/>
        <w:right w:val="none" w:sz="0" w:space="0" w:color="auto"/>
      </w:divBdr>
    </w:div>
    <w:div w:id="784349974">
      <w:bodyDiv w:val="1"/>
      <w:marLeft w:val="0"/>
      <w:marRight w:val="0"/>
      <w:marTop w:val="0"/>
      <w:marBottom w:val="0"/>
      <w:divBdr>
        <w:top w:val="none" w:sz="0" w:space="0" w:color="auto"/>
        <w:left w:val="none" w:sz="0" w:space="0" w:color="auto"/>
        <w:bottom w:val="none" w:sz="0" w:space="0" w:color="auto"/>
        <w:right w:val="none" w:sz="0" w:space="0" w:color="auto"/>
      </w:divBdr>
    </w:div>
    <w:div w:id="831337948">
      <w:bodyDiv w:val="1"/>
      <w:marLeft w:val="0"/>
      <w:marRight w:val="0"/>
      <w:marTop w:val="0"/>
      <w:marBottom w:val="0"/>
      <w:divBdr>
        <w:top w:val="none" w:sz="0" w:space="0" w:color="auto"/>
        <w:left w:val="none" w:sz="0" w:space="0" w:color="auto"/>
        <w:bottom w:val="none" w:sz="0" w:space="0" w:color="auto"/>
        <w:right w:val="none" w:sz="0" w:space="0" w:color="auto"/>
      </w:divBdr>
    </w:div>
    <w:div w:id="1077171477">
      <w:bodyDiv w:val="1"/>
      <w:marLeft w:val="0"/>
      <w:marRight w:val="0"/>
      <w:marTop w:val="0"/>
      <w:marBottom w:val="0"/>
      <w:divBdr>
        <w:top w:val="none" w:sz="0" w:space="0" w:color="auto"/>
        <w:left w:val="none" w:sz="0" w:space="0" w:color="auto"/>
        <w:bottom w:val="none" w:sz="0" w:space="0" w:color="auto"/>
        <w:right w:val="none" w:sz="0" w:space="0" w:color="auto"/>
      </w:divBdr>
    </w:div>
    <w:div w:id="1189638389">
      <w:bodyDiv w:val="1"/>
      <w:marLeft w:val="0"/>
      <w:marRight w:val="0"/>
      <w:marTop w:val="0"/>
      <w:marBottom w:val="0"/>
      <w:divBdr>
        <w:top w:val="none" w:sz="0" w:space="0" w:color="auto"/>
        <w:left w:val="none" w:sz="0" w:space="0" w:color="auto"/>
        <w:bottom w:val="none" w:sz="0" w:space="0" w:color="auto"/>
        <w:right w:val="none" w:sz="0" w:space="0" w:color="auto"/>
      </w:divBdr>
    </w:div>
    <w:div w:id="1211958346">
      <w:bodyDiv w:val="1"/>
      <w:marLeft w:val="0"/>
      <w:marRight w:val="0"/>
      <w:marTop w:val="0"/>
      <w:marBottom w:val="0"/>
      <w:divBdr>
        <w:top w:val="none" w:sz="0" w:space="0" w:color="auto"/>
        <w:left w:val="none" w:sz="0" w:space="0" w:color="auto"/>
        <w:bottom w:val="none" w:sz="0" w:space="0" w:color="auto"/>
        <w:right w:val="none" w:sz="0" w:space="0" w:color="auto"/>
      </w:divBdr>
    </w:div>
    <w:div w:id="1327242351">
      <w:bodyDiv w:val="1"/>
      <w:marLeft w:val="0"/>
      <w:marRight w:val="0"/>
      <w:marTop w:val="0"/>
      <w:marBottom w:val="0"/>
      <w:divBdr>
        <w:top w:val="none" w:sz="0" w:space="0" w:color="auto"/>
        <w:left w:val="none" w:sz="0" w:space="0" w:color="auto"/>
        <w:bottom w:val="none" w:sz="0" w:space="0" w:color="auto"/>
        <w:right w:val="none" w:sz="0" w:space="0" w:color="auto"/>
      </w:divBdr>
    </w:div>
    <w:div w:id="1349453748">
      <w:bodyDiv w:val="1"/>
      <w:marLeft w:val="0"/>
      <w:marRight w:val="0"/>
      <w:marTop w:val="0"/>
      <w:marBottom w:val="0"/>
      <w:divBdr>
        <w:top w:val="none" w:sz="0" w:space="0" w:color="auto"/>
        <w:left w:val="none" w:sz="0" w:space="0" w:color="auto"/>
        <w:bottom w:val="none" w:sz="0" w:space="0" w:color="auto"/>
        <w:right w:val="none" w:sz="0" w:space="0" w:color="auto"/>
      </w:divBdr>
    </w:div>
    <w:div w:id="1448311535">
      <w:bodyDiv w:val="1"/>
      <w:marLeft w:val="0"/>
      <w:marRight w:val="0"/>
      <w:marTop w:val="0"/>
      <w:marBottom w:val="0"/>
      <w:divBdr>
        <w:top w:val="none" w:sz="0" w:space="0" w:color="auto"/>
        <w:left w:val="none" w:sz="0" w:space="0" w:color="auto"/>
        <w:bottom w:val="none" w:sz="0" w:space="0" w:color="auto"/>
        <w:right w:val="none" w:sz="0" w:space="0" w:color="auto"/>
      </w:divBdr>
    </w:div>
    <w:div w:id="1514143840">
      <w:bodyDiv w:val="1"/>
      <w:marLeft w:val="0"/>
      <w:marRight w:val="0"/>
      <w:marTop w:val="0"/>
      <w:marBottom w:val="0"/>
      <w:divBdr>
        <w:top w:val="none" w:sz="0" w:space="0" w:color="auto"/>
        <w:left w:val="none" w:sz="0" w:space="0" w:color="auto"/>
        <w:bottom w:val="none" w:sz="0" w:space="0" w:color="auto"/>
        <w:right w:val="none" w:sz="0" w:space="0" w:color="auto"/>
      </w:divBdr>
      <w:divsChild>
        <w:div w:id="41432570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06368344">
      <w:bodyDiv w:val="1"/>
      <w:marLeft w:val="0"/>
      <w:marRight w:val="0"/>
      <w:marTop w:val="0"/>
      <w:marBottom w:val="0"/>
      <w:divBdr>
        <w:top w:val="none" w:sz="0" w:space="0" w:color="auto"/>
        <w:left w:val="none" w:sz="0" w:space="0" w:color="auto"/>
        <w:bottom w:val="none" w:sz="0" w:space="0" w:color="auto"/>
        <w:right w:val="none" w:sz="0" w:space="0" w:color="auto"/>
      </w:divBdr>
    </w:div>
    <w:div w:id="1755978450">
      <w:bodyDiv w:val="1"/>
      <w:marLeft w:val="0"/>
      <w:marRight w:val="0"/>
      <w:marTop w:val="0"/>
      <w:marBottom w:val="0"/>
      <w:divBdr>
        <w:top w:val="none" w:sz="0" w:space="0" w:color="auto"/>
        <w:left w:val="none" w:sz="0" w:space="0" w:color="auto"/>
        <w:bottom w:val="none" w:sz="0" w:space="0" w:color="auto"/>
        <w:right w:val="none" w:sz="0" w:space="0" w:color="auto"/>
      </w:divBdr>
    </w:div>
    <w:div w:id="1772890937">
      <w:bodyDiv w:val="1"/>
      <w:marLeft w:val="0"/>
      <w:marRight w:val="0"/>
      <w:marTop w:val="0"/>
      <w:marBottom w:val="0"/>
      <w:divBdr>
        <w:top w:val="none" w:sz="0" w:space="0" w:color="auto"/>
        <w:left w:val="none" w:sz="0" w:space="0" w:color="auto"/>
        <w:bottom w:val="none" w:sz="0" w:space="0" w:color="auto"/>
        <w:right w:val="none" w:sz="0" w:space="0" w:color="auto"/>
      </w:divBdr>
    </w:div>
    <w:div w:id="1960991501">
      <w:bodyDiv w:val="1"/>
      <w:marLeft w:val="0"/>
      <w:marRight w:val="0"/>
      <w:marTop w:val="0"/>
      <w:marBottom w:val="0"/>
      <w:divBdr>
        <w:top w:val="none" w:sz="0" w:space="0" w:color="auto"/>
        <w:left w:val="none" w:sz="0" w:space="0" w:color="auto"/>
        <w:bottom w:val="none" w:sz="0" w:space="0" w:color="auto"/>
        <w:right w:val="none" w:sz="0" w:space="0" w:color="auto"/>
      </w:divBdr>
    </w:div>
    <w:div w:id="2057701389">
      <w:bodyDiv w:val="1"/>
      <w:marLeft w:val="0"/>
      <w:marRight w:val="0"/>
      <w:marTop w:val="0"/>
      <w:marBottom w:val="0"/>
      <w:divBdr>
        <w:top w:val="none" w:sz="0" w:space="0" w:color="auto"/>
        <w:left w:val="none" w:sz="0" w:space="0" w:color="auto"/>
        <w:bottom w:val="none" w:sz="0" w:space="0" w:color="auto"/>
        <w:right w:val="none" w:sz="0" w:space="0" w:color="auto"/>
      </w:divBdr>
    </w:div>
    <w:div w:id="2079941797">
      <w:bodyDiv w:val="1"/>
      <w:marLeft w:val="0"/>
      <w:marRight w:val="0"/>
      <w:marTop w:val="0"/>
      <w:marBottom w:val="0"/>
      <w:divBdr>
        <w:top w:val="none" w:sz="0" w:space="0" w:color="auto"/>
        <w:left w:val="none" w:sz="0" w:space="0" w:color="auto"/>
        <w:bottom w:val="none" w:sz="0" w:space="0" w:color="auto"/>
        <w:right w:val="none" w:sz="0" w:space="0" w:color="auto"/>
      </w:divBdr>
    </w:div>
    <w:div w:id="212017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25"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FD0C3A2-4707-486C-9D21-3C27BEEC8401}">
  <we:reference id="wa200003915" version="2.0.0.0" store="nb-NO" storeType="OMEX"/>
  <we:alternateReferences>
    <we:reference id="wa200003915"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24F58-16DC-4425-8229-58A58DF0C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17</Pages>
  <Words>3942</Words>
  <Characters>22470</Characters>
  <Application>Microsoft Office Word</Application>
  <DocSecurity>0</DocSecurity>
  <Lines>187</Lines>
  <Paragraphs>52</Paragraphs>
  <ScaleCrop>false</ScaleCrop>
  <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Sanyaolu Alani AMEYE</dc:creator>
  <cp:keywords/>
  <dc:description/>
  <cp:lastModifiedBy>Sanyaolu Alani AMEYE</cp:lastModifiedBy>
  <cp:revision>82</cp:revision>
  <cp:lastPrinted>2024-03-23T01:45:00Z</cp:lastPrinted>
  <dcterms:created xsi:type="dcterms:W3CDTF">2024-03-26T02:15:00Z</dcterms:created>
  <dcterms:modified xsi:type="dcterms:W3CDTF">2024-05-23T20:11:00Z</dcterms:modified>
</cp:coreProperties>
</file>