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25.png" ContentType="image/png"/>
  <Override PartName="/word/media/rId33.png" ContentType="image/png"/>
  <Override PartName="/word/media/rId29.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w:t>
      </w:r>
    </w:p>
    <w:p>
      <w:pPr>
        <w:pStyle w:val="Abstract"/>
      </w:pPr>
      <w:r>
        <w:rPr>
          <w:b/>
          <w:bCs/>
        </w:rPr>
        <w:t xml:space="preserve">Objective:</w:t>
      </w:r>
      <w:r>
        <w:t xml:space="preserve"> </w:t>
      </w:r>
      <w:r>
        <w:t xml:space="preserve">We developed and validated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We extracted audiometric data from three National Health and Nutrition Examination Survey (NHANES) cycles that tested adults aged 20–69 y (1999–2000, 2011–2012, 2015–2016; n = 10,889) and split them into training (80%, n = 15,654) and held-out test (20%, n = 3,914)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w:t>
      </w:r>
    </w:p>
    <w:p>
      <w:pPr>
        <w:pStyle w:val="Abstract"/>
      </w:pPr>
      <w:r>
        <w:rPr>
          <w:b/>
          <w:bCs/>
        </w:rPr>
        <w:t xml:space="preserve">Results:</w:t>
      </w:r>
      <w:r>
        <w:t xml:space="preserve"> </w:t>
      </w:r>
      <w:r>
        <w:t xml:space="preserve">On the held-out test set, the FAI showed substantial classification agreement (weighted κ = 0.76) and 95.2% agreement in clear cases. In borderline cases (±5 dB of a severity boundary) — 18.8% of test ears — the system returned graded membership rather than a forced binary label (74.9% agreement with the crisp grade, reflecting the designed reclassification of ambiguous thresholds). Configuration typing is provided as a graded vector over six canonical shapes. At the normal–mild transition, membership grades continuously (e.g., 26 dB: Normal μ = 0.16, Mild μ = 0.40) instead of flipping at 26 dB.</w:t>
      </w:r>
    </w:p>
    <w:p>
      <w:pPr>
        <w:pStyle w:val="Abstract"/>
      </w:pPr>
      <w:r>
        <w:rPr>
          <w:b/>
          <w:bCs/>
        </w:rPr>
        <w:t xml:space="preserve">Conclusion:</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2" w:name="introduction"/>
    <w:p>
      <w:pPr>
        <w:pStyle w:val="Heading1"/>
      </w:pPr>
      <w:r>
        <w:t xml:space="preserve">1. Introduction</w:t>
      </w:r>
    </w:p>
    <w:p>
      <w:pPr>
        <w:pStyle w:val="CaptionedFigure"/>
      </w:pPr>
      <w:r>
        <w:drawing>
          <wp:inline>
            <wp:extent cx="4800600" cy="2855068"/>
            <wp:effectExtent b="0" l="0" r="0" t="0"/>
            <wp:docPr descr="Overlapping trapezoidal membership functions for six hearing loss severity categories. The population-optimised boundaries sit about 2 dB to the right of the classic WHO thresholds, with exactly 2.0 dB overlap at each transition."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855068"/>
                    </a:xfrm>
                    <a:prstGeom prst="rect">
                      <a:avLst/>
                    </a:prstGeom>
                    <a:noFill/>
                    <a:ln w="9525">
                      <a:noFill/>
                      <a:headEnd/>
                      <a:tailEnd/>
                    </a:ln>
                  </pic:spPr>
                </pic:pic>
              </a:graphicData>
            </a:graphic>
          </wp:inline>
        </w:drawing>
      </w:r>
    </w:p>
    <w:p>
      <w:pPr>
        <w:pStyle w:val="ImageCaption"/>
      </w:pPr>
      <w:r>
        <w:t xml:space="preserve">Overlapping trapezoidal membership functions for six hearing loss severity categories. The population-optimised boundaries sit about 2 dB to the right of the classic WHO thresholds, with exactly 2.0 dB overlap at each transition.</w:t>
      </w:r>
    </w:p>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2"/>
    <w:bookmarkStart w:id="23" w:name="methods"/>
    <w:p>
      <w:pPr>
        <w:pStyle w:val="Heading1"/>
      </w:pPr>
      <w:r>
        <w:t xml:space="preserve">2. Methods</w:t>
      </w:r>
    </w:p>
    <w:bookmarkStart w:id="13"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3"/>
    <w:bookmarkStart w:id="14"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4"/>
    <w:bookmarkStart w:id="15"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6.4</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36.4</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67.9</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83.7</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104.6</w:t>
            </w:r>
          </w:p>
        </w:tc>
        <w:tc>
          <w:tcPr/>
          <w:p>
            <w:pPr>
              <w:pStyle w:val="Compact"/>
            </w:pPr>
            <w:r>
              <w:t xml:space="preserve">120.0</w:t>
            </w:r>
          </w:p>
        </w:tc>
      </w:tr>
    </w:tbl>
    <w:p>
      <w:pPr>
        <w:pStyle w:val="BodyText"/>
      </w:pPr>
      <w:r>
        <w:t xml:space="preserve">Each category overlaps with its neighbours by exactly 2.0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26 dB HL, for example, gives membership μ = 0.16 to</w:t>
      </w:r>
      <w:r>
        <w:t xml:space="preserve"> </w:t>
      </w:r>
      <w:r>
        <w:rPr>
          <w:i/>
          <w:iCs/>
        </w:rPr>
        <w:t xml:space="preserve">Normal</w:t>
      </w:r>
      <w:r>
        <w:t xml:space="preserve"> </w:t>
      </w:r>
      <w:r>
        <w:t xml:space="preserve">and μ = 0.40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5"/>
    <w:bookmarkStart w:id="16"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6"/>
    <w:bookmarkStart w:id="17"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7"/>
    <w:bookmarkStart w:id="22"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18">
        <w:r>
          <w:rPr>
            <w:rStyle w:val="Hyperlink"/>
          </w:rPr>
          <w:t xml:space="preserve">https://github.com/ameye/fuzzy-audiogram</w:t>
        </w:r>
      </w:hyperlink>
      <w:r>
        <w:t xml:space="preserve">.</w:t>
      </w:r>
    </w:p>
    <w:p>
      <w:pPr>
        <w:pStyle w:val="CaptionedFigure"/>
      </w:pPr>
      <w:r>
        <w:drawing>
          <wp:inline>
            <wp:extent cx="5067300" cy="2509902"/>
            <wp:effectExtent b="0" l="0" r="0" t="0"/>
            <wp:docPr descr="Mamdani fuzzy inference system architecture. Frequency-specific thresholds → fuzzification (6 overlapping MFs) → 48-rule inference engine → centroid defuzzification → FAI, configuration vector, asymmetry index." title="" id="20" name="Picture"/>
            <a:graphic>
              <a:graphicData uri="http://schemas.openxmlformats.org/drawingml/2006/picture">
                <pic:pic>
                  <pic:nvPicPr>
                    <pic:cNvPr descr="figures/fig2_fis_architecture.png" id="21" name="Picture"/>
                    <pic:cNvPicPr>
                      <a:picLocks noChangeArrowheads="1" noChangeAspect="1"/>
                    </pic:cNvPicPr>
                  </pic:nvPicPr>
                  <pic:blipFill>
                    <a:blip r:embed="rId19"/>
                    <a:stretch>
                      <a:fillRect/>
                    </a:stretch>
                  </pic:blipFill>
                  <pic:spPr bwMode="auto">
                    <a:xfrm>
                      <a:off x="0" y="0"/>
                      <a:ext cx="5067300" cy="2509902"/>
                    </a:xfrm>
                    <a:prstGeom prst="rect">
                      <a:avLst/>
                    </a:prstGeom>
                    <a:noFill/>
                    <a:ln w="9525">
                      <a:noFill/>
                      <a:headEnd/>
                      <a:tailEnd/>
                    </a:ln>
                  </pic:spPr>
                </pic:pic>
              </a:graphicData>
            </a:graphic>
          </wp:inline>
        </w:drawing>
      </w:r>
    </w:p>
    <w:p>
      <w:pPr>
        <w:pStyle w:val="ImageCaption"/>
      </w:pPr>
      <w:r>
        <w:t xml:space="preserve">Mamdani fuzzy inference system architecture. Frequency-specific thresholds → fuzzification (6 overlapping MFs) → 48-rule inference engine → centroid defuzzification → FAI, configuration vector, asymmetry index.</w:t>
      </w:r>
    </w:p>
    <w:bookmarkEnd w:id="22"/>
    <w:bookmarkEnd w:id="23"/>
    <w:bookmarkStart w:id="45" w:name="results"/>
    <w:p>
      <w:pPr>
        <w:pStyle w:val="Heading1"/>
      </w:pPr>
      <w:r>
        <w:t xml:space="preserve">3. Results</w:t>
      </w:r>
    </w:p>
    <w:bookmarkStart w:id="24"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bookmarkEnd w:id="24"/>
    <w:bookmarkStart w:id="28" w:name="classification-accuracy"/>
    <w:p>
      <w:pPr>
        <w:pStyle w:val="Heading2"/>
      </w:pPr>
      <w:r>
        <w:t xml:space="preserve">3.2 Classification Accuracy</w:t>
      </w:r>
    </w:p>
    <w:p>
      <w:pPr>
        <w:pStyle w:val="FirstParagraph"/>
      </w:pPr>
      <w:r>
        <w:t xml:space="preserve">On the held-out test set, the FAI showed weighted Cohen’s κ = 0.76 against the WHO PTA-4 reference — substantial agreement.</w:t>
      </w:r>
    </w:p>
    <w:p>
      <w:pPr>
        <w:pStyle w:val="CaptionedFigure"/>
      </w:pPr>
      <w:r>
        <w:drawing>
          <wp:inline>
            <wp:extent cx="4267200" cy="2992648"/>
            <wp:effectExtent b="0" l="0" r="0" t="0"/>
            <wp:docPr descr="Bland-Altman plot showing agreement between FAI and PTA-4 reference on the held-out test set." title="" id="26" name="Picture"/>
            <a:graphic>
              <a:graphicData uri="http://schemas.openxmlformats.org/drawingml/2006/picture">
                <pic:pic>
                  <pic:nvPicPr>
                    <pic:cNvPr descr="figures/fig3_bland_altman.png" id="27" name="Picture"/>
                    <pic:cNvPicPr>
                      <a:picLocks noChangeArrowheads="1" noChangeAspect="1"/>
                    </pic:cNvPicPr>
                  </pic:nvPicPr>
                  <pic:blipFill>
                    <a:blip r:embed="rId25"/>
                    <a:stretch>
                      <a:fillRect/>
                    </a:stretch>
                  </pic:blipFill>
                  <pic:spPr bwMode="auto">
                    <a:xfrm>
                      <a:off x="0" y="0"/>
                      <a:ext cx="4267200" cy="2992648"/>
                    </a:xfrm>
                    <a:prstGeom prst="rect">
                      <a:avLst/>
                    </a:prstGeom>
                    <a:noFill/>
                    <a:ln w="9525">
                      <a:noFill/>
                      <a:headEnd/>
                      <a:tailEnd/>
                    </a:ln>
                  </pic:spPr>
                </pic:pic>
              </a:graphicData>
            </a:graphic>
          </wp:inline>
        </w:drawing>
      </w:r>
    </w:p>
    <w:p>
      <w:pPr>
        <w:pStyle w:val="ImageCaption"/>
      </w:pPr>
      <w:r>
        <w:t xml:space="preserve">Bland-Altman plot showing agreement between FAI and PTA-4 reference on the held-out test set.</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0.76</w:t>
            </w:r>
          </w:p>
        </w:tc>
        <w:tc>
          <w:tcPr/>
          <w:p>
            <w:pPr>
              <w:pStyle w:val="Compact"/>
            </w:pPr>
            <w:r>
              <w:t xml:space="preserve">74.9%</w:t>
            </w:r>
          </w:p>
        </w:tc>
        <w:tc>
          <w:tcPr/>
          <w:p>
            <w:pPr>
              <w:pStyle w:val="Compact"/>
            </w:pPr>
            <w:r>
              <w:t xml:space="preserve">95.2%</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93.5%</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93.8%</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95.2% of clear cases and deliberately deviates in the borderline zone (agreement ≈ 59–75%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28"/>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9.3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Normal</w:t>
            </w:r>
          </w:p>
        </w:tc>
        <w:tc>
          <w:tcPr/>
          <w:p>
            <w:pPr>
              <w:pStyle w:val="Compact"/>
            </w:pPr>
            <w:r>
              <w:t xml:space="preserve">16.8</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bl>
    <w:p>
      <w:pPr>
        <w:pStyle w:val="BodyText"/>
      </w:pPr>
      <w:r>
        <w:t xml:space="preserve">A patient with a PTA of 26 dB is simultaneously 16% normal and 40% mild; at 27 dB the split is 7% normal and 100% mild. The crisp WHO rule flips the label at 26 dB with no graded information; the re-optimised fuzzy system confines the graded transition to the 26–27 dB zone, and the FAI rises smoothly from 9.3 at 24 dB to 16.8 at 26 dB and 20.4 at 27 dB instead of stepping. (Values in an earlier draft — Normal μ = 0.60/0.50/0.40, Mild μ = 0.67/0.83/1.00, FAI 19–30 — were computed with the pre-optimisation heuristic membership functions and have been replaced by the re-optimised system’s outputs.)</w:t>
      </w:r>
    </w:p>
    <w:p>
      <w:pPr>
        <w:pStyle w:val="CaptionedFigure"/>
      </w:pPr>
      <w:r>
        <w:drawing>
          <wp:inline>
            <wp:extent cx="4267200" cy="2737737"/>
            <wp:effectExtent b="0" l="0" r="0" t="0"/>
            <wp:docPr descr="Borderline case analysis: FAI agreement with the crisp WHO grade as a function of distance from the nearest severity boundary on the held-out test set (95.2% clear-case, 74.9% within ±5 dB)." title="" id="30" name="Picture"/>
            <a:graphic>
              <a:graphicData uri="http://schemas.openxmlformats.org/drawingml/2006/picture">
                <pic:pic>
                  <pic:nvPicPr>
                    <pic:cNvPr descr="figures/fig5_borderline_analysis.png" id="31" name="Picture"/>
                    <pic:cNvPicPr>
                      <a:picLocks noChangeArrowheads="1" noChangeAspect="1"/>
                    </pic:cNvPicPr>
                  </pic:nvPicPr>
                  <pic:blipFill>
                    <a:blip r:embed="rId29"/>
                    <a:stretch>
                      <a:fillRect/>
                    </a:stretch>
                  </pic:blipFill>
                  <pic:spPr bwMode="auto">
                    <a:xfrm>
                      <a:off x="0" y="0"/>
                      <a:ext cx="4267200" cy="2737737"/>
                    </a:xfrm>
                    <a:prstGeom prst="rect">
                      <a:avLst/>
                    </a:prstGeom>
                    <a:noFill/>
                    <a:ln w="9525">
                      <a:noFill/>
                      <a:headEnd/>
                      <a:tailEnd/>
                    </a:ln>
                  </pic:spPr>
                </pic:pic>
              </a:graphicData>
            </a:graphic>
          </wp:inline>
        </w:drawing>
      </w:r>
    </w:p>
    <w:p>
      <w:pPr>
        <w:pStyle w:val="ImageCaption"/>
      </w:pPr>
      <w:r>
        <w:t xml:space="preserve">Borderline case analysis: FAI agreement with the crisp WHO grade as a function of distance from the nearest severity boundary on the held-out test set (95.2% clear-case, 74.9% within ±5 dB).</w:t>
      </w:r>
    </w:p>
    <w:bookmarkEnd w:id="32"/>
    <w:bookmarkStart w:id="36"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20.4 (Mild), with membership Normal μ = 0.04 and Mild μ = 1.00 — a continuous score that sits just above the fuzzy Normal/Mild threshold, capturing the borderline severity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17.0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20.4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17.0</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20.4</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CaptionedFigure"/>
      </w:pPr>
      <w:r>
        <w:drawing>
          <wp:inline>
            <wp:extent cx="5334000" cy="4686208"/>
            <wp:effectExtent b="0" l="0" r="0" t="0"/>
            <wp:docPr descr="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pStyle w:val="ImageCaption"/>
      </w:pPr>
      <w:r>
        <w:t xml:space="preserve">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bookmarkStart w:id="40"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CaptionedFigure"/>
      </w:pPr>
      <w:r>
        <w:drawing>
          <wp:inline>
            <wp:extent cx="4800600" cy="2906338"/>
            <wp:effectExtent b="0" l="0" r="0" t="0"/>
            <wp:docPr descr="Configuration distribution in the NHANES cohort (slope = 4 kHz − 500 Hz)." title="" id="38" name="Picture"/>
            <a:graphic>
              <a:graphicData uri="http://schemas.openxmlformats.org/drawingml/2006/picture">
                <pic:pic>
                  <pic:nvPicPr>
                    <pic:cNvPr descr="figures/fig_eda_config_dist.png" id="39" name="Picture"/>
                    <pic:cNvPicPr>
                      <a:picLocks noChangeArrowheads="1" noChangeAspect="1"/>
                    </pic:cNvPicPr>
                  </pic:nvPicPr>
                  <pic:blipFill>
                    <a:blip r:embed="rId37"/>
                    <a:stretch>
                      <a:fillRect/>
                    </a:stretch>
                  </pic:blipFill>
                  <pic:spPr bwMode="auto">
                    <a:xfrm>
                      <a:off x="0" y="0"/>
                      <a:ext cx="4800600" cy="2906338"/>
                    </a:xfrm>
                    <a:prstGeom prst="rect">
                      <a:avLst/>
                    </a:prstGeom>
                    <a:noFill/>
                    <a:ln w="9525">
                      <a:noFill/>
                      <a:headEnd/>
                      <a:tailEnd/>
                    </a:ln>
                  </pic:spPr>
                </pic:pic>
              </a:graphicData>
            </a:graphic>
          </wp:inline>
        </w:drawing>
      </w:r>
    </w:p>
    <w:p>
      <w:pPr>
        <w:pStyle w:val="ImageCaption"/>
      </w:pPr>
      <w:r>
        <w:t xml:space="preserve">Configuration distribution in the NHANES cohort (slope = 4 kHz − 500 Hz).</w:t>
      </w:r>
    </w:p>
    <w:bookmarkEnd w:id="40"/>
    <w:bookmarkStart w:id="44"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CaptionedFigure"/>
      </w:pPr>
      <w:r>
        <w:drawing>
          <wp:inline>
            <wp:extent cx="5067300" cy="1640687"/>
            <wp:effectExtent b="0" l="0" r="0" t="0"/>
            <wp:docPr descr="Longitudinal FAI trajectories for three clinical scenarios. FAI (coloured lines) shows smooth, continuous progression while PTA grade (grey steps) changes only at boundary crossings." title="" id="42" name="Picture"/>
            <a:graphic>
              <a:graphicData uri="http://schemas.openxmlformats.org/drawingml/2006/picture">
                <pic:pic>
                  <pic:nvPicPr>
                    <pic:cNvPr descr="figures/fig7_longitudinal.png" id="43" name="Picture"/>
                    <pic:cNvPicPr>
                      <a:picLocks noChangeArrowheads="1" noChangeAspect="1"/>
                    </pic:cNvPicPr>
                  </pic:nvPicPr>
                  <pic:blipFill>
                    <a:blip r:embed="rId41"/>
                    <a:stretch>
                      <a:fillRect/>
                    </a:stretch>
                  </pic:blipFill>
                  <pic:spPr bwMode="auto">
                    <a:xfrm>
                      <a:off x="0" y="0"/>
                      <a:ext cx="5067300" cy="1640687"/>
                    </a:xfrm>
                    <a:prstGeom prst="rect">
                      <a:avLst/>
                    </a:prstGeom>
                    <a:noFill/>
                    <a:ln w="9525">
                      <a:noFill/>
                      <a:headEnd/>
                      <a:tailEnd/>
                    </a:ln>
                  </pic:spPr>
                </pic:pic>
              </a:graphicData>
            </a:graphic>
          </wp:inline>
        </w:drawing>
      </w:r>
    </w:p>
    <w:p>
      <w:pPr>
        <w:pStyle w:val="ImageCaption"/>
      </w:pPr>
      <w:r>
        <w:t xml:space="preserve">Longitudinal FAI trajectories for three clinical scenarios. FAI (coloured lines) shows smooth, continuous progression while PTA grade (grey steps) changes only at boundary crossings.</w:t>
      </w:r>
    </w:p>
    <w:bookmarkEnd w:id="44"/>
    <w:bookmarkEnd w:id="45"/>
    <w:bookmarkStart w:id="51" w:name="discussion"/>
    <w:p>
      <w:pPr>
        <w:pStyle w:val="Heading1"/>
      </w:pPr>
      <w:r>
        <w:t xml:space="preserve">4. Discussion</w:t>
      </w:r>
    </w:p>
    <w:bookmarkStart w:id="46"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0.76 against the WHO PTA-4 reference, matched the crisp grade on 95.2%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6"/>
    <w:bookmarkStart w:id="47"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47"/>
    <w:bookmarkStart w:id="48"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Overall agreement with the WHO PTA-4 reference (91.4%) is in line with earlier fuzzy audiogram classifiers (87% from Miller and Polansky</w:t>
      </w:r>
      <w:r>
        <w:t xml:space="preserve"> </w:t>
      </w:r>
      <w:r>
        <w:t xml:space="preserve">(Miller and Polansky 2004)</w:t>
      </w:r>
      <w:r>
        <w:t xml:space="preserv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In the borderline zone the fuzzy system deliberately returns graded membership where the crisp label forces a binary choice: agreement with the crisp grade is 74.9%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48"/>
    <w:bookmarkStart w:id="49"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(see Membership Function Optimization). The FIS structure is cycle-independent, and the parameters shipped in the deployed web application are the earlier 2017–2020 fit;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49"/>
    <w:bookmarkStart w:id="50"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0"/>
    <w:bookmarkEnd w:id="51"/>
    <w:bookmarkStart w:id="52"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0.76) while providing richer information on borderline cases, configuration typing, and longitudinal monitoring. As audiology moves toward more personalised, data-driven care, a fuzzy approach keeps the inherent continuity of auditory function front and centre.</w:t>
      </w:r>
    </w:p>
    <w:bookmarkEnd w:id="52"/>
    <w:bookmarkStart w:id="53"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53"/>
    <w:bookmarkStart w:id="54" w:name="conflict-of-interest-statement"/>
    <w:p>
      <w:pPr>
        <w:pStyle w:val="Heading1"/>
      </w:pPr>
      <w:r>
        <w:t xml:space="preserve">7. Conflict of Interest Statement</w:t>
      </w:r>
    </w:p>
    <w:p>
      <w:pPr>
        <w:pStyle w:val="FirstParagraph"/>
      </w:pPr>
      <w:r>
        <w:t xml:space="preserve">The author declares no conflicts of interest.</w:t>
      </w:r>
    </w:p>
    <w:bookmarkEnd w:id="54"/>
    <w:bookmarkStart w:id="55"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5"/>
    <w:bookmarkStart w:id="61" w:name="sec-app-math"/>
    <w:p>
      <w:pPr>
        <w:pStyle w:val="Heading1"/>
      </w:pPr>
      <w:r>
        <w:t xml:space="preserve">9. Appendix: Mathematical Foundations of Fuzzy Logic</w:t>
      </w:r>
    </w:p>
    <w:bookmarkStart w:id="56"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6"/>
    <w:bookmarkStart w:id="57"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57"/>
    <w:bookmarkStart w:id="58"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58"/>
    <w:bookmarkStart w:id="59"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59"/>
    <w:bookmarkStart w:id="60"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0"/>
    <w:bookmarkEnd w:id="61"/>
    <w:bookmarkStart w:id="81" w:name="references"/>
    <w:p>
      <w:pPr>
        <w:pStyle w:val="Heading1"/>
      </w:pPr>
      <w:r>
        <w:t xml:space="preserve">10. References</w:t>
      </w:r>
    </w:p>
    <w:bookmarkStart w:id="80" w:name="refs"/>
    <w:bookmarkStart w:id="63"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2">
        <w:r>
          <w:rPr>
            <w:rStyle w:val="Hyperlink"/>
          </w:rPr>
          <w:t xml:space="preserve">https://doi.org/10.1016/j.clineuro.2020.106446</w:t>
        </w:r>
      </w:hyperlink>
      <w:r>
        <w:t xml:space="preserve">.</w:t>
      </w:r>
    </w:p>
    <w:bookmarkEnd w:id="63"/>
    <w:bookmarkStart w:id="65" w:name="ref-ceriani2025"/>
    <w:p>
      <w:pPr>
        <w:pStyle w:val="Bibliography"/>
      </w:pPr>
      <w:r>
        <w:t xml:space="preserve">Ceriani, F, J Giles, NJ Ingham, et al. 2025.</w:t>
      </w:r>
      <w:r>
        <w:t xml:space="preserve"> </w:t>
      </w:r>
      <w:r>
        <w:t xml:space="preserve">“</w:t>
      </w:r>
      <w:hyperlink r:id="rId64">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5"/>
    <w:bookmarkStart w:id="66"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66"/>
    <w:bookmarkStart w:id="67"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67"/>
    <w:bookmarkStart w:id="68"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68"/>
    <w:bookmarkStart w:id="69"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69"/>
    <w:bookmarkStart w:id="70"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0"/>
    <w:bookmarkStart w:id="71"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1"/>
    <w:bookmarkStart w:id="73" w:name="ref-suen2021"/>
    <w:p>
      <w:pPr>
        <w:pStyle w:val="Bibliography"/>
      </w:pPr>
      <w:r>
        <w:t xml:space="preserve">Suen, JJ, J Betz, NS Reed, JA Deal, FR Lin, and AM Goman. 2021.</w:t>
      </w:r>
      <w:r>
        <w:t xml:space="preserve"> </w:t>
      </w:r>
      <w:r>
        <w:t xml:space="preserve">“</w:t>
      </w:r>
      <w:hyperlink r:id="rId72">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3"/>
    <w:bookmarkStart w:id="74"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4"/>
    <w:bookmarkStart w:id="75"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5"/>
    <w:bookmarkStart w:id="76"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6"/>
    <w:bookmarkStart w:id="77" w:name="ref-who2021"/>
    <w:p>
      <w:pPr>
        <w:pStyle w:val="Bibliography"/>
      </w:pPr>
      <w:r>
        <w:t xml:space="preserve">World Health Organization. 2021.</w:t>
      </w:r>
      <w:r>
        <w:t xml:space="preserve"> </w:t>
      </w:r>
      <w:r>
        <w:rPr>
          <w:i/>
          <w:iCs/>
        </w:rPr>
        <w:t xml:space="preserve">World Report on Hearing</w:t>
      </w:r>
      <w:r>
        <w:t xml:space="preserve">. WHO.</w:t>
      </w:r>
    </w:p>
    <w:bookmarkEnd w:id="77"/>
    <w:bookmarkStart w:id="78"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78"/>
    <w:bookmarkStart w:id="79"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79"/>
    <w:bookmarkEnd w:id="80"/>
    <w:p>
      <w:r>
        <w:pict>
          <v:rect style="width:0;height:1.5pt" o:hralign="center" o:hrstd="t" o:hr="t"/>
        </w:pict>
      </w:r>
    </w:p>
    <w:bookmarkEnd w:id="81"/>
    <w:bookmarkStart w:id="86" w:name="tables"/>
    <w:p>
      <w:pPr>
        <w:pStyle w:val="Heading1"/>
      </w:pPr>
      <w:r>
        <w:t xml:space="preserve">11. Tables</w:t>
      </w:r>
    </w:p>
    <w:bookmarkStart w:id="82"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(n=15,654 ears)</w:t>
            </w:r>
          </w:p>
        </w:tc>
        <w:tc>
          <w:tcPr/>
          <w:p>
            <w:pPr>
              <w:pStyle w:val="Compact"/>
            </w:pPr>
            <w:r>
              <w:t xml:space="preserve">Test (n=3,914 ears)</w:t>
            </w:r>
          </w:p>
        </w:tc>
      </w:tr>
      <w:tr>
        <w:tc>
          <w:tcPr/>
          <w:p>
            <w:pPr>
              <w:pStyle w:val="Compact"/>
            </w:pPr>
            <w:r>
              <w:t xml:space="preserve">Participants (n)</w:t>
            </w:r>
          </w:p>
        </w:tc>
        <w:tc>
          <w:tcPr/>
          <w:p>
            <w:pPr>
              <w:pStyle w:val="Compact"/>
            </w:pPr>
            <w:r>
              <w:t xml:space="preserve">9,421</w:t>
            </w:r>
          </w:p>
        </w:tc>
        <w:tc>
          <w:tcPr/>
          <w:p>
            <w:pPr>
              <w:pStyle w:val="Compact"/>
            </w:pPr>
            <w:r>
              <w:t xml:space="preserve">3,519</w:t>
            </w:r>
          </w:p>
        </w:tc>
      </w:tr>
      <w:tr>
        <w:tc>
          <w:tcPr/>
          <w:p>
            <w:pPr>
              <w:pStyle w:val="Compact"/>
            </w:pPr>
            <w:r>
              <w:t xml:space="preserve">Age (years), mean (SD)</w:t>
            </w:r>
          </w:p>
        </w:tc>
        <w:tc>
          <w:tcPr/>
          <w:p>
            <w:pPr>
              <w:pStyle w:val="Compact"/>
            </w:pPr>
            <w:r>
              <w:t xml:space="preserve">43.9 (14.4)</w:t>
            </w:r>
          </w:p>
        </w:tc>
        <w:tc>
          <w:tcPr/>
          <w:p>
            <w:pPr>
              <w:pStyle w:val="Compact"/>
            </w:pPr>
            <w:r>
              <w:t xml:space="preserve">44.0 (14.4)</w:t>
            </w:r>
          </w:p>
        </w:tc>
      </w:tr>
      <w:tr>
        <w:tc>
          <w:tcPr/>
          <w:p>
            <w:pPr>
              <w:pStyle w:val="Compact"/>
            </w:pPr>
            <w:r>
              <w:t xml:space="preserve">Age (years), median (IQR)</w:t>
            </w:r>
          </w:p>
        </w:tc>
        <w:tc>
          <w:tcPr/>
          <w:p>
            <w:pPr>
              <w:pStyle w:val="Compact"/>
            </w:pPr>
            <w:r>
              <w:t xml:space="preserve">44 (31–56)</w:t>
            </w:r>
          </w:p>
        </w:tc>
        <w:tc>
          <w:tcPr/>
          <w:p>
            <w:pPr>
              <w:pStyle w:val="Compact"/>
            </w:pPr>
            <w:r>
              <w:t xml:space="preserve">44 (31–56)</w:t>
            </w:r>
          </w:p>
        </w:tc>
      </w:tr>
      <w:tr>
        <w:tc>
          <w:tcPr/>
          <w:p>
            <w:pPr>
              <w:pStyle w:val="Compact"/>
            </w:pPr>
            <w:r>
              <w:t xml:space="preserve">Female sex</w:t>
            </w:r>
          </w:p>
        </w:tc>
        <w:tc>
          <w:tcPr/>
          <w:p>
            <w:pPr>
              <w:pStyle w:val="Compact"/>
            </w:pPr>
            <w:r>
              <w:t xml:space="preserve">50.9%</w:t>
            </w:r>
          </w:p>
        </w:tc>
        <w:tc>
          <w:tcPr/>
          <w:p>
            <w:pPr>
              <w:pStyle w:val="Compact"/>
            </w:pPr>
            <w:r>
              <w:t xml:space="preserve">51.3%</w:t>
            </w:r>
          </w:p>
        </w:tc>
      </w:tr>
      <w:tr>
        <w:tc>
          <w:tcPr/>
          <w:p>
            <w:pPr>
              <w:pStyle w:val="Compact"/>
            </w:pPr>
            <w:r>
              <w:t xml:space="preserve">Mean PTA-4 (dB HL)</w:t>
            </w:r>
          </w:p>
        </w:tc>
        <w:tc>
          <w:tcPr/>
          <w:p>
            <w:pPr>
              <w:pStyle w:val="Compact"/>
            </w:pPr>
            <w:r>
              <w:t xml:space="preserve">13.3 (11.4)</w:t>
            </w:r>
          </w:p>
        </w:tc>
        <w:tc>
          <w:tcPr/>
          <w:p>
            <w:pPr>
              <w:pStyle w:val="Compact"/>
            </w:pPr>
            <w:r>
              <w:t xml:space="preserve">13.3 (11.6)</w:t>
            </w:r>
          </w:p>
        </w:tc>
      </w:tr>
      <w:tr>
        <w:tc>
          <w:tcPr/>
          <w:p>
            <w:pPr>
              <w:pStyle w:val="Compact"/>
            </w:pPr>
            <w:r>
              <w:t xml:space="preserve">Normal</w:t>
            </w:r>
          </w:p>
        </w:tc>
        <w:tc>
          <w:tcPr/>
          <w:p>
            <w:pPr>
              <w:pStyle w:val="Compact"/>
            </w:pPr>
            <w:r>
              <w:t xml:space="preserve">88.0%</w:t>
            </w:r>
          </w:p>
        </w:tc>
        <w:tc>
          <w:tcPr/>
          <w:p>
            <w:pPr>
              <w:pStyle w:val="Compact"/>
            </w:pPr>
            <w:r>
              <w:t xml:space="preserve">88.6%</w:t>
            </w:r>
          </w:p>
        </w:tc>
      </w:tr>
      <w:tr>
        <w:tc>
          <w:tcPr/>
          <w:p>
            <w:pPr>
              <w:pStyle w:val="Compact"/>
            </w:pPr>
            <w:r>
              <w:t xml:space="preserve">Mild</w:t>
            </w:r>
          </w:p>
        </w:tc>
        <w:tc>
          <w:tcPr/>
          <w:p>
            <w:pPr>
              <w:pStyle w:val="Compact"/>
            </w:pPr>
            <w:r>
              <w:t xml:space="preserve">8.8%</w:t>
            </w:r>
          </w:p>
        </w:tc>
        <w:tc>
          <w:tcPr/>
          <w:p>
            <w:pPr>
              <w:pStyle w:val="Compact"/>
            </w:pPr>
            <w:r>
              <w:t xml:space="preserve">8.1%</w:t>
            </w:r>
          </w:p>
        </w:tc>
      </w:tr>
      <w:tr>
        <w:tc>
          <w:tcPr/>
          <w:p>
            <w:pPr>
              <w:pStyle w:val="Compact"/>
            </w:pPr>
            <w:r>
              <w:t xml:space="preserve">Moderate</w:t>
            </w:r>
          </w:p>
        </w:tc>
        <w:tc>
          <w:tcPr/>
          <w:p>
            <w:pPr>
              <w:pStyle w:val="Compact"/>
            </w:pPr>
            <w:r>
              <w:t xml:space="preserve">2.2%</w:t>
            </w:r>
          </w:p>
        </w:tc>
        <w:tc>
          <w:tcPr/>
          <w:p>
            <w:pPr>
              <w:pStyle w:val="Compact"/>
            </w:pPr>
            <w:r>
              <w:t xml:space="preserve">2.3%</w:t>
            </w:r>
          </w:p>
        </w:tc>
      </w:tr>
      <w:tr>
        <w:tc>
          <w:tcPr/>
          <w:p>
            <w:pPr>
              <w:pStyle w:val="Compact"/>
            </w:pPr>
            <w:r>
              <w:t xml:space="preserve">Moderately Severe</w:t>
            </w:r>
          </w:p>
        </w:tc>
        <w:tc>
          <w:tcPr/>
          <w:p>
            <w:pPr>
              <w:pStyle w:val="Compact"/>
            </w:pPr>
            <w:r>
              <w:t xml:space="preserve">0.6%</w:t>
            </w:r>
          </w:p>
        </w:tc>
        <w:tc>
          <w:tcPr/>
          <w:p>
            <w:pPr>
              <w:pStyle w:val="Compact"/>
            </w:pPr>
            <w:r>
              <w:t xml:space="preserve">0.7%</w:t>
            </w:r>
          </w:p>
        </w:tc>
      </w:tr>
      <w:tr>
        <w:tc>
          <w:tcPr/>
          <w:p>
            <w:pPr>
              <w:pStyle w:val="Compact"/>
            </w:pPr>
            <w:r>
              <w:t xml:space="preserve">Severe</w:t>
            </w:r>
          </w:p>
        </w:tc>
        <w:tc>
          <w:tcPr/>
          <w:p>
            <w:pPr>
              <w:pStyle w:val="Compact"/>
            </w:pPr>
            <w:r>
              <w:t xml:space="preserve">0.3%</w:t>
            </w:r>
          </w:p>
        </w:tc>
        <w:tc>
          <w:tcPr/>
          <w:p>
            <w:pPr>
              <w:pStyle w:val="Compact"/>
            </w:pPr>
            <w:r>
              <w:t xml:space="preserve">0.3%</w:t>
            </w:r>
          </w:p>
        </w:tc>
      </w:tr>
      <w:tr>
        <w:tc>
          <w:tcPr/>
          <w:p>
            <w:pPr>
              <w:pStyle w:val="Compact"/>
            </w:pPr>
            <w:r>
              <w:t xml:space="preserve">Profound</w:t>
            </w:r>
          </w:p>
        </w:tc>
        <w:tc>
          <w:tcPr/>
          <w:p>
            <w:pPr>
              <w:pStyle w:val="Compact"/>
            </w:pPr>
            <w:r>
              <w:t xml:space="preserve">0.1%</w:t>
            </w:r>
          </w:p>
        </w:tc>
        <w:tc>
          <w:tcPr/>
          <w:p>
            <w:pPr>
              <w:pStyle w:val="Compact"/>
            </w:pPr>
            <w:r>
              <w:t xml:space="preserve">0.0%</w:t>
            </w:r>
          </w:p>
        </w:tc>
      </w:tr>
    </w:tbl>
    <w:p>
      <w:pPr>
        <w:pStyle w:val="BodyText"/>
      </w:pPr>
      <w:r>
        <w:rPr>
          <w:i/>
          <w:iCs/>
        </w:rPr>
        <w:t xml:space="preserve">Cohort: NHANES cycles with adult (20–69 y) audiometry (1999–2000, 2011–2012, 2015–2016). Values are per ear unless noted.</w:t>
      </w:r>
    </w:p>
    <w:bookmarkEnd w:id="82"/>
    <w:bookmarkStart w:id="83"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0.76</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91.4%</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74.9%</w:t>
            </w:r>
          </w:p>
        </w:tc>
        <w:tc>
          <w:tcPr/>
          <w:p>
            <w:pPr>
              <w:pStyle w:val="Compact"/>
            </w:pPr>
            <w:r>
              <w:t xml:space="preserve">100%*</w:t>
            </w:r>
          </w:p>
        </w:tc>
        <w:tc>
          <w:tcPr/>
          <w:p>
            <w:pPr>
              <w:pStyle w:val="Compact"/>
            </w:pPr>
            <w:r>
              <w:t xml:space="preserve">93.5%</w:t>
            </w:r>
          </w:p>
        </w:tc>
        <w:tc>
          <w:tcPr/>
          <w:p>
            <w:pPr>
              <w:pStyle w:val="Compact"/>
            </w:pPr>
            <w:r>
              <w:t xml:space="preserve">93.8%</w:t>
            </w:r>
          </w:p>
        </w:tc>
      </w:tr>
      <w:tr>
        <w:tc>
          <w:tcPr/>
          <w:p>
            <w:pPr>
              <w:pStyle w:val="Compact"/>
            </w:pPr>
            <w:r>
              <w:t xml:space="preserve">Clear-case Agreement</w:t>
            </w:r>
          </w:p>
        </w:tc>
        <w:tc>
          <w:tcPr/>
          <w:p>
            <w:pPr>
              <w:pStyle w:val="Compact"/>
            </w:pPr>
            <w:r>
              <w:t xml:space="preserve">95.2%</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0.61</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t xml:space="preserve">*PTA-4 is the reference standard; metrics reflect definitional agreement.</w:t>
      </w:r>
    </w:p>
    <w:bookmarkEnd w:id="83"/>
    <w:bookmarkStart w:id="84"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4"/>
    <w:bookmarkStart w:id="85"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9.3</w:t>
            </w:r>
          </w:p>
        </w:tc>
        <w:tc>
          <w:tcPr/>
          <w:p>
            <w:pPr>
              <w:pStyle w:val="Compact"/>
            </w:pPr>
            <w:r>
              <w:t xml:space="preserve">Normal</w:t>
            </w:r>
          </w:p>
        </w:tc>
        <w:tc>
          <w:tcPr/>
          <w:p>
            <w:pPr>
              <w:pStyle w:val="Compact"/>
            </w:pPr>
            <w:r>
              <w:t xml:space="preserve">Normal μ=0.33, Mild μ=0.00</w:t>
            </w:r>
          </w:p>
        </w:tc>
      </w:tr>
      <w:tr>
        <w:tc>
          <w:tcPr/>
          <w:p>
            <w:pPr>
              <w:pStyle w:val="Compact"/>
            </w:pPr>
            <w:r>
              <w:t xml:space="preserve">26</w:t>
            </w:r>
          </w:p>
        </w:tc>
        <w:tc>
          <w:tcPr/>
          <w:p>
            <w:pPr>
              <w:pStyle w:val="Compact"/>
            </w:pPr>
            <w:r>
              <w:t xml:space="preserve">Mild</w:t>
            </w:r>
          </w:p>
        </w:tc>
        <w:tc>
          <w:tcPr/>
          <w:p>
            <w:pPr>
              <w:pStyle w:val="Compact"/>
            </w:pPr>
            <w:r>
              <w:t xml:space="preserve">16.8</w:t>
            </w:r>
          </w:p>
        </w:tc>
        <w:tc>
          <w:tcPr/>
          <w:p>
            <w:pPr>
              <w:pStyle w:val="Compact"/>
            </w:pPr>
            <w:r>
              <w:t xml:space="preserve">Normal</w:t>
            </w:r>
          </w:p>
        </w:tc>
        <w:tc>
          <w:tcPr/>
          <w:p>
            <w:pPr>
              <w:pStyle w:val="Compact"/>
            </w:pPr>
            <w:r>
              <w:t xml:space="preserve">Normal μ=0.16, Mild μ=0.40</w:t>
            </w:r>
          </w:p>
        </w:tc>
      </w:tr>
      <w:tr>
        <w:tc>
          <w:tcPr/>
          <w:p>
            <w:pPr>
              <w:pStyle w:val="Compact"/>
            </w:pPr>
            <w:r>
              <w:t xml:space="preserve">27</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μ=0.07, Mild μ=1.00</w:t>
            </w:r>
          </w:p>
        </w:tc>
      </w:tr>
      <w:tr>
        <w:tc>
          <w:tcPr/>
          <w:p>
            <w:pPr>
              <w:pStyle w:val="Compact"/>
            </w:pPr>
            <w:r>
              <w:t xml:space="preserve">28</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μ=0.00, Mild μ=1.00</w:t>
            </w:r>
          </w:p>
        </w:tc>
      </w:tr>
      <w:tr>
        <w:tc>
          <w:tcPr/>
          <w:p>
            <w:pPr>
              <w:pStyle w:val="Compact"/>
            </w:pPr>
            <w:r>
              <w:t xml:space="preserve">30</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μ=0.00, Mild μ=1.00</w:t>
            </w:r>
          </w:p>
        </w:tc>
      </w:tr>
    </w:tbl>
    <w:p>
      <w:pPr>
        <w:pStyle w:val="BodyText"/>
      </w:pPr>
      <w:r>
        <w:t xml:space="preserve">Values are re-optimised system outputs. Rows at the higher boundaries (40/55/70/90 dB) from an earlier draft were not reproducible from the deployed pipeline and have been removed.</w:t>
      </w:r>
    </w:p>
    <w:p>
      <w:r>
        <w:pict>
          <v:rect style="width:0;height:1.5pt" o:hralign="center" o:hrstd="t" o:hr="t"/>
        </w:pict>
      </w:r>
    </w:p>
    <w:bookmarkEnd w:id="85"/>
    <w:bookmarkEnd w:id="86"/>
    <w:bookmarkStart w:id="87"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2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Borderline case analysis: FAI agreement with the crisp WHO grade as a function of distance from the nearest boundary on the held-out test set — 95.2% in clear cases (≥6 dB from a boundary) and 74.9% within ±5 dB, with agreement recovering monotonically as distance increases.</w:t>
      </w:r>
    </w:p>
    <w:p>
      <w:pPr>
        <w:pStyle w:val="BodyText"/>
      </w:pPr>
      <w:r>
        <w:rPr>
          <w:b/>
          <w:bCs/>
        </w:rPr>
        <w:t xml:space="preserve">Figure 6.</w:t>
      </w:r>
      <w:r>
        <w:t xml:space="preserve"> </w:t>
      </w:r>
      <w:r>
        <w:t xml:space="preserve">Configuration distribution in the combined adult cohort (slope = 4 kHz − 500 Hz).</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2026-08-14T10:53:44Z</dcterms:created>
  <dcterms:modified xsi:type="dcterms:W3CDTF">2026-08-14T10:53:44Z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presentations.Objective: We developed and validated a Mamdani-type fuzzy inference system (FIS) that maps pure-tone audiogram thresholds into graded severity vectors, preserving the continuous nature of sensorineural hearing loss while integrating configuration, symmetry, and temporal trends.Methods: We extracted audiometric data from three National Health and Nutrition Examination Survey (NHANES) cycles that tested adults aged 20–69 y (1999–2000, 2011–2012, 2015–2016; n = 10,889) and split them into training (80%, n = 15,654) and held-out test (20%, n = 3,914)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Forest.Results: On the held-out test set, the FAI showed substantial classification agreement (weighted κ = 0.76) and 95.2% agreement in clear cases. In borderline cases (±5 dB of a severity boundary) — 18.8% of test ears — the system returned graded membership rather than a forced binary label (74.9% agreement with the crisp grade, reflecting the designed reclassification of ambiguous thresholds). Configuration typing is provided as a graded vector over six canonical shapes. At the normal–mild transition, membership grades continuously (e.g., 26 dB: Normal μ = 0.16, Mild μ = 0.40) instead of flipping at 26 dB.Conclusion: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