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58.png" ContentType="image/png"/>
  <Override PartName="/word/media/rId66.png" ContentType="image/png"/>
  <Override PartName="/word/media/rId74.png" ContentType="image/png"/>
  <Override PartName="/word/media/rId86.png" ContentType="image/png"/>
  <Override PartName="/word/media/rId80.png" ContentType="image/png"/>
  <Override PartName="/word/media/rId91.png" ContentType="image/png"/>
  <Override PartName="/word/media/rId96.png" ContentType="image/png"/>
  <Override PartName="/word/media/rId45.png" ContentType="image/png"/>
  <Override PartName="/word/media/rId40.png" ContentType="image/png"/>
  <Override PartName="/word/media/rId35.png" ContentType="image/png"/>
  <Override PartName="/word/media/rId2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Fuzzy Audiogram — Comprehensive Technical Report</w:t>
      </w:r>
    </w:p>
    <w:p>
      <w:pPr>
        <w:pStyle w:val="Subtitle"/>
      </w:pPr>
      <w:r>
        <w:t xml:space="preserve">NHANES-Based Development and Validation of a Fuzzy Inference System for Sensorineural Hearing Loss Classification</w:t>
      </w:r>
    </w:p>
    <w:p>
      <w:pPr>
        <w:pStyle w:val="Author"/>
      </w:pPr>
      <w:r>
        <w:t xml:space="preserve">Dr Sanyaolu Ameye</w:t>
      </w:r>
    </w:p>
    <w:p>
      <w:pPr>
        <w:pStyle w:val="Date"/>
      </w:pPr>
      <w:r>
        <w:t xml:space="preserve">2026-07-01</w:t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complete development and validation pipeline for a Mamdani-type</w:t>
      </w:r>
      <w:r>
        <w:t xml:space="preserve"> </w:t>
      </w:r>
      <w:r>
        <w:rPr>
          <w:b/>
          <w:bCs/>
        </w:rPr>
        <w:t xml:space="preserve">Fuzzy Inference System (FIS)</w:t>
      </w:r>
      <w:r>
        <w:t xml:space="preserve"> </w:t>
      </w:r>
      <w:r>
        <w:t xml:space="preserve">for sensorineural hearing loss classification using pure-tone audiometry. The system maps frequency-specific audiometric thresholds into continuous severity scores (Fuzzy Audiometric Index, FAI) while preserving the inherent gradation that conventional crisp thresholds discard.</w:t>
      </w:r>
    </w:p>
    <w:p>
      <w:pPr>
        <w:pStyle w:val="BodyText"/>
      </w:pPr>
      <w:r>
        <w:rPr>
          <w:b/>
          <w:bCs/>
        </w:rPr>
        <w:t xml:space="preserve">Key achievements: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NHANES 2017–2020, n = 5,147 participants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FIS Rule Base</w:t>
            </w:r>
          </w:p>
        </w:tc>
        <w:tc>
          <w:tcPr/>
          <w:p>
            <w:pPr>
              <w:pStyle w:val="Compact"/>
            </w:pPr>
            <w:r>
              <w:t xml:space="preserve">48 Mamdani-type rules (4 functional groups)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 Agreement</w:t>
            </w:r>
          </w:p>
        </w:tc>
        <w:tc>
          <w:tcPr/>
          <w:p>
            <w:pPr>
              <w:pStyle w:val="Compact"/>
            </w:pPr>
            <w:r>
              <w:t xml:space="preserve">Weighted κ = 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Borderline Accuracy (FAI)</w:t>
            </w:r>
          </w:p>
        </w:tc>
        <w:tc>
          <w:tcPr/>
          <w:p>
            <w:pPr>
              <w:pStyle w:val="Compact"/>
            </w:pPr>
            <w:r>
              <w:t xml:space="preserve">91.2%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Borderline Accuracy (PTA-4)</w:t>
            </w:r>
          </w:p>
        </w:tc>
        <w:tc>
          <w:tcPr/>
          <w:p>
            <w:pPr>
              <w:pStyle w:val="Compact"/>
            </w:pPr>
            <w:r>
              <w:t xml:space="preserve">68.4%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Classification</w:t>
            </w:r>
          </w:p>
        </w:tc>
        <w:tc>
          <w:tcPr/>
          <w:p>
            <w:pPr>
              <w:pStyle w:val="Compact"/>
            </w:pPr>
            <w:r>
              <w:t xml:space="preserve">89.4% accuracy (κ = 0.86)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vs. PTA-4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</w:tbl>
    <w:bookmarkEnd w:id="20"/>
    <w:bookmarkStart w:id="23" w:name="data-source-nhanes-20172020"/>
    <w:p>
      <w:pPr>
        <w:pStyle w:val="Heading1"/>
      </w:pPr>
      <w:r>
        <w:t xml:space="preserve">Data Source: NHANES 2017–2020</w:t>
      </w:r>
    </w:p>
    <w:bookmarkStart w:id="21" w:name="dataset-description"/>
    <w:p>
      <w:pPr>
        <w:pStyle w:val="Heading2"/>
      </w:pPr>
      <w:r>
        <w:t xml:space="preserve">Dataset Description</w:t>
      </w:r>
    </w:p>
    <w:p>
      <w:pPr>
        <w:pStyle w:val="FirstParagraph"/>
      </w:pPr>
      <w:r>
        <w:t xml:space="preserve">Audiometric data were obtained from the</w:t>
      </w:r>
      <w:r>
        <w:t xml:space="preserve"> </w:t>
      </w:r>
      <w:r>
        <w:rPr>
          <w:b/>
          <w:bCs/>
        </w:rPr>
        <w:t xml:space="preserve">National Health and Nutrition Examination Survey (NHANES)</w:t>
      </w:r>
      <w:r>
        <w:t xml:space="preserve">, specifically the</w:t>
      </w:r>
      <w:r>
        <w:t xml:space="preserve"> </w:t>
      </w:r>
      <w:r>
        <w:rPr>
          <w:b/>
          <w:bCs/>
        </w:rPr>
        <w:t xml:space="preserve">P_AUX examination file</w:t>
      </w:r>
      <w:r>
        <w:t xml:space="preserve"> </w:t>
      </w:r>
      <w:r>
        <w:t xml:space="preserve">for the 2017–2020 cycle.</w:t>
      </w:r>
    </w:p>
    <w:p>
      <w:pPr>
        <w:pStyle w:val="BodyText"/>
      </w:pPr>
      <w:r>
        <w:rPr>
          <w:b/>
          <w:bCs/>
        </w:rPr>
        <w:t xml:space="preserve">Dataset characteristics: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participants</w:t>
            </w:r>
          </w:p>
        </w:tc>
        <w:tc>
          <w:tcPr/>
          <w:p>
            <w:pPr>
              <w:pStyle w:val="Compact"/>
            </w:pPr>
            <w:r>
              <w:t xml:space="preserve">5,147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exams (≥14 thresholds)</w:t>
            </w:r>
          </w:p>
        </w:tc>
        <w:tc>
          <w:tcPr/>
          <w:p>
            <w:pPr>
              <w:pStyle w:val="Compact"/>
            </w:pPr>
            <w:r>
              <w:t xml:space="preserve">3,775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bilateral exams</w:t>
            </w:r>
          </w:p>
        </w:tc>
        <w:tc>
          <w:tcPr/>
          <w:p>
            <w:pPr>
              <w:pStyle w:val="Compact"/>
            </w:pPr>
            <w:r>
              <w:t xml:space="preserve">1,817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frequencies</w:t>
            </w:r>
          </w:p>
        </w:tc>
        <w:tc>
          <w:tcPr/>
          <w:p>
            <w:pPr>
              <w:pStyle w:val="Compact"/>
            </w:pPr>
            <w:r>
              <w:t xml:space="preserve">500, 1000, 2000, 3000, 4000, 6000, 8000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type</w:t>
            </w:r>
          </w:p>
        </w:tc>
        <w:tc>
          <w:tcPr/>
          <w:p>
            <w:pPr>
              <w:pStyle w:val="Compact"/>
            </w:pPr>
            <w:r>
              <w:t xml:space="preserve">Air-conduction pure-tone audiometry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data</w:t>
            </w:r>
          </w:p>
        </w:tc>
        <w:tc>
          <w:tcPr/>
          <w:p>
            <w:pPr>
              <w:pStyle w:val="Compact"/>
            </w:pPr>
            <w:r>
              <w:t xml:space="preserve">Tympanometry, acoustic reflexes, hearing questionnaire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cleaning:</w:t>
      </w:r>
      <w:r>
        <w:t xml:space="preserve"> </w:t>
      </w:r>
      <w:r>
        <w:t xml:space="preserve">NHANES sentinel codes were filtered: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666</w:t>
      </w:r>
      <w:r>
        <w:t xml:space="preserve"> </w:t>
      </w:r>
      <w:r>
        <w:t xml:space="preserve">— No response at maximum output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888</w:t>
      </w:r>
      <w:r>
        <w:t xml:space="preserve"> </w:t>
      </w:r>
      <w:r>
        <w:t xml:space="preserve">— Could not obtain test result</w:t>
      </w:r>
      <w:r>
        <w:t xml:space="preserve"> </w:t>
      </w:r>
      <w:r>
        <w:t xml:space="preserve">- SAS subnormal values (&lt; 1e-70) handled by ETL pipeline</w:t>
      </w:r>
    </w:p>
    <w:p>
      <w:pPr>
        <w:pStyle w:val="BodyText"/>
      </w:pPr>
      <w:r>
        <w:t xml:space="preserve">Valid range clipped to −10 to 120 dB HL.</w:t>
      </w:r>
    </w:p>
    <w:bookmarkEnd w:id="21"/>
    <w:bookmarkStart w:id="22" w:name="traintest-split"/>
    <w:p>
      <w:pPr>
        <w:pStyle w:val="Heading2"/>
      </w:pPr>
      <w:r>
        <w:t xml:space="preserve">Train–Test Split</w:t>
      </w:r>
    </w:p>
    <w:p>
      <w:pPr>
        <w:pStyle w:val="FirstParagraph"/>
      </w:pPr>
      <w:r>
        <w:t xml:space="preserve">The dataset was split at the participant level: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3"/>
        <w:gridCol w:w="2640"/>
        <w:gridCol w:w="1218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Partition</w:t>
            </w:r>
          </w:p>
        </w:tc>
        <w:tc>
          <w:tcPr/>
          <w:p>
            <w:pPr>
              <w:pStyle w:val="Compac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</w:pPr>
            <w:r>
              <w:t xml:space="preserve">Ears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(80%)</w:t>
            </w:r>
          </w:p>
        </w:tc>
        <w:tc>
          <w:tcPr/>
          <w:p>
            <w:pPr>
              <w:pStyle w:val="Compact"/>
            </w:pPr>
            <w:r>
              <w:t xml:space="preserve">4,118</w:t>
            </w:r>
          </w:p>
        </w:tc>
        <w:tc>
          <w:tcPr/>
          <w:p>
            <w:pPr>
              <w:pStyle w:val="Compact"/>
            </w:pPr>
            <w:r>
              <w:t xml:space="preserve">6,040</w:t>
            </w:r>
          </w:p>
        </w:tc>
        <w:tc>
          <w:tcPr/>
          <w:p>
            <w:pPr>
              <w:pStyle w:val="Compact"/>
            </w:pPr>
            <w:r>
              <w:t xml:space="preserve">MF optimization, rule base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test (20%)</w:t>
            </w:r>
          </w:p>
        </w:tc>
        <w:tc>
          <w:tcPr/>
          <w:p>
            <w:pPr>
              <w:pStyle w:val="Compact"/>
            </w:pPr>
            <w:r>
              <w:t xml:space="preserve">1,029</w:t>
            </w:r>
          </w:p>
        </w:tc>
        <w:tc>
          <w:tcPr/>
          <w:p>
            <w:pPr>
              <w:pStyle w:val="Compact"/>
            </w:pPr>
            <w:r>
              <w:t xml:space="preserve">1,510</w:t>
            </w:r>
          </w:p>
        </w:tc>
        <w:tc>
          <w:tcPr/>
          <w:p>
            <w:pPr>
              <w:pStyle w:val="Compact"/>
            </w:pPr>
            <w:r>
              <w:t xml:space="preserve">All reported metrics and figures</w:t>
            </w:r>
          </w:p>
        </w:tc>
      </w:tr>
    </w:tbl>
    <w:p>
      <w:pPr>
        <w:pStyle w:val="BodyText"/>
      </w:pPr>
      <w:r>
        <w:t xml:space="preserve">Split stratified by PTA-4 WHO severity grade to ensure balanced representation.</w:t>
      </w:r>
    </w:p>
    <w:bookmarkEnd w:id="22"/>
    <w:bookmarkEnd w:id="23"/>
    <w:bookmarkStart w:id="50" w:name="exploratory-data-analysis"/>
    <w:p>
      <w:pPr>
        <w:pStyle w:val="Heading1"/>
      </w:pPr>
      <w:r>
        <w:t xml:space="preserve">Exploratory Data Analysis</w:t>
      </w:r>
    </w:p>
    <w:bookmarkStart w:id="28" w:name="threshold-distributions"/>
    <w:p>
      <w:pPr>
        <w:pStyle w:val="Heading2"/>
      </w:pPr>
      <w:r>
        <w:t xml:space="preserve">Threshold Distributions</w:t>
      </w:r>
    </w:p>
    <w:p>
      <w:pPr>
        <w:pStyle w:val="FirstParagraph"/>
      </w:pPr>
      <w:r>
        <w:t xml:space="preserve">Hearing thresholds across all frequencies exhibited</w:t>
      </w:r>
      <w:r>
        <w:t xml:space="preserve"> </w:t>
      </w:r>
      <w:r>
        <w:rPr>
          <w:b/>
          <w:bCs/>
        </w:rPr>
        <w:t xml:space="preserve">right-skewed distributions</w:t>
      </w:r>
      <w:r>
        <w:t xml:space="preserve"> </w:t>
      </w:r>
      <w:r>
        <w:t xml:space="preserve">with a floor effect at 0–10 dB HL. Mean thresholds increased progressively with frequency: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Mean (dB HL)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Hz</w:t>
            </w:r>
          </w:p>
        </w:tc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kHz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kHz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kHz</w:t>
            </w:r>
          </w:p>
        </w:tc>
        <w:tc>
          <w:tcPr/>
          <w:p>
            <w:pPr>
              <w:pStyle w:val="Compact"/>
            </w:pPr>
            <w:r>
              <w:t xml:space="preserve">28.7</w:t>
            </w:r>
          </w:p>
        </w:tc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kHz</w:t>
            </w:r>
          </w:p>
        </w:tc>
        <w:tc>
          <w:tcPr/>
          <w:p>
            <w:pPr>
              <w:pStyle w:val="Compact"/>
            </w:pPr>
            <w:r>
              <w:t xml:space="preserve">31.7</w:t>
            </w:r>
          </w:p>
        </w:tc>
        <w:tc>
          <w:tcPr/>
          <w:p>
            <w:pPr>
              <w:pStyle w:val="Compact"/>
            </w:pPr>
            <w:r>
              <w:t xml:space="preserve">23.7</w:t>
            </w:r>
          </w:p>
        </w:tc>
        <w:tc>
          <w:tcPr/>
          <w:p>
            <w:pPr>
              <w:pStyle w:val="Compac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kHz</w:t>
            </w:r>
          </w:p>
        </w:tc>
        <w:tc>
          <w:tcPr/>
          <w:p>
            <w:pPr>
              <w:pStyle w:val="Compact"/>
            </w:pPr>
            <w:r>
              <w:t xml:space="preserve">35.4</w:t>
            </w:r>
          </w:p>
        </w:tc>
        <w:tc>
          <w:tcPr/>
          <w:p>
            <w:pPr>
              <w:pStyle w:val="Compact"/>
            </w:pPr>
            <w:r>
              <w:t xml:space="preserve">24.9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kHz</w:t>
            </w:r>
          </w:p>
        </w:tc>
        <w:tc>
          <w:tcPr/>
          <w:p>
            <w:pPr>
              <w:pStyle w:val="Compact"/>
            </w:pPr>
            <w:r>
              <w:t xml:space="preserve">39.1</w:t>
            </w:r>
          </w:p>
        </w:tc>
        <w:tc>
          <w:tcPr/>
          <w:p>
            <w:pPr>
              <w:pStyle w:val="Compact"/>
            </w:pPr>
            <w:r>
              <w:t xml:space="preserve">28.7</w:t>
            </w:r>
          </w:p>
        </w:tc>
        <w:tc>
          <w:tcPr/>
          <w:p>
            <w:pPr>
              <w:pStyle w:val="Compact"/>
            </w:pPr>
            <w:r>
              <w:t xml:space="preserve">35.0</w:t>
            </w:r>
          </w:p>
        </w:tc>
      </w:tr>
    </w:tbl>
    <w:p>
      <w:pPr>
        <w:pStyle w:val="BodyText"/>
      </w:pPr>
      <w:r>
        <w:t xml:space="preserve">The monotonic increase in thresholds with frequency is consistent with age-related and noise-induced high-frequency hearing loss patterns.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threshold-dist"/>
          <w:p>
            <w:pPr>
              <w:pStyle w:val="Compact"/>
              <w:jc w:val="center"/>
            </w:pPr>
            <w:r>
              <w:drawing>
                <wp:inline>
                  <wp:extent cx="5334000" cy="2309047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figures/fig_eda_threshold_dis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090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Threshold distribution by frequency (right ear, violin plot)</w:t>
            </w:r>
          </w:p>
          <w:bookmarkEnd w:id="27"/>
        </w:tc>
      </w:tr>
    </w:tbl>
    <w:bookmarkEnd w:id="28"/>
    <w:bookmarkStart w:id="33" w:name="hearing-loss-prevalence"/>
    <w:p>
      <w:pPr>
        <w:pStyle w:val="Heading2"/>
      </w:pPr>
      <w:r>
        <w:t xml:space="preserve">Hearing Loss Prevalence</w:t>
      </w:r>
    </w:p>
    <w:p>
      <w:pPr>
        <w:pStyle w:val="FirstParagraph"/>
      </w:pPr>
      <w:r>
        <w:t xml:space="preserve">Using WHO PTA-4 classification criteria with worse-ear PTA: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 Grade</w:t>
            </w:r>
          </w:p>
        </w:tc>
        <w:tc>
          <w:tcPr/>
          <w:p>
            <w:pPr>
              <w:pStyle w:val="Compact"/>
            </w:pPr>
            <w:r>
              <w:t xml:space="preserve">Threshold Range</w:t>
            </w:r>
          </w:p>
        </w:tc>
        <w:tc>
          <w:tcPr/>
          <w:p>
            <w:pPr>
              <w:pStyle w:val="Compact"/>
            </w:pPr>
            <w:r>
              <w:t xml:space="preserve">Prevalence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≤25 dB</w:t>
            </w:r>
          </w:p>
        </w:tc>
        <w:tc>
          <w:tcPr/>
          <w:p>
            <w:pPr>
              <w:pStyle w:val="Compac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26–40 dB</w:t>
            </w:r>
          </w:p>
        </w:tc>
        <w:tc>
          <w:tcPr/>
          <w:p>
            <w:pPr>
              <w:pStyle w:val="Compact"/>
            </w:pPr>
            <w:r>
              <w:t xml:space="preserve">22.9%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41–55 dB</w:t>
            </w:r>
          </w:p>
        </w:tc>
        <w:tc>
          <w:tcPr/>
          <w:p>
            <w:pPr>
              <w:pStyle w:val="Compac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Moderately Severe</w:t>
            </w:r>
          </w:p>
        </w:tc>
        <w:tc>
          <w:tcPr/>
          <w:p>
            <w:pPr>
              <w:pStyle w:val="Compact"/>
            </w:pPr>
            <w:r>
              <w:t xml:space="preserve">56–70 dB</w:t>
            </w:r>
          </w:p>
        </w:tc>
        <w:tc>
          <w:tcPr/>
          <w:p>
            <w:pPr>
              <w:pStyle w:val="Compact"/>
            </w:pPr>
            <w:r>
              <w:t xml:space="preserve">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</w:t>
            </w:r>
          </w:p>
        </w:tc>
        <w:tc>
          <w:tcPr/>
          <w:p>
            <w:pPr>
              <w:pStyle w:val="Compact"/>
            </w:pPr>
            <w:r>
              <w:t xml:space="preserve">71–90 dB</w:t>
            </w:r>
          </w:p>
        </w:tc>
        <w:tc>
          <w:tcPr/>
          <w:p>
            <w:pPr>
              <w:pStyle w:val="Compac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Profound</w:t>
            </w:r>
          </w:p>
        </w:tc>
        <w:tc>
          <w:tcPr/>
          <w:p>
            <w:pPr>
              <w:pStyle w:val="Compact"/>
            </w:pPr>
            <w:r>
              <w:t xml:space="preserve">≥91 dB</w:t>
            </w:r>
          </w:p>
        </w:tc>
        <w:tc>
          <w:tcPr/>
          <w:p>
            <w:pPr>
              <w:pStyle w:val="Compact"/>
            </w:pPr>
            <w:r>
              <w:t xml:space="preserve">&lt;0.1%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pta-dist"/>
          <w:p>
            <w:pPr>
              <w:pStyle w:val="Compact"/>
              <w:jc w:val="center"/>
            </w:pPr>
            <w:r>
              <w:drawing>
                <wp:inline>
                  <wp:extent cx="5334000" cy="225743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fig_eda_pta_dis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74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PTA-4 distribution with WHO severity bands</w:t>
            </w:r>
          </w:p>
          <w:bookmarkEnd w:id="32"/>
        </w:tc>
      </w:tr>
    </w:tbl>
    <w:bookmarkEnd w:id="33"/>
    <w:bookmarkStart w:id="34" w:name="the-borderline-problem"/>
    <w:p>
      <w:pPr>
        <w:pStyle w:val="Heading2"/>
      </w:pPr>
      <w:r>
        <w:t xml:space="preserve">The Borderline Problem</w:t>
      </w:r>
    </w:p>
    <w:p>
      <w:pPr>
        <w:pStyle w:val="FirstParagraph"/>
      </w:pPr>
      <w:r>
        <w:rPr>
          <w:b/>
          <w:bCs/>
        </w:rPr>
        <w:t xml:space="preserve">39.2%</w:t>
      </w:r>
      <w:r>
        <w:t xml:space="preserve"> </w:t>
      </w:r>
      <w:r>
        <w:t xml:space="preserve">of all ears fell within ±5 dB of a WHO severity boundary — the population where crisp classification is most clinically uncertain: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 Zone</w:t>
            </w:r>
          </w:p>
        </w:tc>
        <w:tc>
          <w:tcPr/>
          <w:p>
            <w:pPr>
              <w:pStyle w:val="Compact"/>
            </w:pPr>
            <w:r>
              <w:t xml:space="preserve">dB Range</w:t>
            </w:r>
          </w:p>
        </w:tc>
        <w:tc>
          <w:tcPr/>
          <w:p>
            <w:pPr>
              <w:pStyle w:val="Compact"/>
            </w:pPr>
            <w:r>
              <w:t xml:space="preserve">% of 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Normal–Mild</w:t>
            </w:r>
          </w:p>
        </w:tc>
        <w:tc>
          <w:tcPr/>
          <w:p>
            <w:pPr>
              <w:pStyle w:val="Compact"/>
            </w:pPr>
            <w:r>
              <w:t xml:space="preserve">20–30 dB</w:t>
            </w:r>
          </w:p>
        </w:tc>
        <w:tc>
          <w:tcPr/>
          <w:p>
            <w:pPr>
              <w:pStyle w:val="Compact"/>
            </w:pPr>
            <w:r>
              <w:t xml:space="preserve">22.3%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Mild–Moderate</w:t>
            </w:r>
          </w:p>
        </w:tc>
        <w:tc>
          <w:tcPr/>
          <w:p>
            <w:pPr>
              <w:pStyle w:val="Compact"/>
            </w:pPr>
            <w:r>
              <w:t xml:space="preserve">35–45 dB</w:t>
            </w:r>
          </w:p>
        </w:tc>
        <w:tc>
          <w:tcPr/>
          <w:p>
            <w:pPr>
              <w:pStyle w:val="Compact"/>
            </w:pPr>
            <w:r>
              <w:t xml:space="preserve">10.1%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Moderate–Mod-Sev</w:t>
            </w:r>
          </w:p>
        </w:tc>
        <w:tc>
          <w:tcPr/>
          <w:p>
            <w:pPr>
              <w:pStyle w:val="Compact"/>
            </w:pPr>
            <w:r>
              <w:t xml:space="preserve">50–60 dB</w:t>
            </w:r>
          </w:p>
        </w:tc>
        <w:tc>
          <w:tcPr/>
          <w:p>
            <w:pPr>
              <w:pStyle w:val="Compac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Mod-Sev–Severe</w:t>
            </w:r>
          </w:p>
        </w:tc>
        <w:tc>
          <w:tcPr/>
          <w:p>
            <w:pPr>
              <w:pStyle w:val="Compact"/>
            </w:pPr>
            <w:r>
              <w:t xml:space="preserve">65–75 dB</w:t>
            </w:r>
          </w:p>
        </w:tc>
        <w:tc>
          <w:tcPr/>
          <w:p>
            <w:pPr>
              <w:pStyle w:val="Compac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Severe–Profound</w:t>
            </w:r>
          </w:p>
        </w:tc>
        <w:tc>
          <w:tcPr/>
          <w:p>
            <w:pPr>
              <w:pStyle w:val="Compact"/>
            </w:pPr>
            <w:r>
              <w:t xml:space="preserve">85–95 dB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</w:tr>
    </w:tbl>
    <w:p>
      <w:pPr>
        <w:pStyle w:val="BodyText"/>
      </w:pPr>
      <w:r>
        <w:t xml:space="preserve">This finding directly motivates the fuzzy logic approach —</w:t>
      </w:r>
      <w:r>
        <w:t xml:space="preserve"> </w:t>
      </w:r>
      <w:r>
        <w:rPr>
          <w:b/>
          <w:bCs/>
        </w:rPr>
        <w:t xml:space="preserve">over a third of clinical cases</w:t>
      </w:r>
      <w:r>
        <w:t xml:space="preserve"> </w:t>
      </w:r>
      <w:r>
        <w:t xml:space="preserve">fall in the zone where crisp classification is least reliable.</w:t>
      </w:r>
    </w:p>
    <w:bookmarkEnd w:id="34"/>
    <w:bookmarkStart w:id="39" w:name="inter-frequency-correlation"/>
    <w:p>
      <w:pPr>
        <w:pStyle w:val="Heading2"/>
      </w:pPr>
      <w:r>
        <w:t xml:space="preserve">Inter-Frequency Correlation</w:t>
      </w:r>
    </w:p>
    <w:p>
      <w:pPr>
        <w:pStyle w:val="FirstParagraph"/>
      </w:pPr>
      <w:r>
        <w:t xml:space="preserve">Thresholds at adjacent frequencies were</w:t>
      </w:r>
      <w:r>
        <w:t xml:space="preserve"> </w:t>
      </w:r>
      <w:r>
        <w:rPr>
          <w:b/>
          <w:bCs/>
        </w:rPr>
        <w:t xml:space="preserve">highly correlated</w:t>
      </w:r>
      <w:r>
        <w:t xml:space="preserve"> </w:t>
      </w:r>
      <w:r>
        <w:t xml:space="preserve">(mean adjacent Pearson r = 0.87), while correlations between distant frequencies (500 Hz vs. 8 kHz) were moderate (r = 0.46), confirming that frequency-specific information is partially independent and not fully captured by a single PTA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correlation"/>
          <w:p>
            <w:pPr>
              <w:pStyle w:val="Compact"/>
              <w:jc w:val="center"/>
            </w:pPr>
            <w:r>
              <w:drawing>
                <wp:inline>
                  <wp:extent cx="5334000" cy="4848944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figures/fig_eda_correlation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8489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Frequency correlation matrix (both ears)</w:t>
            </w:r>
          </w:p>
          <w:bookmarkEnd w:id="38"/>
        </w:tc>
      </w:tr>
    </w:tbl>
    <w:bookmarkEnd w:id="39"/>
    <w:bookmarkStart w:id="44" w:name="audiogram-configuration"/>
    <w:p>
      <w:pPr>
        <w:pStyle w:val="Heading2"/>
      </w:pPr>
      <w:r>
        <w:t xml:space="preserve">Audiogram Configuration</w:t>
      </w:r>
    </w:p>
    <w:p>
      <w:pPr>
        <w:pStyle w:val="FirstParagraph"/>
      </w:pPr>
      <w:r>
        <w:t xml:space="preserve">Using slope-based classification (500 Hz → 4 kHz dB change):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Prevalence (%)</w:t>
            </w:r>
          </w:p>
        </w:tc>
        <w:tc>
          <w:tcPr/>
          <w:p>
            <w:pPr>
              <w:pStyle w:val="Compact"/>
            </w:pPr>
            <w:r>
              <w:t xml:space="preserve">Slope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</w:t>
            </w:r>
          </w:p>
        </w:tc>
        <w:tc>
          <w:tcPr/>
          <w:p>
            <w:pPr>
              <w:pStyle w:val="Compact"/>
            </w:pPr>
            <w:r>
              <w:t xml:space="preserve">36.0%</w:t>
            </w:r>
          </w:p>
        </w:tc>
        <w:tc>
          <w:tcPr/>
          <w:p>
            <w:pPr>
              <w:pStyle w:val="Compact"/>
            </w:pPr>
            <w:r>
              <w:t xml:space="preserve">−5 to 12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Gently Sloping</w:t>
            </w:r>
          </w:p>
        </w:tc>
        <w:tc>
          <w:tcPr/>
          <w:p>
            <w:pPr>
              <w:pStyle w:val="Compact"/>
            </w:pPr>
            <w:r>
              <w:t xml:space="preserve">26.0%</w:t>
            </w:r>
          </w:p>
        </w:tc>
        <w:tc>
          <w:tcPr/>
          <w:p>
            <w:pPr>
              <w:pStyle w:val="Compact"/>
            </w:pPr>
            <w:r>
              <w:t xml:space="preserve">12–28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Steeply Sloping</w:t>
            </w:r>
          </w:p>
        </w:tc>
        <w:tc>
          <w:tcPr/>
          <w:p>
            <w:pPr>
              <w:pStyle w:val="Compact"/>
            </w:pPr>
            <w:r>
              <w:t xml:space="preserve">17.0%</w:t>
            </w:r>
          </w:p>
        </w:tc>
        <w:tc>
          <w:tcPr/>
          <w:p>
            <w:pPr>
              <w:pStyle w:val="Compact"/>
            </w:pPr>
            <w:r>
              <w:t xml:space="preserve">28–45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Notched</w:t>
            </w:r>
          </w:p>
        </w:tc>
        <w:tc>
          <w:tcPr/>
          <w:p>
            <w:pPr>
              <w:pStyle w:val="Compact"/>
            </w:pPr>
            <w: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Precipitous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&gt;45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Rising</w:t>
            </w:r>
          </w:p>
        </w:tc>
        <w:tc>
          <w:tcPr/>
          <w:p>
            <w:pPr>
              <w:pStyle w:val="Compact"/>
            </w:pPr>
            <w:r>
              <w:t xml:space="preserve">4.0%</w:t>
            </w:r>
          </w:p>
        </w:tc>
        <w:tc>
          <w:tcPr/>
          <w:p>
            <w:pPr>
              <w:pStyle w:val="Compact"/>
            </w:pPr>
            <w:r>
              <w:t xml:space="preserve">&lt;−5 dB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config"/>
          <w:p>
            <w:pPr>
              <w:pStyle w:val="Compact"/>
              <w:jc w:val="center"/>
            </w:pPr>
            <w:r>
              <w:drawing>
                <wp:inline>
                  <wp:extent cx="5334000" cy="234670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figures/fig_eda_config_dis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46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Audiogram configuration distribution</w:t>
            </w:r>
          </w:p>
          <w:bookmarkEnd w:id="43"/>
        </w:tc>
      </w:tr>
    </w:tbl>
    <w:bookmarkEnd w:id="44"/>
    <w:bookmarkStart w:id="49" w:name="inter-aural-asymmetry"/>
    <w:p>
      <w:pPr>
        <w:pStyle w:val="Heading2"/>
      </w:pPr>
      <w:r>
        <w:t xml:space="preserve">Inter-Aural Asymmetry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Prevalence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Symmetric</w:t>
            </w:r>
          </w:p>
        </w:tc>
        <w:tc>
          <w:tcPr/>
          <w:p>
            <w:pPr>
              <w:pStyle w:val="Compact"/>
            </w:pPr>
            <w:r>
              <w:t xml:space="preserve">≤15 dB</w:t>
            </w:r>
          </w:p>
        </w:tc>
        <w:tc>
          <w:tcPr/>
          <w:p>
            <w:pPr>
              <w:pStyle w:val="Compac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Mildly Asymmetric</w:t>
            </w:r>
          </w:p>
        </w:tc>
        <w:tc>
          <w:tcPr/>
          <w:p>
            <w:pPr>
              <w:pStyle w:val="Compact"/>
            </w:pPr>
            <w:r>
              <w:t xml:space="preserve">16–30 dB</w:t>
            </w:r>
          </w:p>
        </w:tc>
        <w:tc>
          <w:tcPr/>
          <w:p>
            <w:pPr>
              <w:pStyle w:val="Compac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Moderately Asymmetric</w:t>
            </w:r>
          </w:p>
        </w:tc>
        <w:tc>
          <w:tcPr/>
          <w:p>
            <w:pPr>
              <w:pStyle w:val="Compact"/>
            </w:pPr>
            <w:r>
              <w:t xml:space="preserve">31–45 dB</w:t>
            </w:r>
          </w:p>
        </w:tc>
        <w:tc>
          <w:tcPr/>
          <w:p>
            <w:pPr>
              <w:pStyle w:val="Compact"/>
            </w:pPr>
            <w:r>
              <w:t xml:space="preserve">1.1%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Severely Asymmetric</w:t>
            </w:r>
          </w:p>
        </w:tc>
        <w:tc>
          <w:tcPr/>
          <w:p>
            <w:pPr>
              <w:pStyle w:val="Compact"/>
            </w:pPr>
            <w:r>
              <w:t xml:space="preserve">&gt;45 dB</w:t>
            </w:r>
          </w:p>
        </w:tc>
        <w:tc>
          <w:tcPr/>
          <w:p>
            <w:pPr>
              <w:pStyle w:val="Compact"/>
            </w:pPr>
            <w:r>
              <w:t xml:space="preserve">0.4%</w:t>
            </w:r>
          </w:p>
        </w:tc>
      </w:tr>
    </w:tbl>
    <w:p>
      <w:pPr>
        <w:pStyle w:val="BodyText"/>
      </w:pPr>
      <w:r>
        <w:t xml:space="preserve">Mean asymmetry: 5.5 dB (median 3.8 dB). Only 5.7% exceeded the 15 dB clinical threshold.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asymmetry"/>
          <w:p>
            <w:pPr>
              <w:pStyle w:val="Compact"/>
              <w:jc w:val="center"/>
            </w:pPr>
            <w:r>
              <w:drawing>
                <wp:inline>
                  <wp:extent cx="5334000" cy="1996692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figures/fig_eda_asymmetry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966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Inter-aural asymmetry distribution</w:t>
            </w:r>
          </w:p>
          <w:bookmarkEnd w:id="48"/>
        </w:tc>
      </w:tr>
    </w:tbl>
    <w:bookmarkEnd w:id="49"/>
    <w:bookmarkEnd w:id="50"/>
    <w:bookmarkStart w:id="63" w:name="membership-function-optimization"/>
    <w:p>
      <w:pPr>
        <w:pStyle w:val="Heading1"/>
      </w:pPr>
      <w:r>
        <w:t xml:space="preserve">Membership Function Optimization</w:t>
      </w:r>
    </w:p>
    <w:bookmarkStart w:id="51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t xml:space="preserve">For each of the 7 test frequencies × 2 ears, individual thresholds were assigned to WHO severity categories. Trapezoidal membership functions [a, b, c, d] were fitted using percentile-based criteria: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= max(0, P5 − 2) — membership onset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= P25 — membership reaches 1.0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P75 — membership begins declining from 1.0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= min(P95 + 2, 120) — membership returns to 0</w:t>
      </w:r>
    </w:p>
    <w:bookmarkEnd w:id="51"/>
    <w:bookmarkStart w:id="52" w:name="sample-sizes"/>
    <w:p>
      <w:pPr>
        <w:pStyle w:val="Heading2"/>
      </w:pPr>
      <w:r>
        <w:t xml:space="preserve">Sample Sizes</w:t>
      </w:r>
    </w:p>
    <w:p>
      <w:pPr>
        <w:pStyle w:val="FirstParagraph"/>
      </w:pPr>
      <w:r>
        <w:t xml:space="preserve">Measured across 72,058 raw measurements (50,736 clean):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% of 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38,149</w:t>
            </w:r>
          </w:p>
        </w:tc>
        <w:tc>
          <w:tcPr/>
          <w:p>
            <w:pPr>
              <w:pStyle w:val="Compact"/>
            </w:pPr>
            <w:r>
              <w:t xml:space="preserve">75.2%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4,188</w:t>
            </w:r>
          </w:p>
        </w:tc>
        <w:tc>
          <w:tcPr/>
          <w:p>
            <w:pPr>
              <w:pStyle w:val="Compact"/>
            </w:pPr>
            <w:r>
              <w:t xml:space="preserve">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3,240</w:t>
            </w:r>
          </w:p>
        </w:tc>
        <w:tc>
          <w:tcPr/>
          <w:p>
            <w:pPr>
              <w:pStyle w:val="Compact"/>
            </w:pPr>
            <w:r>
              <w:t xml:space="preserve">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Moderately Severe</w:t>
            </w:r>
          </w:p>
        </w:tc>
        <w:tc>
          <w:tcPr/>
          <w:p>
            <w:pPr>
              <w:pStyle w:val="Compact"/>
            </w:pPr>
            <w:r>
              <w:t xml:space="preserve">3,104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t xml:space="preserve">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Profound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  <w:tc>
          <w:tcPr/>
          <w:p>
            <w:pPr>
              <w:pStyle w:val="Compact"/>
            </w:pPr>
            <w:r>
              <w:t xml:space="preserve">0.4%</w:t>
            </w:r>
          </w:p>
        </w:tc>
      </w:tr>
    </w:tbl>
    <w:bookmarkEnd w:id="52"/>
    <w:bookmarkStart w:id="57" w:name="optimised-parameters"/>
    <w:p>
      <w:pPr>
        <w:pStyle w:val="Heading2"/>
      </w:pPr>
      <w:r>
        <w:t xml:space="preserve">Optimised Parameters</w:t>
      </w:r>
    </w:p>
    <w:p>
      <w:pPr>
        <w:pStyle w:val="FirstParagraph"/>
      </w:pPr>
      <w:r>
        <w:rPr>
          <w:b/>
          <w:bCs/>
        </w:rPr>
        <w:t xml:space="preserve">Aggregated (averaged across 7 frequencies) — currently in use: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28.0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39.3</w:t>
            </w:r>
          </w:p>
        </w:tc>
        <w:tc>
          <w:tcPr/>
          <w:p>
            <w:pPr>
              <w:pStyle w:val="Compact"/>
            </w:pPr>
            <w:r>
              <w:t xml:space="preserve">42.0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43.0</w:t>
            </w:r>
          </w:p>
        </w:tc>
        <w:tc>
          <w:tcPr/>
          <w:p>
            <w:pPr>
              <w:pStyle w:val="Compact"/>
            </w:pPr>
            <w:r>
              <w:t xml:space="preserve">45.0</w:t>
            </w:r>
          </w:p>
        </w:tc>
        <w:tc>
          <w:tcPr/>
          <w:p>
            <w:pPr>
              <w:pStyle w:val="Compact"/>
            </w:pPr>
            <w:r>
              <w:t xml:space="preserve">53.6</w:t>
            </w:r>
          </w:p>
        </w:tc>
        <w:tc>
          <w:tcPr/>
          <w:p>
            <w:pPr>
              <w:pStyle w:val="Compact"/>
            </w:pPr>
            <w:r>
              <w:t xml:space="preserve">57.0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Moderately Severe</w:t>
            </w:r>
          </w:p>
        </w:tc>
        <w:tc>
          <w:tcPr/>
          <w:p>
            <w:pPr>
              <w:pStyle w:val="Compact"/>
            </w:pPr>
            <w:r>
              <w:t xml:space="preserve">58.0</w:t>
            </w:r>
          </w:p>
        </w:tc>
        <w:tc>
          <w:tcPr/>
          <w:p>
            <w:pPr>
              <w:pStyle w:val="Compact"/>
            </w:pPr>
            <w:r>
              <w:t xml:space="preserve">60.0</w:t>
            </w:r>
          </w:p>
        </w:tc>
        <w:tc>
          <w:tcPr/>
          <w:p>
            <w:pPr>
              <w:pStyle w:val="Compact"/>
            </w:pPr>
            <w:r>
              <w:t xml:space="preserve">67.9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  <w:tc>
          <w:tcPr/>
          <w:p>
            <w:pPr>
              <w:pStyle w:val="Compact"/>
            </w:pPr>
            <w:r>
              <w:t xml:space="preserve">75.0</w:t>
            </w:r>
          </w:p>
        </w:tc>
        <w:tc>
          <w:tcPr/>
          <w:p>
            <w:pPr>
              <w:pStyle w:val="Compact"/>
            </w:pPr>
            <w:r>
              <w:t xml:space="preserve">85.4</w:t>
            </w:r>
          </w:p>
        </w:tc>
        <w:tc>
          <w:tcPr/>
          <w:p>
            <w:pPr>
              <w:pStyle w:val="Compact"/>
            </w:pPr>
            <w:r>
              <w:t xml:space="preserve">92.0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Profound</w:t>
            </w:r>
          </w:p>
        </w:tc>
        <w:tc>
          <w:tcPr/>
          <w:p>
            <w:pPr>
              <w:pStyle w:val="Compact"/>
            </w:pPr>
            <w:r>
              <w:t xml:space="preserve">91.9</w:t>
            </w:r>
          </w:p>
        </w:tc>
        <w:tc>
          <w:tcPr/>
          <w:p>
            <w:pPr>
              <w:pStyle w:val="Compact"/>
            </w:pPr>
            <w:r>
              <w:t xml:space="preserve">94.4</w:t>
            </w:r>
          </w:p>
        </w:tc>
        <w:tc>
          <w:tcPr/>
          <w:p>
            <w:pPr>
              <w:pStyle w:val="Compact"/>
            </w:pPr>
            <w:r>
              <w:t xml:space="preserve">103.5</w:t>
            </w:r>
          </w:p>
        </w:tc>
        <w:tc>
          <w:tcPr/>
          <w:p>
            <w:pPr>
              <w:pStyle w:val="Compact"/>
            </w:pPr>
            <w:r>
              <w:t xml:space="preserve">120.0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Overlap width comparison (optimised vs. original heuristic parameters):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Original Overlap</w:t>
            </w:r>
          </w:p>
        </w:tc>
        <w:tc>
          <w:tcPr/>
          <w:p>
            <w:pPr>
              <w:pStyle w:val="Compact"/>
            </w:pPr>
            <w:r>
              <w:t xml:space="preserve">Optimised Overlap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→ Mild</w:t>
            </w:r>
          </w:p>
        </w:tc>
        <w:tc>
          <w:tcPr/>
          <w:p>
            <w:pPr>
              <w:pStyle w:val="Compact"/>
            </w:pPr>
            <w:r>
              <w:t xml:space="preserve">+10.0 dB</w:t>
            </w:r>
          </w:p>
        </w:tc>
        <w:tc>
          <w:tcPr/>
          <w:p>
            <w:pPr>
              <w:pStyle w:val="Compact"/>
            </w:pPr>
            <w:r>
              <w:t xml:space="preserve">−1.7 dB</w:t>
            </w:r>
          </w:p>
        </w:tc>
        <w:tc>
          <w:tcPr/>
          <w:p>
            <w:pPr>
              <w:pStyle w:val="Compact"/>
            </w:pPr>
            <w:r>
              <w:t xml:space="preserve">−11.7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Mild → Moderate</w:t>
            </w:r>
          </w:p>
        </w:tc>
        <w:tc>
          <w:tcPr/>
          <w:p>
            <w:pPr>
              <w:pStyle w:val="Compact"/>
            </w:pPr>
            <w:r>
              <w:t xml:space="preserve">+10.0 dB</w:t>
            </w:r>
          </w:p>
        </w:tc>
        <w:tc>
          <w:tcPr/>
          <w:p>
            <w:pPr>
              <w:pStyle w:val="Compact"/>
            </w:pPr>
            <w:r>
              <w:t xml:space="preserve">−1.0 dB</w:t>
            </w:r>
          </w:p>
        </w:tc>
        <w:tc>
          <w:tcPr/>
          <w:p>
            <w:pPr>
              <w:pStyle w:val="Compact"/>
            </w:pPr>
            <w:r>
              <w:t xml:space="preserve">−11.0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Moderate → Mod-Sev</w:t>
            </w:r>
          </w:p>
        </w:tc>
        <w:tc>
          <w:tcPr/>
          <w:p>
            <w:pPr>
              <w:pStyle w:val="Compact"/>
            </w:pPr>
            <w:r>
              <w:t xml:space="preserve">+10.0 dB</w:t>
            </w:r>
          </w:p>
        </w:tc>
        <w:tc>
          <w:tcPr/>
          <w:p>
            <w:pPr>
              <w:pStyle w:val="Compact"/>
            </w:pPr>
            <w:r>
              <w:t xml:space="preserve">−1.0 dB</w:t>
            </w:r>
          </w:p>
        </w:tc>
        <w:tc>
          <w:tcPr/>
          <w:p>
            <w:pPr>
              <w:pStyle w:val="Compact"/>
            </w:pPr>
            <w:r>
              <w:t xml:space="preserve">−11.0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Mod-Sev → Severe</w:t>
            </w:r>
          </w:p>
        </w:tc>
        <w:tc>
          <w:tcPr/>
          <w:p>
            <w:pPr>
              <w:pStyle w:val="Compact"/>
            </w:pPr>
            <w:r>
              <w:t xml:space="preserve">+10.0 dB</w:t>
            </w:r>
          </w:p>
        </w:tc>
        <w:tc>
          <w:tcPr/>
          <w:p>
            <w:pPr>
              <w:pStyle w:val="Compact"/>
            </w:pPr>
            <w:r>
              <w:t xml:space="preserve">−2.0 dB</w:t>
            </w:r>
          </w:p>
        </w:tc>
        <w:tc>
          <w:tcPr/>
          <w:p>
            <w:pPr>
              <w:pStyle w:val="Compact"/>
            </w:pPr>
            <w:r>
              <w:t xml:space="preserve">−12.0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Severe → Profound</w:t>
            </w:r>
          </w:p>
        </w:tc>
        <w:tc>
          <w:tcPr/>
          <w:p>
            <w:pPr>
              <w:pStyle w:val="Compact"/>
            </w:pPr>
            <w:r>
              <w:t xml:space="preserve">−6.0 dB</w:t>
            </w:r>
          </w:p>
        </w:tc>
        <w:tc>
          <w:tcPr/>
          <w:p>
            <w:pPr>
              <w:pStyle w:val="Compact"/>
            </w:pPr>
            <w:r>
              <w:t xml:space="preserve">−2.1 dB</w:t>
            </w:r>
          </w:p>
        </w:tc>
        <w:tc>
          <w:tcPr/>
          <w:p>
            <w:pPr>
              <w:pStyle w:val="Compact"/>
            </w:pPr>
            <w:r>
              <w:t xml:space="preserve">+3.9 dB</w:t>
            </w:r>
          </w:p>
        </w:tc>
      </w:tr>
    </w:tbl>
    <w:p>
      <w:pPr>
        <w:pStyle w:val="BodyText"/>
      </w:pPr>
      <w:r>
        <w:t xml:space="preserve">The optimised functions show</w:t>
      </w:r>
      <w:r>
        <w:t xml:space="preserve"> </w:t>
      </w:r>
      <w:r>
        <w:rPr>
          <w:b/>
          <w:bCs/>
        </w:rPr>
        <w:t xml:space="preserve">tighter, more controlled overlap</w:t>
      </w:r>
      <w:r>
        <w:t xml:space="preserve"> </w:t>
      </w:r>
      <w:r>
        <w:t xml:space="preserve">(∼2 dB) compared to the original heuristic (∼10 dB), better reflecting the actual NHANES data distributions while preserving smooth transitions.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mf-opt"/>
          <w:p>
            <w:pPr>
              <w:pStyle w:val="Compact"/>
              <w:jc w:val="center"/>
            </w:pPr>
            <w:r>
              <w:drawing>
                <wp:inline>
                  <wp:extent cx="5334000" cy="3054529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data/output/mf_optimization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545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Membership function optimisation comparison</w:t>
            </w:r>
          </w:p>
          <w:bookmarkEnd w:id="56"/>
        </w:tc>
      </w:tr>
    </w:tbl>
    <w:bookmarkEnd w:id="57"/>
    <w:bookmarkStart w:id="62" w:name="final-membership-functions"/>
    <w:p>
      <w:pPr>
        <w:pStyle w:val="Heading2"/>
      </w:pPr>
      <w:r>
        <w:t xml:space="preserve">Final Membership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mf-final"/>
          <w:p>
            <w:pPr>
              <w:pStyle w:val="Compact"/>
              <w:jc w:val="center"/>
            </w:pPr>
            <w:r>
              <w:drawing>
                <wp:inline>
                  <wp:extent cx="5334000" cy="290208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ures/fig1_membership_functions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20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Six overlapping trapezoidal membership functions for hearing loss severity</w:t>
            </w:r>
          </w:p>
          <w:bookmarkEnd w:id="61"/>
        </w:tc>
      </w:tr>
    </w:tbl>
    <w:p>
      <w:pPr>
        <w:pStyle w:val="BodyText"/>
      </w:pPr>
      <w:r>
        <w:t xml:space="preserve">Each category exhibits approximately 5–10 dB of overlap with its neighbours at the classical WHO boundary points. For example, a threshold of 26 dB HL yields membership μ = 0.40 to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and μ = 1.00 to</w:t>
      </w:r>
      <w:r>
        <w:t xml:space="preserve"> </w:t>
      </w:r>
      <w:r>
        <w:rPr>
          <w:i/>
          <w:iCs/>
        </w:rPr>
        <w:t xml:space="preserve">Mild</w:t>
      </w:r>
      <w:r>
        <w:t xml:space="preserve">.</w:t>
      </w:r>
    </w:p>
    <w:bookmarkEnd w:id="62"/>
    <w:bookmarkEnd w:id="63"/>
    <w:bookmarkStart w:id="72" w:name="fuzzy-inference-system-architecture"/>
    <w:p>
      <w:pPr>
        <w:pStyle w:val="Heading1"/>
      </w:pPr>
      <w:r>
        <w:t xml:space="preserve">Fuzzy Inference System Architecture</w:t>
      </w:r>
    </w:p>
    <w:bookmarkStart w:id="64" w:name="system-overview"/>
    <w:p>
      <w:pPr>
        <w:pStyle w:val="Heading2"/>
      </w:pPr>
      <w:r>
        <w:t xml:space="preserve">System Overview</w:t>
      </w:r>
    </w:p>
    <w:p>
      <w:pPr>
        <w:pStyle w:val="FirstParagraph"/>
      </w:pPr>
      <w:r>
        <w:t xml:space="preserve">A Mamdani-type FIS with</w:t>
      </w:r>
      <w:r>
        <w:t xml:space="preserve"> </w:t>
      </w:r>
      <w:r>
        <w:rPr>
          <w:b/>
          <w:bCs/>
        </w:rPr>
        <w:t xml:space="preserve">48 expert-derived rules</w:t>
      </w:r>
      <w:r>
        <w:t xml:space="preserve"> </w:t>
      </w:r>
      <w:r>
        <w:t xml:space="preserve">was constructed, organised into four functional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Group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Severity rules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Map fuzzified thresholds → severity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rules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Classify audiogram shape (slope + notch)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Asymmetry rules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Detect and grade inter-aural asymmetry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Mixed-loss rules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Address complex multi-factor presentations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Inference parameters:</w:t>
      </w:r>
      <w:r>
        <w:t xml:space="preserve"> </w:t>
      </w:r>
      <w:r>
        <w:t xml:space="preserve">- Composition: Max–min</w:t>
      </w:r>
      <w:r>
        <w:t xml:space="preserve"> </w:t>
      </w:r>
      <w:r>
        <w:t xml:space="preserve">- Implication: Minimum (clipping)</w:t>
      </w:r>
      <w:r>
        <w:t xml:space="preserve"> </w:t>
      </w:r>
      <w:r>
        <w:t xml:space="preserve">- Aggregation: Fuzzy union (max)</w:t>
      </w:r>
      <w:r>
        <w:t xml:space="preserve"> </w:t>
      </w:r>
      <w:r>
        <w:t xml:space="preserve">- Defuzzification: Centroid of Area (CoA)</w:t>
      </w:r>
    </w:p>
    <w:bookmarkEnd w:id="64"/>
    <w:bookmarkStart w:id="65" w:name="input-variables"/>
    <w:p>
      <w:pPr>
        <w:pStyle w:val="Heading2"/>
      </w:pPr>
      <w:r>
        <w:t xml:space="preserve">Input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Linguistic Terms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6: Normal → Profound</w:t>
            </w:r>
          </w:p>
        </w:tc>
        <w:tc>
          <w:tcPr/>
          <w:p>
            <w:pPr>
              <w:pStyle w:val="Compact"/>
            </w:pPr>
            <w:r>
              <w:t xml:space="preserve">Trapezoidal MF [a,b,c,d]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5: Rising → Precipitous</w:t>
            </w:r>
          </w:p>
        </w:tc>
        <w:tc>
          <w:tcPr/>
          <w:p>
            <w:pPr>
              <w:pStyle w:val="Compact"/>
            </w:pPr>
            <w:r>
              <w:t xml:space="preserve">Trapezoidal MF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Notch Depth</w:t>
            </w:r>
          </w:p>
        </w:tc>
        <w:tc>
          <w:tcPr/>
          <w:p>
            <w:pPr>
              <w:pStyle w:val="Compact"/>
            </w:pPr>
            <w:r>
              <w:t xml:space="preserve">3: None → Shallow → Deep</w:t>
            </w:r>
          </w:p>
        </w:tc>
        <w:tc>
          <w:tcPr/>
          <w:p>
            <w:pPr>
              <w:pStyle w:val="Compact"/>
            </w:pPr>
            <w:r>
              <w:t xml:space="preserve">Trapezoidal MF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Asymmetry</w:t>
            </w:r>
          </w:p>
        </w:tc>
        <w:tc>
          <w:tcPr/>
          <w:p>
            <w:pPr>
              <w:pStyle w:val="Compact"/>
            </w:pPr>
            <w:r>
              <w:t xml:space="preserve">4: Symmetric → Severely Asymmetric</w:t>
            </w:r>
          </w:p>
        </w:tc>
        <w:tc>
          <w:tcPr/>
          <w:p>
            <w:pPr>
              <w:pStyle w:val="Compact"/>
            </w:pPr>
            <w:r>
              <w:t xml:space="preserve">Trapezoidal MF</w:t>
            </w:r>
          </w:p>
        </w:tc>
      </w:tr>
    </w:tbl>
    <w:bookmarkEnd w:id="65"/>
    <w:bookmarkStart w:id="70" w:name="output-variables"/>
    <w:p>
      <w:pPr>
        <w:pStyle w:val="Heading2"/>
      </w:pPr>
      <w:r>
        <w:t xml:space="preserve">Output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Fuzzy Audiometric Index (FAI)</w:t>
      </w:r>
      <w:r>
        <w:t xml:space="preserve"> </w:t>
      </w:r>
      <w:r>
        <w:t xml:space="preserve">— Continuous score 0–100 per ear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 vector</w:t>
      </w:r>
      <w:r>
        <w:t xml:space="preserve"> </w:t>
      </w:r>
      <w:r>
        <w:t xml:space="preserve">— Membership degrees to 6 canonical shapes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Asymmetry index</w:t>
      </w:r>
      <w:r>
        <w:t xml:space="preserve"> </w:t>
      </w:r>
      <w:r>
        <w:t xml:space="preserve">— Continuous score 0–100 for inter-aural difference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Linguistic summary</w:t>
      </w:r>
      <w:r>
        <w:t xml:space="preserve"> </w:t>
      </w:r>
      <w:r>
        <w:t xml:space="preserve">— Interpretable text with certainty level</w:t>
      </w:r>
    </w:p>
    <w:p>
      <w:pPr>
        <w:pStyle w:val="FirstParagraph"/>
      </w:pPr>
      <w:r>
        <w:rPr>
          <w:b/>
          <w:bCs/>
        </w:rPr>
        <w:t xml:space="preserve">Composite FAI weighting:</w:t>
      </w:r>
      <w:r>
        <w:t xml:space="preserve"> </w:t>
      </w:r>
      <w:r>
        <w:t xml:space="preserve">- Speech frequencies (500 Hz–4 kHz): weight ×1.5</w:t>
      </w:r>
      <w:r>
        <w:t xml:space="preserve"> </w:t>
      </w:r>
      <w:r>
        <w:t xml:space="preserve">- Extended high frequencies (6–8 kHz): weight ×0.75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fis-arch"/>
          <w:p>
            <w:pPr>
              <w:pStyle w:val="Compact"/>
              <w:jc w:val="center"/>
            </w:pPr>
            <w:r>
              <w:drawing>
                <wp:inline>
                  <wp:extent cx="5334000" cy="264200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igures/fig2_fis_architectur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420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FIS architecture schematic</w:t>
            </w:r>
          </w:p>
          <w:bookmarkEnd w:id="69"/>
        </w:tc>
      </w:tr>
    </w:tbl>
    <w:bookmarkEnd w:id="70"/>
    <w:bookmarkStart w:id="71" w:name="mathematical-framework"/>
    <w:p>
      <w:pPr>
        <w:pStyle w:val="Heading2"/>
      </w:pPr>
      <w:r>
        <w:t xml:space="preserve">Mathematical Framework</w:t>
      </w:r>
    </w:p>
    <w:p>
      <w:pPr>
        <w:pStyle w:val="FirstParagraph"/>
      </w:pPr>
      <w:r>
        <w:t xml:space="preserve">For each trapezoidal membership function parameterised by (a, b, c, d):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b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Rule firing strength: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μ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sub>
                </m:sSub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b>
                </m:sSub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7</m:t>
                    </m:r>
                  </m:sub>
                </m:sSub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Defuzzification (FAI):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μ</m:t>
                </m:r>
              </m:e>
              <m:sub>
                <m:r>
                  <m:rPr>
                    <m:nor/>
                    <m:sty m:val="p"/>
                  </m:rPr>
                  <m:t>agg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num>
          <m:den>
            <m:r>
              <m:rPr>
                <m:sty m:val="p"/>
              </m:rPr>
              <m:t>∑</m:t>
            </m:r>
            <m:sSub>
              <m:e>
                <m:r>
                  <m:t>μ</m:t>
                </m:r>
              </m:e>
              <m:sub>
                <m:r>
                  <m:rPr>
                    <m:nor/>
                    <m:sty m:val="p"/>
                  </m:rPr>
                  <m:t>agg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den>
        </m:f>
      </m:oMath>
    </w:p>
    <w:bookmarkEnd w:id="71"/>
    <w:bookmarkEnd w:id="72"/>
    <w:bookmarkStart w:id="85" w:name="classification-performance"/>
    <w:p>
      <w:pPr>
        <w:pStyle w:val="Heading1"/>
      </w:pPr>
      <w:r>
        <w:t xml:space="preserve">Classification Performance</w:t>
      </w:r>
    </w:p>
    <w:bookmarkStart w:id="73" w:name="primary-results-held-out-test-set-n-1029"/>
    <w:p>
      <w:pPr>
        <w:pStyle w:val="Heading2"/>
      </w:pPr>
      <w:r>
        <w:t xml:space="preserve">Primary Results (Held-Out Test Set, n = 1,029)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FAI (Fuzzy)</w:t>
            </w:r>
          </w:p>
        </w:tc>
        <w:tc>
          <w:tcPr/>
          <w:p>
            <w:pPr>
              <w:pStyle w:val="Compact"/>
            </w:pPr>
            <w:r>
              <w:t xml:space="preserve">PTA-4 (WHO)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 κ vs. Reference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1.00*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Accuracy</w:t>
            </w:r>
          </w:p>
        </w:tc>
        <w:tc>
          <w:tcPr/>
          <w:p>
            <w:pPr>
              <w:pStyle w:val="Compact"/>
            </w:pPr>
            <w:r>
              <w:t xml:space="preserve">93.1%</w:t>
            </w:r>
          </w:p>
        </w:tc>
        <w:tc>
          <w:tcPr/>
          <w:p>
            <w:pPr>
              <w:pStyle w:val="Compact"/>
            </w:pPr>
            <w:r>
              <w:t xml:space="preserve">86.2%</w:t>
            </w:r>
          </w:p>
        </w:tc>
        <w:tc>
          <w:tcPr/>
          <w:p>
            <w:pPr>
              <w:pStyle w:val="Compact"/>
            </w:pPr>
            <w:r>
              <w:t xml:space="preserve">89.4%</w:t>
            </w:r>
          </w:p>
        </w:tc>
        <w:tc>
          <w:tcPr/>
          <w:p>
            <w:pPr>
              <w:pStyle w:val="Compact"/>
            </w:pPr>
            <w:r>
              <w:t xml:space="preserve">87.6%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Borderline Accuracy (±5 dB)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91.2%</w:t>
            </w:r>
          </w:p>
        </w:tc>
        <w:tc>
          <w:tcPr/>
          <w:p>
            <w:pPr>
              <w:pStyle w:val="Compact"/>
            </w:pPr>
            <w:r>
              <w:t xml:space="preserve">68.4%</w:t>
            </w:r>
          </w:p>
        </w:tc>
        <w:tc>
          <w:tcPr/>
          <w:p>
            <w:pPr>
              <w:pStyle w:val="Compact"/>
            </w:pPr>
            <w:r>
              <w:t xml:space="preserve">79.1%</w:t>
            </w:r>
          </w:p>
        </w:tc>
        <w:tc>
          <w:tcPr/>
          <w:p>
            <w:pPr>
              <w:pStyle w:val="Compact"/>
            </w:pPr>
            <w:r>
              <w:t xml:space="preserve">76.3%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Clear-case Accuracy</w:t>
            </w:r>
          </w:p>
        </w:tc>
        <w:tc>
          <w:tcPr/>
          <w:p>
            <w:pPr>
              <w:pStyle w:val="Compact"/>
            </w:pPr>
            <w:r>
              <w:t xml:space="preserve">94.3%</w:t>
            </w:r>
          </w:p>
        </w:tc>
        <w:tc>
          <w:tcPr/>
          <w:p>
            <w:pPr>
              <w:pStyle w:val="Compact"/>
            </w:pPr>
            <w:r>
              <w:t xml:space="preserve">100%*</w:t>
            </w:r>
          </w:p>
        </w:tc>
        <w:tc>
          <w:tcPr/>
          <w:p>
            <w:pPr>
              <w:pStyle w:val="Compact"/>
            </w:pPr>
            <w:r>
              <w:t xml:space="preserve">92.2%</w:t>
            </w:r>
          </w:p>
        </w:tc>
        <w:tc>
          <w:tcPr/>
          <w:p>
            <w:pPr>
              <w:pStyle w:val="Compact"/>
            </w:pPr>
            <w:r>
              <w:t xml:space="preserve">90.4%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vs. PTA-4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 vs. PTA-4 (dB)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0.0*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6.4</w:t>
            </w:r>
          </w:p>
        </w:tc>
      </w:tr>
    </w:tbl>
    <w:p>
      <w:pPr>
        <w:pStyle w:val="BodyText"/>
      </w:pPr>
      <w:r>
        <w:rPr>
          <w:i/>
          <w:iCs/>
        </w:rPr>
        <w:t xml:space="preserve">*PTA-4 is the reference standard; metrics reflect definitional agreement.</w:t>
      </w:r>
    </w:p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The FAI significantly outperformed PTA-4 classification in borderline cases (McNemar’s test,</w:t>
      </w:r>
      <w:r>
        <w:t xml:space="preserve"> </w:t>
      </w:r>
      <w:r>
        <w:rPr>
          <w:b/>
          <w:bCs/>
        </w:rPr>
        <w:t xml:space="preserve">p &lt; 0.01</w:t>
      </w:r>
      <w:r>
        <w:t xml:space="preserve">).</w:t>
      </w:r>
    </w:p>
    <w:bookmarkEnd w:id="73"/>
    <w:bookmarkStart w:id="78" w:name="bland-altman-agreement"/>
    <w:p>
      <w:pPr>
        <w:pStyle w:val="Heading2"/>
      </w:pPr>
      <w:r>
        <w:t xml:space="preserve">Bland-Altman Agreement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land-altman"/>
          <w:p>
            <w:pPr>
              <w:pStyle w:val="Compact"/>
              <w:jc w:val="center"/>
            </w:pPr>
            <w:r>
              <w:drawing>
                <wp:inline>
                  <wp:extent cx="5334000" cy="3978472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gures/fig3_bland_altman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78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Bland-Altman plot: FAI vs. PTA-4 reference</w:t>
            </w:r>
          </w:p>
          <w:bookmarkEnd w:id="77"/>
        </w:tc>
      </w:tr>
    </w:tbl>
    <w:bookmarkEnd w:id="78"/>
    <w:bookmarkStart w:id="79" w:name="the-2526-db-boundary"/>
    <w:p>
      <w:pPr>
        <w:pStyle w:val="Heading2"/>
      </w:pPr>
      <w:r>
        <w:t xml:space="preserve">The 25/26 dB Boundary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PTA-4</w:t>
            </w:r>
          </w:p>
        </w:tc>
        <w:tc>
          <w:tcPr/>
          <w:p>
            <w:pPr>
              <w:pStyle w:val="Compact"/>
            </w:pPr>
            <w:r>
              <w:t xml:space="preserve">Crisp Label</w:t>
            </w:r>
          </w:p>
        </w:tc>
        <w:tc>
          <w:tcPr/>
          <w:p>
            <w:pPr>
              <w:pStyle w:val="Compact"/>
            </w:pPr>
            <w:r>
              <w:t xml:space="preserve">Fuzzy Label</w:t>
            </w:r>
          </w:p>
        </w:tc>
        <w:tc>
          <w:tcPr/>
          <w:p>
            <w:pPr>
              <w:pStyle w:val="Compact"/>
            </w:pPr>
            <w:r>
              <w:t xml:space="preserve">FAI Score</w:t>
            </w:r>
          </w:p>
        </w:tc>
        <w:tc>
          <w:tcPr/>
          <w:p>
            <w:pPr>
              <w:pStyle w:val="Compact"/>
            </w:pPr>
            <w:r>
              <w:t xml:space="preserve">Normal μ</w:t>
            </w:r>
          </w:p>
        </w:tc>
        <w:tc>
          <w:tcPr/>
          <w:p>
            <w:pPr>
              <w:pStyle w:val="Compact"/>
            </w:pPr>
            <w:r>
              <w:t xml:space="preserve">Mild 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dB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dB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23.1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 dB</w:t>
            </w:r>
          </w:p>
        </w:tc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24.6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dB</w:t>
            </w:r>
          </w:p>
        </w:tc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A patient with PTA of 24 dB is simultaneously 60% normal and 67% mild</w:t>
      </w:r>
      <w:r>
        <w:t xml:space="preserve"> </w:t>
      </w:r>
      <w:r>
        <w:t xml:space="preserve">— the fuzzy system reveals the inherent ambiguity that the crisp binary label obscures.</w:t>
      </w:r>
    </w:p>
    <w:bookmarkEnd w:id="79"/>
    <w:bookmarkStart w:id="84" w:name="borderline-analysis"/>
    <w:p>
      <w:pPr>
        <w:pStyle w:val="Heading2"/>
      </w:pPr>
      <w:r>
        <w:t xml:space="preserve">Borderline Analysis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borderline"/>
          <w:p>
            <w:pPr>
              <w:pStyle w:val="Compact"/>
              <w:jc w:val="center"/>
            </w:pPr>
            <w:r>
              <w:drawing>
                <wp:inline>
                  <wp:extent cx="5334000" cy="33007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figures/fig5_borderline_analysis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00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Classification accuracy vs. distance from WHO boundary</w:t>
            </w:r>
          </w:p>
          <w:bookmarkEnd w:id="83"/>
        </w:tc>
      </w:tr>
    </w:tbl>
    <w:p>
      <w:pPr>
        <w:pStyle w:val="BodyText"/>
      </w:pPr>
      <w:r>
        <w:t xml:space="preserve">FAI maintains</w:t>
      </w:r>
      <w:r>
        <w:t xml:space="preserve"> </w:t>
      </w:r>
      <w:r>
        <w:rPr>
          <w:b/>
          <w:bCs/>
        </w:rPr>
        <w:t xml:space="preserve">&gt;88% accuracy</w:t>
      </w:r>
      <w:r>
        <w:t xml:space="preserve"> </w:t>
      </w:r>
      <w:r>
        <w:t xml:space="preserve">at all distances from the boundary, while PTA-4 accuracy drops to</w:t>
      </w:r>
      <w:r>
        <w:t xml:space="preserve"> </w:t>
      </w:r>
      <w:r>
        <w:rPr>
          <w:b/>
          <w:bCs/>
        </w:rPr>
        <w:t xml:space="preserve">61% within ±3 dB</w:t>
      </w:r>
      <w:r>
        <w:t xml:space="preserve"> </w:t>
      </w:r>
      <w:r>
        <w:t xml:space="preserve">of a severity boundary.</w:t>
      </w:r>
    </w:p>
    <w:bookmarkEnd w:id="84"/>
    <w:bookmarkEnd w:id="85"/>
    <w:bookmarkStart w:id="90" w:name="clinical-case-studies"/>
    <w:p>
      <w:pPr>
        <w:pStyle w:val="Heading1"/>
      </w:pPr>
      <w:r>
        <w:t xml:space="preserve">Clinical Case Studies</w:t>
      </w:r>
    </w:p>
    <w:p>
      <w:pPr>
        <w:pStyle w:val="FirstParagraph"/>
      </w:pPr>
      <w:r>
        <w:t xml:space="preserve">Four representative cases drawn from NHANES data illustrate the clinical utility of the fuzzy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3"/>
        <w:gridCol w:w="972"/>
        <w:gridCol w:w="1528"/>
        <w:gridCol w:w="694"/>
        <w:gridCol w:w="2084"/>
        <w:gridCol w:w="18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PTA-4</w:t>
            </w:r>
          </w:p>
        </w:tc>
        <w:tc>
          <w:tcPr/>
          <w:p>
            <w:pPr>
              <w:pStyle w:val="Compact"/>
            </w:pPr>
            <w:r>
              <w:t xml:space="preserve">WHO Grade</w:t>
            </w:r>
          </w:p>
        </w:tc>
        <w:tc>
          <w:tcPr/>
          <w:p>
            <w:pPr>
              <w:pStyle w:val="Compact"/>
            </w:pPr>
            <w:r>
              <w:t xml:space="preserve">FAI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Key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(Textile worker, 58y)</w:t>
            </w:r>
          </w:p>
        </w:tc>
        <w:tc>
          <w:tcPr/>
          <w:p>
            <w:pPr>
              <w:pStyle w:val="Compact"/>
            </w:pPr>
            <w:r>
              <w:t xml:space="preserve">27.5 dB</w:t>
            </w:r>
          </w:p>
        </w:tc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  <w:r>
              <w:t xml:space="preserve">Flat/gentle slope</w:t>
            </w:r>
          </w:p>
        </w:tc>
        <w:tc>
          <w:tcPr/>
          <w:p>
            <w:pPr>
              <w:pStyle w:val="Compact"/>
            </w:pPr>
            <w:r>
              <w:t xml:space="preserve">Borderline membership (Normal 0.25, Mild 1.00)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(Military officer, 34y)</w:t>
            </w:r>
          </w:p>
        </w:tc>
        <w:tc>
          <w:tcPr/>
          <w:p>
            <w:pPr>
              <w:pStyle w:val="Compact"/>
            </w:pPr>
            <w:r>
              <w:t xml:space="preserve">23.0 dB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19.5</w:t>
            </w:r>
          </w:p>
        </w:tc>
        <w:tc>
          <w:tcPr/>
          <w:p>
            <w:pPr>
              <w:pStyle w:val="Compact"/>
            </w:pPr>
            <w:r>
              <w:t xml:space="preserve">Notched (78%)</w:t>
            </w:r>
          </w:p>
        </w:tc>
        <w:tc>
          <w:tcPr/>
          <w:p>
            <w:pPr>
              <w:pStyle w:val="Compact"/>
            </w:pPr>
            <w:r>
              <w:t xml:space="preserve">25 dB notch at 4 kHz masked by PTA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(Retired teacher, 70y)</w:t>
            </w:r>
          </w:p>
        </w:tc>
        <w:tc>
          <w:tcPr/>
          <w:p>
            <w:pPr>
              <w:pStyle w:val="Compact"/>
            </w:pPr>
            <w:r>
              <w:t xml:space="preserve">33.8 dB</w:t>
            </w:r>
          </w:p>
        </w:tc>
        <w:tc>
          <w:tcPr/>
          <w:p>
            <w:pPr>
              <w:pStyle w:val="Compact"/>
            </w:pPr>
            <w:r>
              <w:t xml:space="preserve">Mild</w:t>
            </w:r>
          </w:p>
        </w:tc>
        <w:tc>
          <w:tcPr/>
          <w:p>
            <w:pPr>
              <w:pStyle w:val="Compact"/>
            </w:pPr>
            <w:r>
              <w:t xml:space="preserve">30.0</w:t>
            </w:r>
          </w:p>
        </w:tc>
        <w:tc>
          <w:tcPr/>
          <w:p>
            <w:pPr>
              <w:pStyle w:val="Compact"/>
            </w:pPr>
            <w:r>
              <w:t xml:space="preserve">Sloping</w:t>
            </w:r>
          </w:p>
        </w:tc>
        <w:tc>
          <w:tcPr/>
          <w:p>
            <w:pPr>
              <w:pStyle w:val="Compact"/>
            </w:pPr>
            <w:r>
              <w:t xml:space="preserve">Frequency-resolved severity preserved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(Retiree, 72y)</w:t>
            </w:r>
          </w:p>
        </w:tc>
        <w:tc>
          <w:tcPr/>
          <w:p>
            <w:pPr>
              <w:pStyle w:val="Compact"/>
            </w:pPr>
            <w:r>
              <w:t xml:space="preserve">53.8/28.8 dB</w:t>
            </w:r>
          </w:p>
        </w:tc>
        <w:tc>
          <w:tcPr/>
          <w:p>
            <w:pPr>
              <w:pStyle w:val="Compact"/>
            </w:pPr>
            <w:r>
              <w:t xml:space="preserve">Mod/Mild</w:t>
            </w:r>
          </w:p>
        </w:tc>
        <w:tc>
          <w:tcPr/>
          <w:p>
            <w:pPr>
              <w:pStyle w:val="Compact"/>
            </w:pPr>
            <w:r>
              <w:t xml:space="preserve">42.2 composite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  <w:tc>
          <w:tcPr/>
          <w:p>
            <w:pPr>
              <w:pStyle w:val="Compact"/>
            </w:pPr>
            <w:r>
              <w:t xml:space="preserve">Asymmetry index 30 dB; inter-aural modulation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A</w:t>
      </w:r>
      <w:r>
        <w:t xml:space="preserve"> </w:t>
      </w:r>
      <w:r>
        <w:t xml:space="preserve">— PTA-4 of 27.5 dB is classified as</w:t>
      </w:r>
      <w:r>
        <w:t xml:space="preserve"> </w:t>
      </w:r>
      <w:r>
        <w:t xml:space="preserve">“Mild”</w:t>
      </w:r>
      <w:r>
        <w:t xml:space="preserve"> </w:t>
      </w:r>
      <w:r>
        <w:t xml:space="preserve">by WHO criteria, but the FIS returns graded membership (Normal μ = 0.25), appropriately reflecting the borderline status.</w:t>
      </w:r>
    </w:p>
    <w:p>
      <w:pPr>
        <w:pStyle w:val="BodyText"/>
      </w:pPr>
      <w:r>
        <w:rPr>
          <w:b/>
          <w:bCs/>
        </w:rPr>
        <w:t xml:space="preserve">Case B</w:t>
      </w:r>
      <w:r>
        <w:t xml:space="preserve"> </w:t>
      </w:r>
      <w:r>
        <w:t xml:space="preserve">— Normal PTA (23.0 dB) masks a 25 dB notch at 4 kHz. The fuzzy system identifies the audiogram as</w:t>
      </w:r>
      <w:r>
        <w:t xml:space="preserve"> </w:t>
      </w:r>
      <w:r>
        <w:rPr>
          <w:b/>
          <w:bCs/>
        </w:rPr>
        <w:t xml:space="preserve">78% notched</w:t>
      </w:r>
      <w:r>
        <w:t xml:space="preserve"> </w:t>
      </w:r>
      <w:r>
        <w:t xml:space="preserve">— capturing the noise-induced pattern that conventional classification misses entirely.</w:t>
      </w:r>
    </w:p>
    <w:p>
      <w:pPr>
        <w:pStyle w:val="BodyText"/>
      </w:pPr>
      <w:r>
        <w:rPr>
          <w:b/>
          <w:bCs/>
        </w:rPr>
        <w:t xml:space="preserve">Case C</w:t>
      </w:r>
      <w:r>
        <w:t xml:space="preserve"> </w:t>
      </w:r>
      <w:r>
        <w:t xml:space="preserve">— Classical presbycusis pattern. The FIS correctly grades the loss as mild overall while preserving the frequency-specific gradient across the audiometric range.</w:t>
      </w:r>
    </w:p>
    <w:p>
      <w:pPr>
        <w:pStyle w:val="BodyText"/>
      </w:pPr>
      <w:r>
        <w:rPr>
          <w:b/>
          <w:bCs/>
        </w:rPr>
        <w:t xml:space="preserve">Case D</w:t>
      </w:r>
      <w:r>
        <w:t xml:space="preserve"> </w:t>
      </w:r>
      <w:r>
        <w:t xml:space="preserve">— Asymmetric loss with right-ear PTA of 53.8 dB (Moderate) and left-ear of 28.8 dB (Mild). The asymmetry index of 30.0 dB places the presentation in the</w:t>
      </w:r>
      <w:r>
        <w:t xml:space="preserve"> </w:t>
      </w:r>
      <w:r>
        <w:rPr>
          <w:i/>
          <w:iCs/>
        </w:rPr>
        <w:t xml:space="preserve">Moderately Asymmetric</w:t>
      </w:r>
      <w:r>
        <w:t xml:space="preserve"> </w:t>
      </w:r>
      <w:r>
        <w:t xml:space="preserve">category.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cases"/>
          <w:p>
            <w:pPr>
              <w:pStyle w:val="Compact"/>
              <w:jc w:val="center"/>
            </w:pPr>
            <w:r>
              <w:drawing>
                <wp:inline>
                  <wp:extent cx="5334000" cy="4673819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igures/fig4_clinical_cases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738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Clinical case studies — four representative audiograms</w:t>
            </w:r>
          </w:p>
          <w:bookmarkEnd w:id="89"/>
        </w:tc>
      </w:tr>
    </w:tbl>
    <w:bookmarkEnd w:id="90"/>
    <w:bookmarkStart w:id="95" w:name="configuration-classification"/>
    <w:p>
      <w:pPr>
        <w:pStyle w:val="Heading1"/>
      </w:pPr>
      <w:r>
        <w:t xml:space="preserve">Configuration Classification</w:t>
      </w:r>
    </w:p>
    <w:p>
      <w:pPr>
        <w:pStyle w:val="FirstParagraph"/>
      </w:pPr>
      <w:r>
        <w:rPr>
          <w:b/>
          <w:bCs/>
        </w:rPr>
        <w:t xml:space="preserve">Overall agreement: 89.4%</w:t>
      </w:r>
      <w:r>
        <w:t xml:space="preserve"> </w:t>
      </w:r>
      <w:r>
        <w:t xml:space="preserve">(κ = 0.86) against NHANES-derived configuration labels.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Sloping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Steeply Sloping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Notched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Precipitous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Rising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Configuration distribution</w:t>
      </w:r>
      <w:r>
        <w:t xml:space="preserve"> </w:t>
      </w:r>
      <w:r>
        <w:t xml:space="preserve">in the NHANES cohort: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confusion"/>
          <w:p>
            <w:pPr>
              <w:pStyle w:val="Compact"/>
              <w:jc w:val="center"/>
            </w:pPr>
            <w:r>
              <w:drawing>
                <wp:inline>
                  <wp:extent cx="5334000" cy="454299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figures/fig6_confusion_matrix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429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Configuration classification confusion matrix</w:t>
            </w:r>
          </w:p>
          <w:bookmarkEnd w:id="94"/>
        </w:tc>
      </w:tr>
    </w:tbl>
    <w:bookmarkEnd w:id="95"/>
    <w:bookmarkStart w:id="100" w:name="temporal-tracking"/>
    <w:p>
      <w:pPr>
        <w:pStyle w:val="Heading1"/>
      </w:pPr>
      <w:r>
        <w:t xml:space="preserve">Temporal Tracking</w:t>
      </w:r>
    </w:p>
    <w:p>
      <w:pPr>
        <w:pStyle w:val="FirstParagraph"/>
      </w:pPr>
      <w:r>
        <w:t xml:space="preserve">In the 120-participant longitudinal sub-cohort (4–8 year follow-up):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65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FAI</w:t>
            </w:r>
          </w:p>
        </w:tc>
        <w:tc>
          <w:tcPr/>
          <w:p>
            <w:pPr>
              <w:pStyle w:val="Compact"/>
            </w:pPr>
            <w:r>
              <w:t xml:space="preserve">PTA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annual change</w:t>
            </w:r>
          </w:p>
        </w:tc>
        <w:tc>
          <w:tcPr/>
          <w:p>
            <w:pPr>
              <w:pStyle w:val="Compact"/>
            </w:pPr>
            <w:r>
              <w:t xml:space="preserve">+1.7/year</w:t>
            </w:r>
          </w:p>
        </w:tc>
        <w:tc>
          <w:tcPr/>
          <w:p>
            <w:pPr>
              <w:pStyle w:val="Compact"/>
            </w:pPr>
            <w:r>
              <w:t xml:space="preserve">1 category / 4.2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Sub-threshold progression (&gt;5 pts without grade change)</w:t>
            </w:r>
          </w:p>
        </w:tc>
        <w:tc>
          <w:tcPr/>
          <w:p>
            <w:pPr>
              <w:pStyle w:val="Compact"/>
            </w:pPr>
            <w:r>
              <w:t xml:space="preserve">28% of participants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Trajectory type</w:t>
            </w:r>
          </w:p>
        </w:tc>
        <w:tc>
          <w:tcPr/>
          <w:p>
            <w:pPr>
              <w:pStyle w:val="Compact"/>
            </w:pPr>
            <w:r>
              <w:t xml:space="preserve">Smooth, continuous</w:t>
            </w:r>
          </w:p>
        </w:tc>
        <w:tc>
          <w:tcPr/>
          <w:p>
            <w:pPr>
              <w:pStyle w:val="Compact"/>
            </w:pPr>
            <w:r>
              <w:t xml:space="preserve">Stepwise, discrete</w:t>
            </w:r>
          </w:p>
        </w:tc>
      </w:tr>
    </w:tbl>
    <w:p>
      <w:pPr>
        <w:pStyle w:val="BodyText"/>
      </w:pPr>
      <w:r>
        <w:rPr>
          <w:b/>
          <w:bCs/>
        </w:rPr>
        <w:t xml:space="preserve">Clinical significance:</w:t>
      </w:r>
      <w:r>
        <w:t xml:space="preserve"> </w:t>
      </w:r>
      <w:r>
        <w:t xml:space="preserve">Sub-threshold FAI changes of ≥5 points were detected in 28% of the longitudinal cohort without crossing a PTA boundary — representing early warning signals for ototoxicity, age-related progression, or noise-induced damage that conventional staging would miss.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longitudinal"/>
          <w:p>
            <w:pPr>
              <w:pStyle w:val="Compact"/>
              <w:jc w:val="center"/>
            </w:pPr>
            <w:r>
              <w:drawing>
                <wp:inline>
                  <wp:extent cx="5334000" cy="1727039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figures/fig7_longitudinal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270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Longitudinal FAI trajectories for three clinical scenarios</w:t>
            </w:r>
          </w:p>
          <w:bookmarkEnd w:id="99"/>
        </w:tc>
      </w:tr>
    </w:tbl>
    <w:bookmarkEnd w:id="100"/>
    <w:bookmarkStart w:id="101" w:name="comparison-with-conventional-methods"/>
    <w:p>
      <w:pPr>
        <w:pStyle w:val="Heading1"/>
      </w:pPr>
      <w:r>
        <w:t xml:space="preserve">Comparison with Conventional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2160"/>
        <w:gridCol w:w="234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PTA-4 (WHO)</w:t>
            </w:r>
          </w:p>
        </w:tc>
        <w:tc>
          <w:tcPr/>
          <w:p>
            <w:pPr>
              <w:pStyle w:val="Compact"/>
            </w:pPr>
            <w:r>
              <w:t xml:space="preserve">FAI (Fuzzy)</w:t>
            </w:r>
          </w:p>
        </w:tc>
        <w:tc>
          <w:tcPr/>
          <w:p>
            <w:pPr>
              <w:pStyle w:val="Compact"/>
            </w:pPr>
            <w:r>
              <w:t xml:space="preserve">Advantage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type</w:t>
            </w:r>
          </w:p>
        </w:tc>
        <w:tc>
          <w:tcPr/>
          <w:p>
            <w:pPr>
              <w:pStyle w:val="Compact"/>
            </w:pPr>
            <w:r>
              <w:t xml:space="preserve">Discrete label (6 grades)</w:t>
            </w:r>
          </w:p>
        </w:tc>
        <w:tc>
          <w:tcPr/>
          <w:p>
            <w:pPr>
              <w:pStyle w:val="Compact"/>
            </w:pPr>
            <w:r>
              <w:t xml:space="preserve">Continuous score (0–100)</w:t>
            </w:r>
          </w:p>
        </w:tc>
        <w:tc>
          <w:tcPr/>
          <w:p>
            <w:pPr>
              <w:pStyle w:val="Compact"/>
            </w:pPr>
            <w:r>
              <w:t xml:space="preserve">Graded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Borderline handling</w:t>
            </w:r>
          </w:p>
        </w:tc>
        <w:tc>
          <w:tcPr/>
          <w:p>
            <w:pPr>
              <w:pStyle w:val="Compact"/>
            </w:pPr>
            <w:r>
              <w:t xml:space="preserve">Forced binary</w:t>
            </w:r>
          </w:p>
        </w:tc>
        <w:tc>
          <w:tcPr/>
          <w:p>
            <w:pPr>
              <w:pStyle w:val="Compact"/>
            </w:pPr>
            <w:r>
              <w:t xml:space="preserve">Partial membership</w:t>
            </w:r>
          </w:p>
        </w:tc>
        <w:tc>
          <w:tcPr/>
          <w:p>
            <w:pPr>
              <w:pStyle w:val="Compact"/>
            </w:pPr>
            <w:r>
              <w:t xml:space="preserve">Clinically appropriate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resolution</w:t>
            </w:r>
          </w:p>
        </w:tc>
        <w:tc>
          <w:tcPr/>
          <w:p>
            <w:pPr>
              <w:pStyle w:val="Compact"/>
            </w:pPr>
            <w:r>
              <w:t xml:space="preserve">Collapsed to PTA</w:t>
            </w:r>
          </w:p>
        </w:tc>
        <w:tc>
          <w:tcPr/>
          <w:p>
            <w:pPr>
              <w:pStyle w:val="Compact"/>
            </w:pPr>
            <w:r>
              <w:t xml:space="preserve">Per-frequency independent</w:t>
            </w:r>
          </w:p>
        </w:tc>
        <w:tc>
          <w:tcPr/>
          <w:p>
            <w:pPr>
              <w:pStyle w:val="Compact"/>
            </w:pPr>
            <w:r>
              <w:t xml:space="preserve">Preserves audiogram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Not captured</w:t>
            </w:r>
          </w:p>
        </w:tc>
        <w:tc>
          <w:tcPr/>
          <w:p>
            <w:pPr>
              <w:pStyle w:val="Compact"/>
            </w:pPr>
            <w:r>
              <w:t xml:space="preserve">6-shape vector</w:t>
            </w:r>
          </w:p>
        </w:tc>
        <w:tc>
          <w:tcPr/>
          <w:p>
            <w:pPr>
              <w:pStyle w:val="Compact"/>
            </w:pPr>
            <w:r>
              <w:t xml:space="preserve">Richer phenotyping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Asymmetry</w:t>
            </w:r>
          </w:p>
        </w:tc>
        <w:tc>
          <w:tcPr/>
          <w:p>
            <w:pPr>
              <w:pStyle w:val="Compact"/>
            </w:pPr>
            <w:r>
              <w:t xml:space="preserve">Binary flag (if assessed)</w:t>
            </w:r>
          </w:p>
        </w:tc>
        <w:tc>
          <w:tcPr/>
          <w:p>
            <w:pPr>
              <w:pStyle w:val="Compact"/>
            </w:pPr>
            <w:r>
              <w:t xml:space="preserve">Continuous index</w:t>
            </w:r>
          </w:p>
        </w:tc>
        <w:tc>
          <w:tcPr/>
          <w:p>
            <w:pPr>
              <w:pStyle w:val="Compact"/>
            </w:pPr>
            <w:r>
              <w:t xml:space="preserve">Graded asymmetry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tracking</w:t>
            </w:r>
          </w:p>
        </w:tc>
        <w:tc>
          <w:tcPr/>
          <w:p>
            <w:pPr>
              <w:pStyle w:val="Compact"/>
            </w:pPr>
            <w:r>
              <w:t xml:space="preserve">Stepwise jumps</w:t>
            </w:r>
          </w:p>
        </w:tc>
        <w:tc>
          <w:tcPr/>
          <w:p>
            <w:pPr>
              <w:pStyle w:val="Compact"/>
            </w:pPr>
            <w:r>
              <w:t xml:space="preserve">Smooth trajectories</w:t>
            </w:r>
          </w:p>
        </w:tc>
        <w:tc>
          <w:tcPr/>
          <w:p>
            <w:pPr>
              <w:pStyle w:val="Compact"/>
            </w:pPr>
            <w:r>
              <w:t xml:space="preserve">Earlier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Interpretability</w:t>
            </w:r>
          </w:p>
        </w:tc>
        <w:tc>
          <w:tcPr/>
          <w:p>
            <w:pPr>
              <w:pStyle w:val="Compact"/>
            </w:pPr>
            <w:r>
              <w:t xml:space="preserve">Transparent (simple)</w:t>
            </w:r>
          </w:p>
        </w:tc>
        <w:tc>
          <w:tcPr/>
          <w:p>
            <w:pPr>
              <w:pStyle w:val="Compact"/>
            </w:pPr>
            <w:r>
              <w:t xml:space="preserve">Transparent (rule-based)</w:t>
            </w:r>
          </w:p>
        </w:tc>
        <w:tc>
          <w:tcPr/>
          <w:p>
            <w:pPr>
              <w:pStyle w:val="Compact"/>
            </w:pPr>
            <w:r>
              <w:t xml:space="preserve">Explainable AI compliant</w:t>
            </w:r>
          </w:p>
        </w:tc>
      </w:tr>
    </w:tbl>
    <w:bookmarkEnd w:id="101"/>
    <w:bookmarkStart w:id="106" w:name="implementation-details"/>
    <w:p>
      <w:pPr>
        <w:pStyle w:val="Heading1"/>
      </w:pPr>
      <w:r>
        <w:t xml:space="preserve">Implementation Details</w:t>
      </w:r>
    </w:p>
    <w:bookmarkStart w:id="102" w:name="software-stack"/>
    <w:p>
      <w:pPr>
        <w:pStyle w:val="Heading2"/>
      </w:pPr>
      <w:r>
        <w:t xml:space="preserve">Software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inference</w:t>
            </w:r>
          </w:p>
        </w:tc>
        <w:tc>
          <w:tcPr/>
          <w:p>
            <w:pPr>
              <w:pStyle w:val="Compact"/>
            </w:pPr>
            <w:r>
              <w:t xml:space="preserve">scikit-fuzzy</w:t>
            </w:r>
          </w:p>
        </w:tc>
        <w:tc>
          <w:tcPr/>
          <w:p>
            <w:pPr>
              <w:pStyle w:val="Compact"/>
            </w:pPr>
            <w:r>
              <w:t xml:space="preserve">0.5.0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comparators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testing</w:t>
            </w:r>
          </w:p>
        </w:tc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processing</w:t>
            </w:r>
          </w:p>
        </w:tc>
        <w:tc>
          <w:tcPr/>
          <w:p>
            <w:pPr>
              <w:pStyle w:val="Compact"/>
            </w:pPr>
            <w:r>
              <w:t xml:space="preserve">pandas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Visualization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</w:tbl>
    <w:bookmarkEnd w:id="102"/>
    <w:bookmarkStart w:id="103" w:name="package-structure"/>
    <w:p>
      <w:pPr>
        <w:pStyle w:val="Heading2"/>
      </w:pPr>
      <w:r>
        <w:t xml:space="preserve">Package Structure</w:t>
      </w:r>
    </w:p>
    <w:p>
      <w:pPr>
        <w:pStyle w:val="SourceCode"/>
      </w:pPr>
      <w:r>
        <w:rPr>
          <w:rStyle w:val="VerbatimChar"/>
        </w:rPr>
        <w:t xml:space="preserve">fuzzy-audiogram/</w:t>
      </w:r>
      <w:r>
        <w:br/>
      </w:r>
      <w:r>
        <w:rPr>
          <w:rStyle w:val="VerbatimChar"/>
        </w:rPr>
        <w:t xml:space="preserve">├── fuzzy_audiogram/</w:t>
      </w:r>
      <w:r>
        <w:br/>
      </w:r>
      <w:r>
        <w:rPr>
          <w:rStyle w:val="VerbatimChar"/>
        </w:rPr>
        <w:t xml:space="preserve">│   ├── core.py          # FIS builder, classification pipeline, feature extraction</w:t>
      </w:r>
      <w:r>
        <w:br/>
      </w:r>
      <w:r>
        <w:rPr>
          <w:rStyle w:val="VerbatimChar"/>
        </w:rPr>
        <w:t xml:space="preserve">│   ├── data.py          # NHANES data loading and cleaning</w:t>
      </w:r>
      <w:r>
        <w:br/>
      </w:r>
      <w:r>
        <w:rPr>
          <w:rStyle w:val="VerbatimChar"/>
        </w:rPr>
        <w:t xml:space="preserve">│   ├── rules.py         # 48 Mamdani-type fuzzy rules</w:t>
      </w:r>
      <w:r>
        <w:br/>
      </w:r>
      <w:r>
        <w:rPr>
          <w:rStyle w:val="VerbatimChar"/>
        </w:rPr>
        <w:t xml:space="preserve">│   ├── validate.py      # Crisp classification for comparison</w:t>
      </w:r>
      <w:r>
        <w:br/>
      </w:r>
      <w:r>
        <w:rPr>
          <w:rStyle w:val="VerbatimChar"/>
        </w:rPr>
        <w:t xml:space="preserve">│   ├── viz.py           # Visualization utilities</w:t>
      </w:r>
      <w:r>
        <w:br/>
      </w:r>
      <w:r>
        <w:rPr>
          <w:rStyle w:val="VerbatimChar"/>
        </w:rPr>
        <w:t xml:space="preserve">│   └── temporal.py      # Longitudinal tracking module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generate_figures.py   # All 7 manuscript figures</w:t>
      </w:r>
      <w:r>
        <w:br/>
      </w:r>
      <w:r>
        <w:rPr>
          <w:rStyle w:val="VerbatimChar"/>
        </w:rPr>
        <w:t xml:space="preserve">│   ├── nhanes_analysis.py    # Full NHANES classification pipeline</w:t>
      </w:r>
      <w:r>
        <w:br/>
      </w:r>
      <w:r>
        <w:rPr>
          <w:rStyle w:val="VerbatimChar"/>
        </w:rPr>
        <w:t xml:space="preserve">│   ├── optimize_mfs.py       # MF parameter optimization</w:t>
      </w:r>
      <w:r>
        <w:br/>
      </w:r>
      <w:r>
        <w:rPr>
          <w:rStyle w:val="VerbatimChar"/>
        </w:rPr>
        <w:t xml:space="preserve">│   └── run_eda.py            # Comprehensive EDA</w:t>
      </w:r>
      <w:r>
        <w:br/>
      </w:r>
      <w:r>
        <w:rPr>
          <w:rStyle w:val="VerbatimChar"/>
        </w:rPr>
        <w:t xml:space="preserve">├── manuscript.qmd            # Manuscript source</w:t>
      </w:r>
      <w:r>
        <w:br/>
      </w:r>
      <w:r>
        <w:rPr>
          <w:rStyle w:val="VerbatimChar"/>
        </w:rPr>
        <w:t xml:space="preserve">├── comprehensive_report.qmd  # This report</w:t>
      </w:r>
      <w:r>
        <w:br/>
      </w:r>
      <w:r>
        <w:rPr>
          <w:rStyle w:val="VerbatimChar"/>
        </w:rPr>
        <w:t xml:space="preserve">└── references.bib            # Citation database</w:t>
      </w:r>
    </w:p>
    <w:bookmarkEnd w:id="103"/>
    <w:bookmarkStart w:id="105" w:name="source-code"/>
    <w:p>
      <w:pPr>
        <w:pStyle w:val="Heading2"/>
      </w:pPr>
      <w:r>
        <w:t xml:space="preserve">Source Code</w:t>
      </w:r>
    </w:p>
    <w:p>
      <w:pPr>
        <w:pStyle w:val="FirstParagraph"/>
      </w:pPr>
      <w:r>
        <w:t xml:space="preserve">Full source code:</w:t>
      </w:r>
      <w:r>
        <w:t xml:space="preserve"> </w:t>
      </w:r>
      <w:hyperlink r:id="rId104">
        <w:r>
          <w:rPr>
            <w:rStyle w:val="Hyperlink"/>
            <w:b/>
            <w:bCs/>
          </w:rPr>
          <w:t xml:space="preserve">https://github.com/ameye/fuzzy-audiogram</w:t>
        </w:r>
      </w:hyperlink>
    </w:p>
    <w:bookmarkEnd w:id="105"/>
    <w:bookmarkEnd w:id="106"/>
    <w:bookmarkStart w:id="107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Air-conduction only</w:t>
      </w:r>
      <w:r>
        <w:t xml:space="preserve"> </w:t>
      </w:r>
      <w:r>
        <w:t xml:space="preserve">— Detection of mixed versus sensorineural loss requires bone-conduction inputs as separate fuzzy variables (future iteration).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Rule base scope</w:t>
      </w:r>
      <w:r>
        <w:t xml:space="preserve"> </w:t>
      </w:r>
      <w:r>
        <w:t xml:space="preserve">— While derived from audiology expertise, the 48-rule base has not undergone formal Delphi consensus by a large panel of clinical experts.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NHANES composition</w:t>
      </w:r>
      <w:r>
        <w:t xml:space="preserve"> </w:t>
      </w:r>
      <w:r>
        <w:t xml:space="preserve">— Population-based data predominantly reflects mild-to-moderate age-related hearing loss and may underrepresent certain configurations (Menière’s disease, otosclerosis, sudden SNHL).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Frequency range</w:t>
      </w:r>
      <w:r>
        <w:t xml:space="preserve"> </w:t>
      </w:r>
      <w:r>
        <w:t xml:space="preserve">— Extended high-frequency audiometry (10–16 kHz), important for ototoxicity monitoring, is not covered.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Reference standard</w:t>
      </w:r>
      <w:r>
        <w:t xml:space="preserve"> </w:t>
      </w:r>
      <w:r>
        <w:t xml:space="preserve">— Validation against WHO PTA-4 classification inherits the same boundary problem the fuzzy system seeks to address.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Clinical outcome prediction</w:t>
      </w:r>
      <w:r>
        <w:t xml:space="preserve"> </w:t>
      </w:r>
      <w:r>
        <w:t xml:space="preserve">— Utility for hearing aid outcomes, patient-reported benefit, or surgical candidacy not yet assessed.</w:t>
      </w:r>
    </w:p>
    <w:bookmarkEnd w:id="107"/>
    <w:bookmarkStart w:id="10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Fuzzy Audiometric Index (FAI) provides a</w:t>
      </w:r>
      <w:r>
        <w:t xml:space="preserve"> </w:t>
      </w:r>
      <w:r>
        <w:rPr>
          <w:b/>
          <w:bCs/>
        </w:rPr>
        <w:t xml:space="preserve">continuous, frequency-resolved, interpretable classification</w:t>
      </w:r>
      <w:r>
        <w:t xml:space="preserve"> </w:t>
      </w:r>
      <w:r>
        <w:t xml:space="preserve">of hearing loss that preserves the gradation lost to crisp PTA thresholds. Validated on a held-out NHANES test set (n = 1,029 ears), the system demonstrates: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κ = 0.89</w:t>
      </w:r>
      <w:r>
        <w:t xml:space="preserve"> </w:t>
      </w:r>
      <w:r>
        <w:t xml:space="preserve">agreement with WHO PTA-4 classification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91.2% borderline accuracy</w:t>
      </w:r>
      <w:r>
        <w:t xml:space="preserve"> </w:t>
      </w:r>
      <w:r>
        <w:t xml:space="preserve">vs. 68.4% for PTA-4 (p &lt; 0.01)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89.4% configuration classification</w:t>
      </w:r>
      <w:r>
        <w:t xml:space="preserve"> </w:t>
      </w:r>
      <w:r>
        <w:t xml:space="preserve">accuracy (6 canonical shapes)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Sub-threshold progression detection</w:t>
      </w:r>
      <w:r>
        <w:t xml:space="preserve"> </w:t>
      </w:r>
      <w:r>
        <w:t xml:space="preserve">in 28% of longitudinal cases</w:t>
      </w:r>
    </w:p>
    <w:p>
      <w:pPr>
        <w:pStyle w:val="FirstParagraph"/>
      </w:pPr>
      <w:r>
        <w:t xml:space="preserve">As audiology moves toward personalised, data-driven care, fuzzy logic offers a</w:t>
      </w:r>
      <w:r>
        <w:t xml:space="preserve"> </w:t>
      </w:r>
      <w:r>
        <w:rPr>
          <w:b/>
          <w:bCs/>
        </w:rPr>
        <w:t xml:space="preserve">mathematically principled yet clinically transparent framework</w:t>
      </w:r>
      <w:r>
        <w:t xml:space="preserve"> </w:t>
      </w:r>
      <w:r>
        <w:t xml:space="preserve">for preserving the inherent continuity of auditory function.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Report generated July 2026. All analyses conducted by Dr Sanyaolu Ameye, King Fahad Specialist Hospital, Tabuk, Saudi Arabia.</w:t>
      </w:r>
    </w:p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86" Target="media/rId86.png" /><Relationship Type="http://schemas.openxmlformats.org/officeDocument/2006/relationships/image" Id="rId80" Target="media/rId80.png" /><Relationship Type="http://schemas.openxmlformats.org/officeDocument/2006/relationships/image" Id="rId91" Target="media/rId91.png" /><Relationship Type="http://schemas.openxmlformats.org/officeDocument/2006/relationships/image" Id="rId96" Target="media/rId96.png" /><Relationship Type="http://schemas.openxmlformats.org/officeDocument/2006/relationships/image" Id="rId45" Target="media/rId45.png" /><Relationship Type="http://schemas.openxmlformats.org/officeDocument/2006/relationships/image" Id="rId40" Target="media/rId40.png" /><Relationship Type="http://schemas.openxmlformats.org/officeDocument/2006/relationships/image" Id="rId35" Target="media/rId35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hyperlink" Id="rId104" Target="https://github.com/ameye/fuzzy-audiogra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github.com/ameye/fuzzy-audiogra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Fuzzy Audiogram — Comprehensive Technical Report</dc:title>
  <dc:creator>Dr Sanyaolu Ameye</dc:creator>
  <cp:keywords/>
  <dcterms:created xsi:type="dcterms:W3CDTF">2026-07-26T17:35:26Z</dcterms:created>
  <dcterms:modified xsi:type="dcterms:W3CDTF">2026-07-26T17:35:26Z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date">
    <vt:lpwstr>2026-07-01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NHANES-Based Development and Validation of a Fuzzy Inference System for Sensorineural Hearing Loss Classification</vt:lpwstr>
  </property>
  <property fmtid="{D5CDD505-2E9C-101B-9397-08002B2CF9AE}" pid="14" name="toc-title">
    <vt:lpwstr>Table of contents</vt:lpwstr>
  </property>
</Properties>
</file>