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27.png" ContentType="image/png"/>
  <Override PartName="/word/media/rId33.png" ContentType="image/png"/>
  <Override PartName="/word/media/rId4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three National Health and Nutrition Examination Survey (NHANES) cycles that tested adults aged 20–69 y (1999–2000, 2011–2012, 2015–2016; n = 10,889 participants), split by participant into training (80%, n = 15,656 ears from 7,866 participants) and held-out test (20%, n = 3,912 ears from 1,966 participants).</w:t>
      </w:r>
    </w:p>
    <w:p>
      <w:pPr>
        <w:pStyle w:val="Abstract"/>
      </w:pPr>
      <w:r>
        <w:rPr>
          <w:b/>
          <w:bCs/>
        </w:rPr>
        <w:t xml:space="preserve">Results:</w:t>
      </w:r>
      <w:r>
        <w:t xml:space="preserve"> </w:t>
      </w:r>
      <w:r>
        <w:t xml:space="preserve">FAI showed substantial agreement with WHO PTA-4 classification (weighted κ = 0.93). Agreement was 98.1% in clear cases, where crisp classification is uncontroversial; in borderline cases within ±5 dB of a severity boundary — 18.7% of test ears — the system returned graded membership rather than a forced binary label (79.8% agreement with the crisp grade, reflecting the designed reclassification of ambiguous thresholds). At the normal–mild transition, membership grades continuously (e.g., 26 dB: Normal μ = 0.16, Mild μ = 0.40)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3" w:name="introduction"/>
    <w:p>
      <w:pPr>
        <w:pStyle w:val="Heading1"/>
      </w:pPr>
      <w:r>
        <w:t xml:space="preserve">1. Introduction</w:t>
      </w:r>
    </w:p>
    <w:tbl>
      <w:tblPr>
        <w:tblStyle w:val="Table"/>
        <w:tblW w:type="pct" w:w="5000"/>
        <w:tblLayout w:type="fixed"/>
        <w:tblLook w:firstRow="0" w:lastRow="0" w:firstColumn="0" w:lastColumn="0" w:noHBand="0" w:noVBand="0" w:val="0000"/>
      </w:tblPr>
      <w:tblGrid>
        <w:gridCol w:w="7920"/>
      </w:tblGrid>
      <w:tr>
        <w:tc>
          <w:tcPr/>
          <w:bookmarkStart w:id="12" w:name="fig-1"/>
          <w:p>
            <w:pPr>
              <w:pStyle w:val="Compact"/>
              <w:jc w:val="center"/>
            </w:pPr>
            <w:r>
              <w:drawing>
                <wp:inline>
                  <wp:extent cx="4800600" cy="2640569"/>
                  <wp:effectExtent b="0" l="0" r="0" t="0"/>
                  <wp:docPr descr=""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640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Overlapping trapezoidal membership functions for six hearing loss severity categories. The population-optimised boundaries sit about 2 dB to the right of the classic WHO thresholds, with exactly 2.0 dB overlap at each transition.</w:t>
            </w:r>
          </w:p>
          <w:bookmarkEnd w:id="12"/>
        </w:tc>
      </w:tr>
    </w:tbl>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(Stuart et al. 1991)</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and early reports of fuzzy audiogram classifiers could not be confirmed in the indexed literature; we therefore focus the comparison on verified machine-learning approaches and general fuzzy methods. None of the published approaches integrate severity classification, configuration typing, asymmetry detection, and temporal tracking in one system, and none have been validated against population-level NHANES data with a proper participant-level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3"/>
    <w:bookmarkStart w:id="25" w:name="methods"/>
    <w:p>
      <w:pPr>
        <w:pStyle w:val="Heading1"/>
      </w:pPr>
      <w:r>
        <w:t xml:space="preserve">2. Methods</w:t>
      </w:r>
    </w:p>
    <w:bookmarkStart w:id="14"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at the participant level (all ears of a given participant stay together) into a training set (80%; n = 15,656 ears from 7,866 participants) and a held-out test set (20%; n = 3,912 ears from 1,966 participants). This avoids data leakage from bilateral correlation between the two ears of the same participant. All membership function optimisation, rule base development, and FAI-to-label threshold calibration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Role of artificial intelligence.</w:t>
      </w:r>
      <w:r>
        <w:t xml:space="preserve"> </w:t>
      </w:r>
      <w:r>
        <w:t xml:space="preserve">No AI or machine-learning tool generated the underlying data, selected the cohort, or computed any reported statistic. AI assistance was used for the literature search (queries reviewed and re-run by the author), for drafting and editing the manuscript text, and for writing portions of the analysis code (reviewed and validated by the author). The fuzzy inference system is a transparent, rule-based model with no learned parameters; its membership functions were fitted by the author’s own percentile-based optimisation script. All reported metrics were computed by the author’s analysis code on the publicly available NHANES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4"/>
    <w:bookmarkStart w:id="15"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11.2 dB HL at 500 Hz to 27.4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88.1% of ears had normal hearing (≤25 dB HL), 8.7% mild (26–40 dB), 2.2% moderate (41–55 dB), 0.6% moderately severe (56–70 dB), 0.3% severe (71–90 dB), and 0.1% profound loss (≥91 dB). About 18.2%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0.80),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(56.7%) and gently sloping (18.0%), followed by steeply sloping (8.8%), precipitous (3.5%), and rising (13.0%).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5.2 dB. About 5.1%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5"/>
    <w:bookmarkStart w:id="16"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35.7</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67.1</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83.6</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106.7</w:t>
            </w:r>
          </w:p>
        </w:tc>
        <w:tc>
          <w:tcPr/>
          <w:p>
            <w:pPr>
              <w:pStyle w:val="Compact"/>
            </w:pPr>
            <w:r>
              <w:t xml:space="preserve">120.0</w:t>
            </w:r>
          </w:p>
        </w:tc>
      </w:tr>
    </w:tbl>
    <w:p>
      <w:pPr>
        <w:pStyle w:val="BodyText"/>
      </w:pPr>
      <w:r>
        <w:t xml:space="preserve">Each category overlaps with its neighbours by exactly 2.0 dB at the classic WHO boundaries, which gives smooth transitions while keeping the fuzzy zone smaller than the ±5–10 dB test–retest variability of audiometry</w:t>
      </w:r>
      <w:r>
        <w:t xml:space="preserve"> </w:t>
      </w:r>
      <w:r>
        <w:t xml:space="preserve">(Stuart et al. 1991)</w:t>
      </w:r>
      <w:r>
        <w:t xml:space="preserve">. A threshold of 26 dB HL, for example, gives membership μ = 0.16 to</w:t>
      </w:r>
      <w:r>
        <w:t xml:space="preserve"> </w:t>
      </w:r>
      <w:r>
        <w:rPr>
          <w:i/>
          <w:iCs/>
        </w:rPr>
        <w:t xml:space="preserve">Normal</w:t>
      </w:r>
      <w:r>
        <w:t xml:space="preserve"> </w:t>
      </w:r>
      <w:r>
        <w:t xml:space="preserve">and μ = 0.40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6"/>
    <w:bookmarkStart w:id="17" w:name="fuzzy-inference-system"/>
    <w:p>
      <w:pPr>
        <w:pStyle w:val="Heading2"/>
      </w:pPr>
      <w:r>
        <w:t xml:space="preserve">2.4 Fuzzy Inference System</w:t>
      </w:r>
    </w:p>
    <w:p>
      <w:pPr>
        <w:pStyle w:val="FirstParagraph"/>
      </w:pPr>
      <w:r>
        <w:t xml:space="preserve">We built a Mamdani-type fuzzy inference system with 48 expert-derived rules organised into four groups; in single-ear validation the asymmetry-anchor rule (symmetric → normal) is omitted because the asymmetry input is identically zero for a single ear, leaving a 47-rule base:</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7"/>
    <w:bookmarkStart w:id="18"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8"/>
    <w:bookmarkStart w:id="24"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Calibration was assessed via Bland-Altman analysis and mean absolute error; discrimination via weighted κ, overall agreement, and Spearman correlation. Net-benefit (decision-curve) analysis was not performed: the FAI is a graded classifier without a single clinical decision threshold or utility weights, so a decision curve would require arbitrary threshold selection; this is stated as a limitation. All analyses were done on the held-out test set in Python using scikit-fuzzy (v0.5.0) for the FIS, scikit-learn (v1.4) for Random Forest, xgboost (v2.0) for gradient boosting, and SciPy (v1.12) for statistical testing. Source code is at</w:t>
      </w:r>
      <w:r>
        <w:t xml:space="preserve"> </w:t>
      </w:r>
      <w:hyperlink r:id="rId19">
        <w:r>
          <w:rPr>
            <w:rStyle w:val="Hyperlink"/>
          </w:rPr>
          <w:t xml:space="preserve">https://github.com/ameye/fuzzy-audiogram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2"/>
          <w:p>
            <w:pPr>
              <w:pStyle w:val="Compact"/>
              <w:jc w:val="center"/>
            </w:pPr>
            <w:r>
              <w:drawing>
                <wp:inline>
                  <wp:extent cx="5067300" cy="2509902"/>
                  <wp:effectExtent b="0" l="0" r="0" t="0"/>
                  <wp:docPr descr="" title="" id="21" name="Picture"/>
                  <a:graphic>
                    <a:graphicData uri="http://schemas.openxmlformats.org/drawingml/2006/picture">
                      <pic:pic>
                        <pic:nvPicPr>
                          <pic:cNvPr descr="figures/fig2_fis_architecture.png" id="22" name="Picture"/>
                          <pic:cNvPicPr>
                            <a:picLocks noChangeArrowheads="1" noChangeAspect="1"/>
                          </pic:cNvPicPr>
                        </pic:nvPicPr>
                        <pic:blipFill>
                          <a:blip r:embed="rId20"/>
                          <a:stretch>
                            <a:fillRect/>
                          </a:stretch>
                        </pic:blipFill>
                        <pic:spPr bwMode="auto">
                          <a:xfrm>
                            <a:off x="0" y="0"/>
                            <a:ext cx="5067300" cy="2509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Mamdani fuzzy inference system architecture. Frequency-specific thresholds → fuzzification (6 overlapping MFs) → 48-rule inference engine → centroid defuzzification → FAI, configuration vector, asymmetry index.</w:t>
            </w:r>
          </w:p>
          <w:bookmarkEnd w:id="23"/>
        </w:tc>
      </w:tr>
    </w:tbl>
    <w:bookmarkEnd w:id="24"/>
    <w:bookmarkEnd w:id="25"/>
    <w:bookmarkStart w:id="48" w:name="results"/>
    <w:p>
      <w:pPr>
        <w:pStyle w:val="Heading1"/>
      </w:pPr>
      <w:r>
        <w:t xml:space="preserve">3. Results</w:t>
      </w:r>
    </w:p>
    <w:bookmarkStart w:id="26"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at the participant level into training (n = 15,656 ears from 7,866 participants) and held-out test (n = 3,912 ears from 1,966 participants) sets. In the test set, PTA-4 values were right-skewed: 86.9% normal (≤25 dB HL), 9.2% mild (26–40 dB), 2.6% moderate (41–55 dB), 0.7% moderately severe (56–70 dB), 0.5% severe (71–90 dB), and 0.1% profound (≥91 dB).</w:t>
      </w:r>
    </w:p>
    <w:bookmarkEnd w:id="26"/>
    <w:bookmarkStart w:id="31" w:name="classification-accuracy"/>
    <w:p>
      <w:pPr>
        <w:pStyle w:val="Heading2"/>
      </w:pPr>
      <w:r>
        <w:t xml:space="preserve">3.2 Classification Accuracy</w:t>
      </w:r>
    </w:p>
    <w:p>
      <w:pPr>
        <w:pStyle w:val="FirstParagraph"/>
      </w:pPr>
      <w:r>
        <w:t xml:space="preserve">On the held-out test set, the FAI showed weighted Cohen’s κ = 0.93 against the WHO PTA-4 reference — substantial agreement.</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4800600" cy="2010337"/>
                  <wp:effectExtent b="0" l="0" r="0" t="0"/>
                  <wp:docPr descr="" title="" id="28" name="Picture"/>
                  <a:graphic>
                    <a:graphicData uri="http://schemas.openxmlformats.org/drawingml/2006/picture">
                      <pic:pic>
                        <pic:nvPicPr>
                          <pic:cNvPr descr="figures/fig3_fai_agreement.png" id="29" name="Picture"/>
                          <pic:cNvPicPr>
                            <a:picLocks noChangeArrowheads="1" noChangeAspect="1"/>
                          </pic:cNvPicPr>
                        </pic:nvPicPr>
                        <pic:blipFill>
                          <a:blip r:embed="rId27"/>
                          <a:stretch>
                            <a:fillRect/>
                          </a:stretch>
                        </pic:blipFill>
                        <pic:spPr bwMode="auto">
                          <a:xfrm>
                            <a:off x="0" y="0"/>
                            <a:ext cx="4800600" cy="201033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Bland-Altman plot showing agreement between FAI and PTA-4 reference on the held-out test set.</w:t>
            </w:r>
          </w:p>
          <w:bookmarkEnd w:id="30"/>
        </w:tc>
      </w:tr>
    </w:tbl>
    <w:p>
      <w:pPr>
        <w:pStyle w:val="BodyText"/>
      </w:pPr>
      <w:r>
        <w:t xml:space="preserve"> </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0.93</w:t>
            </w:r>
          </w:p>
        </w:tc>
        <w:tc>
          <w:tcPr/>
          <w:p>
            <w:pPr>
              <w:pStyle w:val="Compact"/>
            </w:pPr>
            <w:r>
              <w:t xml:space="preserve">79.8%</w:t>
            </w:r>
          </w:p>
        </w:tc>
        <w:tc>
          <w:tcPr/>
          <w:p>
            <w:pPr>
              <w:pStyle w:val="Compact"/>
            </w:pPr>
            <w:r>
              <w:t xml:space="preserve">98.1%</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93.4%</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93.6%</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98.1% of clear cases and deliberately deviates in the borderline zone (agreement ≈ 80–84%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31"/>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11.3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25.7</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28.9</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A patient with a PTA of 26 dB is simultaneously 16% normal and 40% mild; at 27 dB the split is 7% normal and 100% mild. The crisp WHO rule flips the label at 26 dB with no graded information; the single-ear FIS keeps the graded transition in the 26–27 dB zone, and the FAI rises smoothly from 11.3 at 24 dB to 25.7 at 26 dB and 28.9 at 27 dB instead of stepping. (Values in an earlier draft — Normal μ = 0.60/0.50/0.40, Mild μ = 0.67/0.83/1.00, FAI 19–30 — were computed with the pre-optimisation heuristic membership functions and have been replaced by the re-optimised system’s outputs.)</w:t>
      </w:r>
    </w:p>
    <w:bookmarkEnd w:id="32"/>
    <w:bookmarkStart w:id="37"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29.4 (Mild), with membership Normal μ = 0.04 and Mild μ = 1.00 — a continuous score that locates the loss within the mild band while preserving the graded boundary information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21.5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30.0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29.4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21.5</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5334000" cy="4686208"/>
                  <wp:effectExtent b="0" l="0" r="0" t="0"/>
                  <wp:docPr descr=""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tc>
      </w:tr>
    </w:tbl>
    <w:bookmarkEnd w:id="37"/>
    <w:bookmarkStart w:id="42"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4533900" cy="2744875"/>
                  <wp:effectExtent b="0" l="0" r="0" t="0"/>
                  <wp:docPr descr="" title="" id="39" name="Picture"/>
                  <a:graphic>
                    <a:graphicData uri="http://schemas.openxmlformats.org/drawingml/2006/picture">
                      <pic:pic>
                        <pic:nvPicPr>
                          <pic:cNvPr descr="figures/fig_eda_config_dist.png" id="40" name="Picture"/>
                          <pic:cNvPicPr>
                            <a:picLocks noChangeArrowheads="1" noChangeAspect="1"/>
                          </pic:cNvPicPr>
                        </pic:nvPicPr>
                        <pic:blipFill>
                          <a:blip r:embed="rId38"/>
                          <a:stretch>
                            <a:fillRect/>
                          </a:stretch>
                        </pic:blipFill>
                        <pic:spPr bwMode="auto">
                          <a:xfrm>
                            <a:off x="0" y="0"/>
                            <a:ext cx="4533900" cy="2744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Configuration distribution in the NHANES cohort (slope = 4 kHz − 500 Hz).</w:t>
            </w:r>
          </w:p>
          <w:bookmarkEnd w:id="41"/>
        </w:tc>
      </w:tr>
    </w:tbl>
    <w:bookmarkEnd w:id="42"/>
    <w:bookmarkStart w:id="47"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tbl>
      <w:tblPr>
        <w:tblStyle w:val="Table"/>
        <w:tblW w:type="pct" w:w="5000"/>
        <w:tblLayout w:type="fixed"/>
        <w:tblLook w:firstRow="0" w:lastRow="0" w:firstColumn="0" w:lastColumn="0" w:noHBand="0" w:noVBand="0" w:val="0000"/>
      </w:tblPr>
      <w:tblGrid>
        <w:gridCol w:w="7920"/>
      </w:tblGrid>
      <w:tr>
        <w:tc>
          <w:tcPr/>
          <w:bookmarkStart w:id="46" w:name="fig-6"/>
          <w:p>
            <w:pPr>
              <w:pStyle w:val="Compact"/>
              <w:jc w:val="center"/>
            </w:pPr>
            <w:r>
              <w:drawing>
                <wp:inline>
                  <wp:extent cx="5067300" cy="1640687"/>
                  <wp:effectExtent b="0" l="0" r="0" t="0"/>
                  <wp:docPr descr="" title="" id="44" name="Picture"/>
                  <a:graphic>
                    <a:graphicData uri="http://schemas.openxmlformats.org/drawingml/2006/picture">
                      <pic:pic>
                        <pic:nvPicPr>
                          <pic:cNvPr descr="figures/fig7_longitudinal.png" id="45" name="Picture"/>
                          <pic:cNvPicPr>
                            <a:picLocks noChangeArrowheads="1" noChangeAspect="1"/>
                          </pic:cNvPicPr>
                        </pic:nvPicPr>
                        <pic:blipFill>
                          <a:blip r:embed="rId43"/>
                          <a:stretch>
                            <a:fillRect/>
                          </a:stretch>
                        </pic:blipFill>
                        <pic:spPr bwMode="auto">
                          <a:xfrm>
                            <a:off x="0" y="0"/>
                            <a:ext cx="5067300" cy="1640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Longitudinal FAI trajectories for three clinical scenarios. FAI (coloured lines) shows smooth, continuous progression while PTA grade (grey steps) changes only at boundary crossings.</w:t>
            </w:r>
          </w:p>
          <w:bookmarkEnd w:id="46"/>
        </w:tc>
      </w:tr>
    </w:tbl>
    <w:bookmarkEnd w:id="47"/>
    <w:bookmarkEnd w:id="48"/>
    <w:bookmarkStart w:id="54" w:name="discussion"/>
    <w:p>
      <w:pPr>
        <w:pStyle w:val="Heading1"/>
      </w:pPr>
      <w:r>
        <w:t xml:space="preserve">4. Discussion</w:t>
      </w:r>
    </w:p>
    <w:bookmarkStart w:id="49"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0.93 against the WHO PTA-4 reference, matched the crisp grade on 98.1%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9"/>
    <w:bookmarkStart w:id="50"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50"/>
    <w:bookmarkStart w:id="51"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Overall agreement with the WHO PTA-4 reference (94.7%) is high, though direct comparison with earlier fuzzy audiogram classifiers is limited because several early reports could not be confirmed in the indexed literature and different datasets and outcome definitions preclude benchmarking. In the borderline zone the fuzzy system deliberately returns graded membership where the crisp label forces a binary choice: agreement with the crisp grade is 79.8%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51"/>
    <w:bookmarkStart w:id="52"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and the FAI-to-label thresholds were calibrated on the training set ([21.9, 34.6, 52.5, 70.6, 74.1]); (see Membership Function Optimization). The test set is independent at the participant level, so bilateral ear correlation does not inflate the reported metrics. Finally, net-benefit analysis was not performed because the FAI is a graded classifier without a single decision threshold or utility weights. The FIS structure is cycle-independent. Single-ear validation omits the asymmetry-anchor rule (a documented artifact: with one ear the asymmetry input is zero, so the anchor rule would fire at full strength for every ear and compress the FAI scale); bilateral use in the deployed web application retains the full 48-rule base;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52"/>
    <w:bookmarkStart w:id="53"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3"/>
    <w:bookmarkEnd w:id="54"/>
    <w:bookmarkStart w:id="55"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3,912 ears from 1,966 participants), it shows substantial agreement with WHO PTA-4 classification (weighted κ = 0.93) while providing richer information on borderline cases, configuration typing, and longitudinal monitoring. As audiology moves toward more personalised, data-driven care, a fuzzy approach keeps the inherent continuity of auditory function front and centre.</w:t>
      </w:r>
    </w:p>
    <w:bookmarkEnd w:id="55"/>
    <w:bookmarkStart w:id="56"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p>
      <w:pPr>
        <w:pStyle w:val="BodyText"/>
      </w:pPr>
      <w:r>
        <w:rPr>
          <w:b/>
          <w:bCs/>
        </w:rPr>
        <w:t xml:space="preserve">Use of artificial intelligence.</w:t>
      </w:r>
      <w:r>
        <w:t xml:space="preserve"> </w:t>
      </w:r>
      <w:r>
        <w:t xml:space="preserve">During the preparation of this work the author used a large language model-based writing assistant to assist with drafting and editing the manuscript, organising the analysis code, and generating figure code. After using this tool, the author reviewed and edited all content as needed and takes full responsibility for the content of the publication, including all analyses, figures, and references.</w:t>
      </w:r>
    </w:p>
    <w:bookmarkEnd w:id="56"/>
    <w:bookmarkStart w:id="57" w:name="conflict-of-interest-statement"/>
    <w:p>
      <w:pPr>
        <w:pStyle w:val="Heading1"/>
      </w:pPr>
      <w:r>
        <w:t xml:space="preserve">7. Conflict of Interest Statement</w:t>
      </w:r>
    </w:p>
    <w:p>
      <w:pPr>
        <w:pStyle w:val="FirstParagraph"/>
      </w:pPr>
      <w:r>
        <w:t xml:space="preserve">The author declares no conflicts of interest.</w:t>
      </w:r>
    </w:p>
    <w:bookmarkEnd w:id="57"/>
    <w:bookmarkStart w:id="58"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8"/>
    <w:bookmarkStart w:id="64" w:name="sec-app-math"/>
    <w:p>
      <w:pPr>
        <w:pStyle w:val="Heading1"/>
      </w:pPr>
      <w:r>
        <w:t xml:space="preserve">9. Appendix: Mathematical Foundations of Fuzzy Logic</w:t>
      </w:r>
    </w:p>
    <w:bookmarkStart w:id="59"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9"/>
    <w:bookmarkStart w:id="60"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60"/>
    <w:bookmarkStart w:id="61"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61"/>
    <w:bookmarkStart w:id="62"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62"/>
    <w:bookmarkStart w:id="63"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3"/>
    <w:bookmarkEnd w:id="64"/>
    <w:bookmarkStart w:id="83" w:name="references"/>
    <w:p>
      <w:pPr>
        <w:pStyle w:val="Heading1"/>
      </w:pPr>
      <w:r>
        <w:t xml:space="preserve">10. References</w:t>
      </w:r>
    </w:p>
    <w:bookmarkStart w:id="82" w:name="refs"/>
    <w:bookmarkStart w:id="66"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5">
        <w:r>
          <w:rPr>
            <w:rStyle w:val="Hyperlink"/>
          </w:rPr>
          <w:t xml:space="preserve">https://doi.org/10.1016/j.clineuro.2020.106446</w:t>
        </w:r>
      </w:hyperlink>
      <w:r>
        <w:t xml:space="preserve">.</w:t>
      </w:r>
    </w:p>
    <w:bookmarkEnd w:id="66"/>
    <w:bookmarkStart w:id="68" w:name="ref-ceriani2025"/>
    <w:p>
      <w:pPr>
        <w:pStyle w:val="Bibliography"/>
      </w:pPr>
      <w:r>
        <w:t xml:space="preserve">Ceriani, F, J Giles, NJ Ingham, et al. 2025.</w:t>
      </w:r>
      <w:r>
        <w:t xml:space="preserve"> </w:t>
      </w:r>
      <w:r>
        <w:t xml:space="preserve">“</w:t>
      </w:r>
      <w:hyperlink r:id="rId67">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8"/>
    <w:bookmarkStart w:id="69"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69"/>
    <w:bookmarkStart w:id="70"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70"/>
    <w:bookmarkStart w:id="71"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71"/>
    <w:bookmarkStart w:id="72"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2"/>
    <w:bookmarkStart w:id="74" w:name="ref-stuart1991"/>
    <w:p>
      <w:pPr>
        <w:pStyle w:val="Bibliography"/>
      </w:pPr>
      <w:r>
        <w:t xml:space="preserve">Stuart, A, R Stenstrom, C Tompkins, and S Vandenhoff. 1991.</w:t>
      </w:r>
      <w:r>
        <w:t xml:space="preserve"> </w:t>
      </w:r>
      <w:r>
        <w:t xml:space="preserve">“</w:t>
      </w:r>
      <w:hyperlink r:id="rId73">
        <w:r>
          <w:rPr>
            <w:rStyle w:val="Hyperlink"/>
          </w:rPr>
          <w:t xml:space="preserve">Test-Retest Variability in Audiometric Threshold with Supraaural and Insert Earphones Among Children and Adults</w:t>
        </w:r>
      </w:hyperlink>
      <w:r>
        <w:t xml:space="preserve">.”</w:t>
      </w:r>
      <w:r>
        <w:t xml:space="preserve"> </w:t>
      </w:r>
      <w:r>
        <w:rPr>
          <w:i/>
          <w:iCs/>
        </w:rPr>
        <w:t xml:space="preserve">Audiology</w:t>
      </w:r>
      <w:r>
        <w:t xml:space="preserve"> </w:t>
      </w:r>
      <w:r>
        <w:t xml:space="preserve">30 (2): 82–90.</w:t>
      </w:r>
    </w:p>
    <w:bookmarkEnd w:id="74"/>
    <w:bookmarkStart w:id="76" w:name="ref-suen2021"/>
    <w:p>
      <w:pPr>
        <w:pStyle w:val="Bibliography"/>
      </w:pPr>
      <w:r>
        <w:t xml:space="preserve">Suen, JJ, J Betz, NS Reed, JA Deal, FR Lin, and AM Goman. 2021.</w:t>
      </w:r>
      <w:r>
        <w:t xml:space="preserve"> </w:t>
      </w:r>
      <w:r>
        <w:t xml:space="preserve">“</w:t>
      </w:r>
      <w:hyperlink r:id="rId75">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6"/>
    <w:bookmarkStart w:id="77"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7"/>
    <w:bookmarkStart w:id="78"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8"/>
    <w:bookmarkStart w:id="79"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9"/>
    <w:bookmarkStart w:id="80" w:name="ref-who2021"/>
    <w:p>
      <w:pPr>
        <w:pStyle w:val="Bibliography"/>
      </w:pPr>
      <w:r>
        <w:t xml:space="preserve">World Health Organization. 2021.</w:t>
      </w:r>
      <w:r>
        <w:t xml:space="preserve"> </w:t>
      </w:r>
      <w:r>
        <w:rPr>
          <w:i/>
          <w:iCs/>
        </w:rPr>
        <w:t xml:space="preserve">World Report on Hearing</w:t>
      </w:r>
      <w:r>
        <w:t xml:space="preserve">. WHO.</w:t>
      </w:r>
    </w:p>
    <w:bookmarkEnd w:id="80"/>
    <w:bookmarkStart w:id="81"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81"/>
    <w:bookmarkEnd w:id="82"/>
    <w:p>
      <w:r>
        <w:pict>
          <v:rect style="width:0;height:1.5pt" o:hralign="center" o:hrstd="t" o:hr="t"/>
        </w:pict>
      </w:r>
    </w:p>
    <w:bookmarkEnd w:id="83"/>
    <w:bookmarkStart w:id="88" w:name="tables"/>
    <w:p>
      <w:pPr>
        <w:pStyle w:val="Heading1"/>
      </w:pPr>
      <w:r>
        <w:t xml:space="preserve">11. Tables</w:t>
      </w:r>
    </w:p>
    <w:bookmarkStart w:id="84"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(n=15,656 ears)</w:t>
            </w:r>
          </w:p>
        </w:tc>
        <w:tc>
          <w:tcPr/>
          <w:p>
            <w:pPr>
              <w:pStyle w:val="Compact"/>
            </w:pPr>
            <w:r>
              <w:t xml:space="preserve">Test (n=3,912 ears)</w:t>
            </w:r>
          </w:p>
        </w:tc>
      </w:tr>
      <w:tr>
        <w:tc>
          <w:tcPr/>
          <w:p>
            <w:pPr>
              <w:pStyle w:val="Compact"/>
            </w:pPr>
            <w:r>
              <w:t xml:space="preserve">Participants (n)</w:t>
            </w:r>
          </w:p>
        </w:tc>
        <w:tc>
          <w:tcPr/>
          <w:p>
            <w:pPr>
              <w:pStyle w:val="Compact"/>
            </w:pPr>
            <w:r>
              <w:t xml:space="preserve">7,866</w:t>
            </w:r>
          </w:p>
        </w:tc>
        <w:tc>
          <w:tcPr/>
          <w:p>
            <w:pPr>
              <w:pStyle w:val="Compact"/>
            </w:pPr>
            <w:r>
              <w:t xml:space="preserve">1,966</w:t>
            </w:r>
          </w:p>
        </w:tc>
      </w:tr>
      <w:tr>
        <w:tc>
          <w:tcPr/>
          <w:p>
            <w:pPr>
              <w:pStyle w:val="Compact"/>
            </w:pPr>
            <w:r>
              <w:t xml:space="preserve">Age (years), mean (SD)</w:t>
            </w:r>
          </w:p>
        </w:tc>
        <w:tc>
          <w:tcPr/>
          <w:p>
            <w:pPr>
              <w:pStyle w:val="Compact"/>
            </w:pPr>
            <w:r>
              <w:t xml:space="preserve">44.1 (14.4)</w:t>
            </w:r>
          </w:p>
        </w:tc>
        <w:tc>
          <w:tcPr/>
          <w:p>
            <w:pPr>
              <w:pStyle w:val="Compact"/>
            </w:pPr>
            <w:r>
              <w:t xml:space="preserve">43.5 (14.6)</w:t>
            </w:r>
          </w:p>
        </w:tc>
      </w:tr>
      <w:tr>
        <w:tc>
          <w:tcPr/>
          <w:p>
            <w:pPr>
              <w:pStyle w:val="Compact"/>
            </w:pPr>
            <w:r>
              <w:t xml:space="preserve">Age (years), median (IQR)</w:t>
            </w:r>
          </w:p>
        </w:tc>
        <w:tc>
          <w:tcPr/>
          <w:p>
            <w:pPr>
              <w:pStyle w:val="Compact"/>
            </w:pPr>
            <w:r>
              <w:t xml:space="preserve">44 (31–56)</w:t>
            </w:r>
          </w:p>
        </w:tc>
        <w:tc>
          <w:tcPr/>
          <w:p>
            <w:pPr>
              <w:pStyle w:val="Compact"/>
            </w:pPr>
            <w:r>
              <w:t xml:space="preserve">43 (30–56)</w:t>
            </w:r>
          </w:p>
        </w:tc>
      </w:tr>
      <w:tr>
        <w:tc>
          <w:tcPr/>
          <w:p>
            <w:pPr>
              <w:pStyle w:val="Compact"/>
            </w:pPr>
            <w:r>
              <w:t xml:space="preserve">Female sex</w:t>
            </w:r>
          </w:p>
        </w:tc>
        <w:tc>
          <w:tcPr/>
          <w:p>
            <w:pPr>
              <w:pStyle w:val="Compact"/>
            </w:pPr>
            <w:r>
              <w:t xml:space="preserve">50.9%</w:t>
            </w:r>
          </w:p>
        </w:tc>
        <w:tc>
          <w:tcPr/>
          <w:p>
            <w:pPr>
              <w:pStyle w:val="Compact"/>
            </w:pPr>
            <w:r>
              <w:t xml:space="preserve">51.2%</w:t>
            </w:r>
          </w:p>
        </w:tc>
      </w:tr>
      <w:tr>
        <w:tc>
          <w:tcPr/>
          <w:p>
            <w:pPr>
              <w:pStyle w:val="Compact"/>
            </w:pPr>
            <w:r>
              <w:t xml:space="preserve">Mean PTA-4 (dB HL)</w:t>
            </w:r>
          </w:p>
        </w:tc>
        <w:tc>
          <w:tcPr/>
          <w:p>
            <w:pPr>
              <w:pStyle w:val="Compact"/>
            </w:pPr>
            <w:r>
              <w:t xml:space="preserve">13.3 (11.3)</w:t>
            </w:r>
          </w:p>
        </w:tc>
        <w:tc>
          <w:tcPr/>
          <w:p>
            <w:pPr>
              <w:pStyle w:val="Compact"/>
            </w:pPr>
            <w:r>
              <w:t xml:space="preserve">13.5 (12.2)</w:t>
            </w:r>
          </w:p>
        </w:tc>
      </w:tr>
      <w:tr>
        <w:tc>
          <w:tcPr/>
          <w:p>
            <w:pPr>
              <w:pStyle w:val="Compact"/>
            </w:pPr>
            <w:r>
              <w:t xml:space="preserve">Normal</w:t>
            </w:r>
          </w:p>
        </w:tc>
        <w:tc>
          <w:tcPr/>
          <w:p>
            <w:pPr>
              <w:pStyle w:val="Compact"/>
            </w:pPr>
            <w:r>
              <w:t xml:space="preserve">88.4%</w:t>
            </w:r>
          </w:p>
        </w:tc>
        <w:tc>
          <w:tcPr/>
          <w:p>
            <w:pPr>
              <w:pStyle w:val="Compact"/>
            </w:pPr>
            <w:r>
              <w:t xml:space="preserve">86.9%</w:t>
            </w:r>
          </w:p>
        </w:tc>
      </w:tr>
      <w:tr>
        <w:tc>
          <w:tcPr/>
          <w:p>
            <w:pPr>
              <w:pStyle w:val="Compact"/>
            </w:pPr>
            <w:r>
              <w:t xml:space="preserve">Mild</w:t>
            </w:r>
          </w:p>
        </w:tc>
        <w:tc>
          <w:tcPr/>
          <w:p>
            <w:pPr>
              <w:pStyle w:val="Compact"/>
            </w:pPr>
            <w:r>
              <w:t xml:space="preserve">8.6%</w:t>
            </w:r>
          </w:p>
        </w:tc>
        <w:tc>
          <w:tcPr/>
          <w:p>
            <w:pPr>
              <w:pStyle w:val="Compact"/>
            </w:pPr>
            <w:r>
              <w:t xml:space="preserve">9.2%</w:t>
            </w:r>
          </w:p>
        </w:tc>
      </w:tr>
      <w:tr>
        <w:tc>
          <w:tcPr/>
          <w:p>
            <w:pPr>
              <w:pStyle w:val="Compact"/>
            </w:pPr>
            <w:r>
              <w:t xml:space="preserve">Moderate</w:t>
            </w:r>
          </w:p>
        </w:tc>
        <w:tc>
          <w:tcPr/>
          <w:p>
            <w:pPr>
              <w:pStyle w:val="Compact"/>
            </w:pPr>
            <w:r>
              <w:t xml:space="preserve">2.2%</w:t>
            </w:r>
          </w:p>
        </w:tc>
        <w:tc>
          <w:tcPr/>
          <w:p>
            <w:pPr>
              <w:pStyle w:val="Compact"/>
            </w:pPr>
            <w:r>
              <w:t xml:space="preserve">2.6%</w:t>
            </w:r>
          </w:p>
        </w:tc>
      </w:tr>
      <w:tr>
        <w:tc>
          <w:tcPr/>
          <w:p>
            <w:pPr>
              <w:pStyle w:val="Compact"/>
            </w:pPr>
            <w:r>
              <w:t xml:space="preserve">Moderately Severe</w:t>
            </w:r>
          </w:p>
        </w:tc>
        <w:tc>
          <w:tcPr/>
          <w:p>
            <w:pPr>
              <w:pStyle w:val="Compact"/>
            </w:pPr>
            <w:r>
              <w:t xml:space="preserve">0.6%</w:t>
            </w:r>
          </w:p>
        </w:tc>
        <w:tc>
          <w:tcPr/>
          <w:p>
            <w:pPr>
              <w:pStyle w:val="Compact"/>
            </w:pPr>
            <w:r>
              <w:t xml:space="preserve">0.7%</w:t>
            </w:r>
          </w:p>
        </w:tc>
      </w:tr>
      <w:tr>
        <w:tc>
          <w:tcPr/>
          <w:p>
            <w:pPr>
              <w:pStyle w:val="Compact"/>
            </w:pPr>
            <w:r>
              <w:t xml:space="preserve">Severe</w:t>
            </w:r>
          </w:p>
        </w:tc>
        <w:tc>
          <w:tcPr/>
          <w:p>
            <w:pPr>
              <w:pStyle w:val="Compact"/>
            </w:pPr>
            <w:r>
              <w:t xml:space="preserve">0.3%</w:t>
            </w:r>
          </w:p>
        </w:tc>
        <w:tc>
          <w:tcPr/>
          <w:p>
            <w:pPr>
              <w:pStyle w:val="Compact"/>
            </w:pPr>
            <w:r>
              <w:t xml:space="preserve">0.5%</w:t>
            </w:r>
          </w:p>
        </w:tc>
      </w:tr>
      <w:tr>
        <w:tc>
          <w:tcPr/>
          <w:p>
            <w:pPr>
              <w:pStyle w:val="Compact"/>
            </w:pPr>
            <w:r>
              <w:t xml:space="preserve">Profound</w:t>
            </w:r>
          </w:p>
        </w:tc>
        <w:tc>
          <w:tcPr/>
          <w:p>
            <w:pPr>
              <w:pStyle w:val="Compact"/>
            </w:pPr>
            <w:r>
              <w:t xml:space="preserve">0.0%</w:t>
            </w:r>
          </w:p>
        </w:tc>
        <w:tc>
          <w:tcPr/>
          <w:p>
            <w:pPr>
              <w:pStyle w:val="Compact"/>
            </w:pPr>
            <w:r>
              <w:t xml:space="preserve">0.1%</w:t>
            </w:r>
          </w:p>
        </w:tc>
      </w:tr>
    </w:tbl>
    <w:p>
      <w:pPr>
        <w:pStyle w:val="BodyText"/>
      </w:pPr>
      <w:r>
        <w:rPr>
          <w:i/>
          <w:iCs/>
        </w:rPr>
        <w:t xml:space="preserve">Cohort: NHANES cycles with adult (20–69 y) audiometry (1999–2000, 2011–2012, 2015–2016). Values are per ear unless noted.</w:t>
      </w:r>
    </w:p>
    <w:bookmarkEnd w:id="84"/>
    <w:bookmarkStart w:id="85"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0.93</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94.7%</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79.8%</w:t>
            </w:r>
          </w:p>
        </w:tc>
        <w:tc>
          <w:tcPr/>
          <w:p>
            <w:pPr>
              <w:pStyle w:val="Compact"/>
            </w:pPr>
            <w:r>
              <w:t xml:space="preserve">100%*</w:t>
            </w:r>
          </w:p>
        </w:tc>
        <w:tc>
          <w:tcPr/>
          <w:p>
            <w:pPr>
              <w:pStyle w:val="Compact"/>
            </w:pPr>
            <w:r>
              <w:t xml:space="preserve">93.4%</w:t>
            </w:r>
          </w:p>
        </w:tc>
        <w:tc>
          <w:tcPr/>
          <w:p>
            <w:pPr>
              <w:pStyle w:val="Compact"/>
            </w:pPr>
            <w:r>
              <w:t xml:space="preserve">93.6%</w:t>
            </w:r>
          </w:p>
        </w:tc>
      </w:tr>
      <w:tr>
        <w:tc>
          <w:tcPr/>
          <w:p>
            <w:pPr>
              <w:pStyle w:val="Compact"/>
            </w:pPr>
            <w:r>
              <w:t xml:space="preserve">Clear-case Agreement</w:t>
            </w:r>
          </w:p>
        </w:tc>
        <w:tc>
          <w:tcPr/>
          <w:p>
            <w:pPr>
              <w:pStyle w:val="Compact"/>
            </w:pPr>
            <w:r>
              <w:t xml:space="preserve">98.1%</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t xml:space="preserve">*PTA-4 is the reference standard; metrics reflect definitional agreement.</w:t>
      </w:r>
    </w:p>
    <w:bookmarkEnd w:id="85"/>
    <w:bookmarkStart w:id="86"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6"/>
    <w:bookmarkStart w:id="87"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11.3</w:t>
            </w:r>
          </w:p>
        </w:tc>
        <w:tc>
          <w:tcPr/>
          <w:p>
            <w:pPr>
              <w:pStyle w:val="Compact"/>
            </w:pPr>
            <w:r>
              <w:t xml:space="preserve">Normal</w:t>
            </w:r>
          </w:p>
        </w:tc>
        <w:tc>
          <w:tcPr/>
          <w:p>
            <w:pPr>
              <w:pStyle w:val="Compact"/>
            </w:pPr>
            <w:r>
              <w:t xml:space="preserve">Normal μ=0.33, Mild μ=0.00</w:t>
            </w:r>
          </w:p>
        </w:tc>
      </w:tr>
      <w:tr>
        <w:tc>
          <w:tcPr/>
          <w:p>
            <w:pPr>
              <w:pStyle w:val="Compact"/>
            </w:pPr>
            <w:r>
              <w:t xml:space="preserve">26</w:t>
            </w:r>
          </w:p>
        </w:tc>
        <w:tc>
          <w:tcPr/>
          <w:p>
            <w:pPr>
              <w:pStyle w:val="Compact"/>
            </w:pPr>
            <w:r>
              <w:t xml:space="preserve">Mild</w:t>
            </w:r>
          </w:p>
        </w:tc>
        <w:tc>
          <w:tcPr/>
          <w:p>
            <w:pPr>
              <w:pStyle w:val="Compact"/>
            </w:pPr>
            <w:r>
              <w:t xml:space="preserve">25.7</w:t>
            </w:r>
          </w:p>
        </w:tc>
        <w:tc>
          <w:tcPr/>
          <w:p>
            <w:pPr>
              <w:pStyle w:val="Compact"/>
            </w:pPr>
            <w:r>
              <w:t xml:space="preserve">Mild</w:t>
            </w:r>
          </w:p>
        </w:tc>
        <w:tc>
          <w:tcPr/>
          <w:p>
            <w:pPr>
              <w:pStyle w:val="Compact"/>
            </w:pPr>
            <w:r>
              <w:t xml:space="preserve">Normal μ=0.16, Mild μ=0.40</w:t>
            </w:r>
          </w:p>
        </w:tc>
      </w:tr>
      <w:tr>
        <w:tc>
          <w:tcPr/>
          <w:p>
            <w:pPr>
              <w:pStyle w:val="Compact"/>
            </w:pPr>
            <w:r>
              <w:t xml:space="preserve">27</w:t>
            </w:r>
          </w:p>
        </w:tc>
        <w:tc>
          <w:tcPr/>
          <w:p>
            <w:pPr>
              <w:pStyle w:val="Compact"/>
            </w:pPr>
            <w:r>
              <w:t xml:space="preserve">Mild</w:t>
            </w:r>
          </w:p>
        </w:tc>
        <w:tc>
          <w:tcPr/>
          <w:p>
            <w:pPr>
              <w:pStyle w:val="Compact"/>
            </w:pPr>
            <w:r>
              <w:t xml:space="preserve">28.9</w:t>
            </w:r>
          </w:p>
        </w:tc>
        <w:tc>
          <w:tcPr/>
          <w:p>
            <w:pPr>
              <w:pStyle w:val="Compact"/>
            </w:pPr>
            <w:r>
              <w:t xml:space="preserve">Mild</w:t>
            </w:r>
          </w:p>
        </w:tc>
        <w:tc>
          <w:tcPr/>
          <w:p>
            <w:pPr>
              <w:pStyle w:val="Compact"/>
            </w:pPr>
            <w:r>
              <w:t xml:space="preserve">Normal μ=0.07, Mild μ=1.00</w:t>
            </w:r>
          </w:p>
        </w:tc>
      </w:tr>
      <w:tr>
        <w:tc>
          <w:tcPr/>
          <w:p>
            <w:pPr>
              <w:pStyle w:val="Compact"/>
            </w:pPr>
            <w:r>
              <w:t xml:space="preserve">28</w:t>
            </w:r>
          </w:p>
        </w:tc>
        <w:tc>
          <w:tcPr/>
          <w:p>
            <w:pPr>
              <w:pStyle w:val="Compact"/>
            </w:pPr>
            <w:r>
              <w:t xml:space="preserve">Mild</w:t>
            </w:r>
          </w:p>
        </w:tc>
        <w:tc>
          <w:tcPr/>
          <w:p>
            <w:pPr>
              <w:pStyle w:val="Compact"/>
            </w:pPr>
            <w:r>
              <w:t xml:space="preserve">30.0</w:t>
            </w:r>
          </w:p>
        </w:tc>
        <w:tc>
          <w:tcPr/>
          <w:p>
            <w:pPr>
              <w:pStyle w:val="Compact"/>
            </w:pPr>
            <w:r>
              <w:t xml:space="preserve">Mild</w:t>
            </w:r>
          </w:p>
        </w:tc>
        <w:tc>
          <w:tcPr/>
          <w:p>
            <w:pPr>
              <w:pStyle w:val="Compact"/>
            </w:pPr>
            <w:r>
              <w:t xml:space="preserve">Normal μ=0.00, Mild μ=1.00</w:t>
            </w:r>
          </w:p>
        </w:tc>
      </w:tr>
      <w:tr>
        <w:tc>
          <w:tcPr/>
          <w:p>
            <w:pPr>
              <w:pStyle w:val="Compact"/>
            </w:pPr>
            <w:r>
              <w:t xml:space="preserve">30</w:t>
            </w:r>
          </w:p>
        </w:tc>
        <w:tc>
          <w:tcPr/>
          <w:p>
            <w:pPr>
              <w:pStyle w:val="Compact"/>
            </w:pPr>
            <w:r>
              <w:t xml:space="preserve">Mild</w:t>
            </w:r>
          </w:p>
        </w:tc>
        <w:tc>
          <w:tcPr/>
          <w:p>
            <w:pPr>
              <w:pStyle w:val="Compact"/>
            </w:pPr>
            <w:r>
              <w:t xml:space="preserve">30.0</w:t>
            </w:r>
          </w:p>
        </w:tc>
        <w:tc>
          <w:tcPr/>
          <w:p>
            <w:pPr>
              <w:pStyle w:val="Compact"/>
            </w:pPr>
            <w:r>
              <w:t xml:space="preserve">Mild</w:t>
            </w:r>
          </w:p>
        </w:tc>
        <w:tc>
          <w:tcPr/>
          <w:p>
            <w:pPr>
              <w:pStyle w:val="Compact"/>
            </w:pPr>
            <w:r>
              <w:t xml:space="preserve">Normal μ=0.00, Mild μ=1.00</w:t>
            </w:r>
          </w:p>
        </w:tc>
      </w:tr>
    </w:tbl>
    <w:p>
      <w:pPr>
        <w:pStyle w:val="BodyText"/>
      </w:pPr>
      <w:r>
        <w:t xml:space="preserve">Values are re-optimised system outputs. Rows at the higher boundaries (40/55/70/90 dB) from an earlier draft were not reproducible from the deployed pipeline and have been removed.</w:t>
      </w:r>
    </w:p>
    <w:p>
      <w:r>
        <w:pict>
          <v:rect style="width:0;height:1.5pt" o:hralign="center" o:hrstd="t" o:hr="t"/>
        </w:pict>
      </w:r>
    </w:p>
    <w:bookmarkEnd w:id="87"/>
    <w:bookmarkEnd w:id="88"/>
    <w:bookmarkStart w:id="89"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2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(a) Bland-Altman plot showing agreement between FAI and PTA-4 reference on the held-out test set. (b) Classification agreement as a function of distance from the nearest WHO severity boundary: the FAI matches the crisp grade on 98.1% of clear cases (≥6 dB from a boundary) and returns graded membership on 79.8% of borderline cases (±5 dB).</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Configuration distribution in the combined adult cohort (slope = 4 kHz − 500 Hz): predominantly flat and gently sloping patterns; the fuzzy shape rules emit a six-category membership vector.</w:t>
      </w:r>
    </w:p>
    <w:p>
      <w:pPr>
        <w:pStyle w:val="BodyText"/>
      </w:pPr>
      <w:r>
        <w:rPr>
          <w:b/>
          <w:bCs/>
        </w:rPr>
        <w:t xml:space="preserve">Figure 6.</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3" Target="https://www.ncbi.nlm.nih.gov/pubmed/1877901"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3" Target="https://www.ncbi.nlm.nih.gov/pubmed/1877901"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2026-08-14T17:04:26Z</dcterms:created>
  <dcterms:modified xsi:type="dcterms:W3CDTF">2026-08-14T17:04:26Z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three National Health and Nutrition Examination Survey (NHANES) cycles that tested adults aged 20–69 y (1999–2000, 2011–2012, 2015–2016; n = 10,889 participants), split by participant into training (80%, n = 15,656 ears from 7,866 participants) and held-out test (20%, n = 3,912 ears from 1,966 participants).Results: FAI showed substantial agreement with WHO PTA-4 classification (weighted κ = 0.93). Agreement was 98.1% in clear cases, where crisp classification is uncontroversial; in borderline cases within ±5 dB of a severity boundary — 18.7% of test ears — the system returned graded membership rather than a forced binary label (79.8% agreement with the crisp grade, reflecting the designed reclassification of ambiguous thresholds). At the normal–mild transition, membership grades continuously (e.g., 26 dB: Normal μ = 0.16, Mild μ = 0.40)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4950</vt:lpwstr>
  </property>
</Properties>
</file>