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AMEY SANAS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Roll No: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CO14</w:t>
      </w:r>
    </w:p>
    <w:p>
      <w:pPr>
        <w:spacing w:after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SAP ID: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60004250228</w:t>
      </w:r>
    </w:p>
    <w:p>
      <w:pPr>
        <w:pStyle w:val="Heading1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Blog Review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“Can Your Camera Tell If You’re Bored in Class?”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First Reaction: Math for an Emotion?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Can something as personal as boredom really be reduced to a math problem? That’s the question this blog left me with, and honestly, it’s the part that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highlight w:val="yellow"/>
          <w:highlightCs w:val="yellow"/>
        </w:rPr>
        <w:t xml:space="preserve">surprised me most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not the code, not even MediaPipe itself, but the fact that an emotion can be pinned down using coordinates and vector math at all. I hadn’t thought about expressions that way before: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468 facial landmark points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three coordinates each, and suddenly a smile becomes a measurable shift of a few millimetres rather than just “a smile.”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Normalisation and the Privacy Detail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Once that clicked, the rest of the pipeline made more sense. Faces are normalised using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Procrustes Analysis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every face rotated, scaled, and centered to the same pose — so a person leaning close to the camera and someone sitting far away still produce comparable numbers. What I liked about this step specifically is a detail that’s easy to miss: after this normalisation,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highlight w:val="yellow"/>
          <w:highlightCs w:val="yellow"/>
        </w:rPr>
        <w:t xml:space="preserve">only 1,404 numbers get stored, and the original photo is thrown away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That’s a privacy design choice hiding inside what looks like a purely technical step.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Where I Slowed Down: Feature Extraction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is the part I had to read twice. I could follow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what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geometric features and blendshapes were meant to do, but the actual mechanics of turning landmark movement into a usable score took a second read. Two ideas from that section stuck with me anyway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FACS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breaking expressions into individual “Action Units” instead of vague labels, and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difference-vector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trick, where a person’s neutral face is subtracted from their expressive face so only the change is measured, not their unique bone structure.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Theory vs. Implementation Gap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There’s a mismatch I noticed too: the blog spends most of its space building toward trained classifiers — Random Forest, SVM, CNNs — but the actual code at the end skips all of that and runs on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highlight w:val="yellow"/>
          <w:highlightCs w:val="yellow"/>
        </w:rPr>
        <w:t xml:space="preserve">simple hardcoded rules for mouth openness and eyebrow position instead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Interesting that the theory and the shipped implementation don’t fully line up.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My Take: Emotion Is Not Boredom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My real disagreement is with the jump from emotion to boredom. Detecting an expression isn’t the same as detecting boredom — someone can look completely neutral and still be bored, or completely neutral and be paying close attention. That would need tracking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over time, not a single frame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eye direction, head position, how much the face moves or doesn’t move over minutes rather than seconds. That’s the direction I’d actually want to take this project in myself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highlight w:val="yellow"/>
          <w:highlightCs w:val="yellow"/>
        </w:rPr>
        <w:t xml:space="preserve">a running boredom score built from movement over time, not a single snapshot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2026-08-10T14:09:20.902Z</dcterms:created>
  <dcterms:modified xsi:type="dcterms:W3CDTF">2026-08-10T14:09:20.916Z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