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211F2" w14:textId="77777777" w:rsidR="004C22B2" w:rsidRPr="00DD750E" w:rsidRDefault="007E080B">
      <w:pPr>
        <w:pStyle w:val="Ttulo"/>
        <w:rPr>
          <w:lang w:val="en-GB"/>
        </w:rPr>
      </w:pPr>
      <w:r w:rsidRPr="00DD750E">
        <w:rPr>
          <w:lang w:val="en-GB"/>
        </w:rPr>
        <w:t>Effects of neighbouring competition on saplings performance</w:t>
      </w:r>
    </w:p>
    <w:p w14:paraId="19776581" w14:textId="77777777" w:rsidR="004C22B2" w:rsidRPr="00DD750E" w:rsidRDefault="007E080B">
      <w:pPr>
        <w:pStyle w:val="Ttulo1"/>
        <w:rPr>
          <w:lang w:val="en-GB"/>
        </w:rPr>
      </w:pPr>
      <w:bookmarkStart w:id="0" w:name="effects-of-trees-size-and-distances"/>
      <w:bookmarkEnd w:id="0"/>
      <w:r w:rsidRPr="00DD750E">
        <w:rPr>
          <w:lang w:val="en-GB"/>
        </w:rPr>
        <w:t>EFFECTS OF TREES SIZE AND DISTANCES</w:t>
      </w:r>
    </w:p>
    <w:p w14:paraId="147DD19E" w14:textId="77777777" w:rsidR="004C22B2" w:rsidRPr="00DD750E" w:rsidRDefault="007E080B">
      <w:pPr>
        <w:pStyle w:val="FirstParagraph"/>
        <w:rPr>
          <w:lang w:val="en-GB"/>
        </w:rPr>
      </w:pPr>
      <w:r w:rsidRPr="00DD750E">
        <w:rPr>
          <w:lang w:val="en-GB"/>
        </w:rPr>
        <w:t>In this first part, I assess some effects of the size of target (pines) and neighbour (oaks...) trees, and distance between them on different performance indicators. I took the paper by Coates et al. (2009) as a guide to perform similar analyses and interpret the results. Some comments are actually extracted from their paper.</w:t>
      </w:r>
    </w:p>
    <w:p w14:paraId="39DF6660" w14:textId="77777777" w:rsidR="004C22B2" w:rsidRPr="00DD750E" w:rsidRDefault="007E080B">
      <w:pPr>
        <w:pStyle w:val="Textoindependiente"/>
        <w:rPr>
          <w:lang w:val="en-GB"/>
        </w:rPr>
      </w:pPr>
      <w:r w:rsidRPr="00DD750E">
        <w:rPr>
          <w:lang w:val="en-GB"/>
        </w:rPr>
        <w:t>RG = PRG × SE × ShE × CE</w:t>
      </w:r>
    </w:p>
    <w:p w14:paraId="4A6751C2" w14:textId="77777777" w:rsidR="004C22B2" w:rsidRPr="00DD750E" w:rsidRDefault="007E080B">
      <w:pPr>
        <w:pStyle w:val="Compact"/>
        <w:numPr>
          <w:ilvl w:val="0"/>
          <w:numId w:val="3"/>
        </w:numPr>
        <w:rPr>
          <w:lang w:val="en-GB"/>
        </w:rPr>
      </w:pPr>
      <w:r w:rsidRPr="00DD750E">
        <w:rPr>
          <w:lang w:val="en-GB"/>
        </w:rPr>
        <w:t>RG: Observed diameter growth</w:t>
      </w:r>
    </w:p>
    <w:p w14:paraId="78B853FE" w14:textId="77777777" w:rsidR="004C22B2" w:rsidRPr="00DD750E" w:rsidRDefault="007E080B">
      <w:pPr>
        <w:pStyle w:val="Compact"/>
        <w:numPr>
          <w:ilvl w:val="0"/>
          <w:numId w:val="3"/>
        </w:numPr>
        <w:rPr>
          <w:lang w:val="en-GB"/>
        </w:rPr>
      </w:pPr>
      <w:r w:rsidRPr="00DD750E">
        <w:rPr>
          <w:lang w:val="en-GB"/>
        </w:rPr>
        <w:t>PRG: Potential growth of a hypothetical 'free growing' tree</w:t>
      </w:r>
    </w:p>
    <w:p w14:paraId="527B3347" w14:textId="77777777" w:rsidR="004C22B2" w:rsidRPr="00DD750E" w:rsidRDefault="007E080B">
      <w:pPr>
        <w:pStyle w:val="Compact"/>
        <w:numPr>
          <w:ilvl w:val="0"/>
          <w:numId w:val="3"/>
        </w:numPr>
        <w:rPr>
          <w:lang w:val="en-GB"/>
        </w:rPr>
      </w:pPr>
      <w:r w:rsidRPr="00DD750E">
        <w:rPr>
          <w:lang w:val="en-GB"/>
        </w:rPr>
        <w:t>SE (Size effect): effect of neighbour size in relation to the target tree</w:t>
      </w:r>
    </w:p>
    <w:p w14:paraId="5B6B1C4F" w14:textId="77777777" w:rsidR="004C22B2" w:rsidRPr="00DD750E" w:rsidRDefault="007E080B">
      <w:pPr>
        <w:pStyle w:val="FirstParagraph"/>
        <w:rPr>
          <w:lang w:val="en-GB"/>
        </w:rPr>
      </w:pPr>
      <m:oMathPara>
        <m:oMathParaPr>
          <m:jc m:val="center"/>
        </m:oMathParaPr>
        <m:oMath>
          <m:r>
            <w:rPr>
              <w:rFonts w:ascii="Cambria Math" w:hAnsi="Cambria Math"/>
              <w:lang w:val="en-GB"/>
            </w:rPr>
            <m:t>SE=exp(-</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sSup>
            <m:sSupPr>
              <m:ctrlPr>
                <w:rPr>
                  <w:rFonts w:ascii="Cambria Math" w:hAnsi="Cambria Math"/>
                  <w:lang w:val="en-GB"/>
                </w:rPr>
              </m:ctrlPr>
            </m:sSupPr>
            <m:e>
              <m:f>
                <m:fPr>
                  <m:ctrlPr>
                    <w:rPr>
                      <w:rFonts w:ascii="Cambria Math" w:hAnsi="Cambria Math"/>
                      <w:lang w:val="en-GB"/>
                    </w:rPr>
                  </m:ctrlPr>
                </m:fPr>
                <m:num>
                  <m:r>
                    <w:rPr>
                      <w:rFonts w:ascii="Cambria Math" w:hAnsi="Cambria Math"/>
                      <w:lang w:val="en-GB"/>
                    </w:rPr>
                    <m:t>ln(</m:t>
                  </m:r>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num>
                <m:den>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b</m:t>
                      </m:r>
                    </m:sub>
                  </m:sSub>
                </m:den>
              </m:f>
            </m:e>
            <m:sup>
              <m:r>
                <w:rPr>
                  <w:rFonts w:ascii="Cambria Math" w:hAnsi="Cambria Math"/>
                  <w:lang w:val="en-GB"/>
                </w:rPr>
                <m:t>2</m:t>
              </m:r>
            </m:sup>
          </m:sSup>
          <m:r>
            <w:rPr>
              <w:rFonts w:ascii="Cambria Math" w:hAnsi="Cambria Math"/>
              <w:lang w:val="en-GB"/>
            </w:rPr>
            <m:t>)</m:t>
          </m:r>
        </m:oMath>
      </m:oMathPara>
    </w:p>
    <w:p w14:paraId="3729E3A8" w14:textId="77777777" w:rsidR="004C22B2" w:rsidRPr="00DD750E" w:rsidRDefault="007E080B">
      <w:pPr>
        <w:pStyle w:val="Compact"/>
        <w:numPr>
          <w:ilvl w:val="0"/>
          <w:numId w:val="4"/>
        </w:numPr>
        <w:rPr>
          <w:lang w:val="en-GB"/>
        </w:rPr>
      </w:pPr>
      <w:r w:rsidRPr="00DD750E">
        <w:rPr>
          <w:lang w:val="en-GB"/>
        </w:rPr>
        <w:t>ShE (Shading effect): (not considered)</w:t>
      </w:r>
    </w:p>
    <w:p w14:paraId="5D0F7F84" w14:textId="77777777" w:rsidR="004C22B2" w:rsidRPr="00DD750E" w:rsidRDefault="007E080B">
      <w:pPr>
        <w:pStyle w:val="Compact"/>
        <w:numPr>
          <w:ilvl w:val="0"/>
          <w:numId w:val="4"/>
        </w:numPr>
        <w:rPr>
          <w:lang w:val="en-GB"/>
        </w:rPr>
      </w:pPr>
      <w:r w:rsidRPr="00DD750E">
        <w:rPr>
          <w:lang w:val="en-GB"/>
        </w:rPr>
        <w:t>CE (Competition effect)</w:t>
      </w:r>
    </w:p>
    <w:p w14:paraId="369BE2D7" w14:textId="77777777" w:rsidR="004C22B2" w:rsidRPr="00DD750E" w:rsidRDefault="007E080B">
      <w:pPr>
        <w:pStyle w:val="FirstParagraph"/>
        <w:rPr>
          <w:lang w:val="en-GB"/>
        </w:rPr>
      </w:pPr>
      <m:oMathPara>
        <m:oMathParaPr>
          <m:jc m:val="center"/>
        </m:oMathParaPr>
        <m:oMath>
          <m:r>
            <w:rPr>
              <w:rFonts w:ascii="Cambria Math" w:hAnsi="Cambria Math"/>
              <w:lang w:val="en-GB"/>
            </w:rPr>
            <m:t>CE=exp(-C·NC</m:t>
          </m:r>
          <m:sSup>
            <m:sSupPr>
              <m:ctrlPr>
                <w:rPr>
                  <w:rFonts w:ascii="Cambria Math" w:hAnsi="Cambria Math"/>
                  <w:lang w:val="en-GB"/>
                </w:rPr>
              </m:ctrlPr>
            </m:sSupPr>
            <m:e>
              <m:r>
                <w:rPr>
                  <w:rFonts w:ascii="Cambria Math" w:hAnsi="Cambria Math"/>
                  <w:lang w:val="en-GB"/>
                </w:rPr>
                <m:t>I</m:t>
              </m:r>
            </m:e>
            <m:sup>
              <m:r>
                <w:rPr>
                  <w:rFonts w:ascii="Cambria Math" w:hAnsi="Cambria Math"/>
                  <w:lang w:val="en-GB"/>
                </w:rPr>
                <m:t>D</m:t>
              </m:r>
            </m:sup>
          </m:sSup>
          <m:r>
            <w:rPr>
              <w:rFonts w:ascii="Cambria Math" w:hAnsi="Cambria Math"/>
              <w:lang w:val="en-GB"/>
            </w:rPr>
            <m:t>)</m:t>
          </m:r>
        </m:oMath>
      </m:oMathPara>
    </w:p>
    <w:p w14:paraId="155A1D90" w14:textId="77777777" w:rsidR="004C22B2" w:rsidRPr="00DD750E" w:rsidRDefault="007E080B">
      <w:pPr>
        <w:pStyle w:val="FirstParagraph"/>
        <w:rPr>
          <w:lang w:val="en-GB"/>
        </w:rPr>
      </w:pPr>
      <m:oMathPara>
        <m:oMathParaPr>
          <m:jc m:val="center"/>
        </m:oMathParaPr>
        <m:oMath>
          <m:r>
            <w:rPr>
              <w:rFonts w:ascii="Cambria Math" w:hAnsi="Cambria Math"/>
              <w:lang w:val="en-GB"/>
            </w:rPr>
            <m:t>C=C'·</m:t>
          </m:r>
          <m:sSup>
            <m:sSupPr>
              <m:ctrlPr>
                <w:rPr>
                  <w:rFonts w:ascii="Cambria Math" w:hAnsi="Cambria Math"/>
                  <w:lang w:val="en-GB"/>
                </w:rPr>
              </m:ctrlPr>
            </m:sSupPr>
            <m:e>
              <m:r>
                <w:rPr>
                  <w:rFonts w:ascii="Cambria Math" w:hAnsi="Cambria Math"/>
                  <w:lang w:val="en-GB"/>
                </w:rPr>
                <m:t>d</m:t>
              </m:r>
            </m:e>
            <m:sup>
              <m:r>
                <w:rPr>
                  <w:rFonts w:ascii="Cambria Math" w:hAnsi="Cambria Math"/>
                  <w:lang w:val="en-GB"/>
                </w:rPr>
                <m:t>γ</m:t>
              </m:r>
            </m:sup>
          </m:sSup>
        </m:oMath>
      </m:oMathPara>
    </w:p>
    <w:p w14:paraId="3D2CCD6B" w14:textId="77777777" w:rsidR="004C22B2" w:rsidRPr="00DD750E" w:rsidRDefault="007E080B">
      <w:pPr>
        <w:pStyle w:val="FirstParagraph"/>
        <w:rPr>
          <w:lang w:val="en-GB"/>
        </w:rPr>
      </w:pPr>
      <m:oMathPara>
        <m:oMathParaPr>
          <m:jc m:val="center"/>
        </m:oMathParaPr>
        <m:oMath>
          <m:r>
            <w:rPr>
              <w:rFonts w:ascii="Cambria Math" w:hAnsi="Cambria Math"/>
              <w:lang w:val="en-GB"/>
            </w:rPr>
            <m:t>NCI=</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S</m:t>
              </m:r>
            </m:sup>
            <m:e>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i</m:t>
                      </m:r>
                    </m:sub>
                  </m:sSub>
                </m:e>
              </m:nary>
            </m:e>
          </m:nary>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ij</m:t>
                  </m:r>
                </m:sub>
                <m:sup>
                  <m:r>
                    <w:rPr>
                      <w:rFonts w:ascii="Cambria Math" w:hAnsi="Cambria Math"/>
                      <w:lang w:val="en-GB"/>
                    </w:rPr>
                    <m:t>α</m:t>
                  </m:r>
                </m:sup>
              </m:sSubSup>
            </m:num>
            <m:den>
              <m:r>
                <w:rPr>
                  <w:rFonts w:ascii="Cambria Math" w:hAnsi="Cambria Math"/>
                  <w:lang w:val="en-GB"/>
                </w:rPr>
                <m:t>dis</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β</m:t>
                  </m:r>
                </m:sup>
              </m:sSup>
            </m:den>
          </m:f>
        </m:oMath>
      </m:oMathPara>
    </w:p>
    <w:p w14:paraId="7AD14CDF" w14:textId="77777777" w:rsidR="004C22B2" w:rsidRPr="00DD750E" w:rsidRDefault="007E080B">
      <w:pPr>
        <w:pStyle w:val="FirstParagraph"/>
        <w:rPr>
          <w:lang w:val="en-GB"/>
        </w:rPr>
      </w:pPr>
      <w:r w:rsidRPr="00DD750E">
        <w:rPr>
          <w:lang w:val="en-GB"/>
        </w:rPr>
        <w:t>See details in Coates et al. (2009)</w:t>
      </w:r>
    </w:p>
    <w:p w14:paraId="4A7F0065" w14:textId="77777777" w:rsidR="004C22B2" w:rsidRPr="00DD750E" w:rsidRDefault="007E080B">
      <w:pPr>
        <w:pStyle w:val="Textoindependiente"/>
        <w:rPr>
          <w:lang w:val="en-GB"/>
        </w:rPr>
      </w:pPr>
      <w:r w:rsidRPr="00DD750E">
        <w:rPr>
          <w:lang w:val="en-GB"/>
        </w:rPr>
        <w:t>Assumptions:</w:t>
      </w:r>
    </w:p>
    <w:p w14:paraId="053F066D" w14:textId="77777777" w:rsidR="004C22B2" w:rsidRPr="00DD750E" w:rsidRDefault="007E080B">
      <w:pPr>
        <w:pStyle w:val="Compact"/>
        <w:numPr>
          <w:ilvl w:val="0"/>
          <w:numId w:val="5"/>
        </w:numPr>
        <w:rPr>
          <w:lang w:val="en-GB"/>
        </w:rPr>
      </w:pPr>
      <w:r w:rsidRPr="00DD750E">
        <w:rPr>
          <w:lang w:val="en-GB"/>
        </w:rPr>
        <w:t>Growth depends on PRG, SE, and CE.</w:t>
      </w:r>
      <w:r w:rsidR="00DD750E">
        <w:rPr>
          <w:lang w:val="en-GB"/>
        </w:rPr>
        <w:t xml:space="preserve"> Shading effect will be considered as covariate in the second part of the study. </w:t>
      </w:r>
    </w:p>
    <w:p w14:paraId="5DE62E01" w14:textId="77777777" w:rsidR="004C22B2" w:rsidRPr="00DD750E" w:rsidRDefault="007E080B">
      <w:pPr>
        <w:pStyle w:val="Compact"/>
        <w:numPr>
          <w:ilvl w:val="0"/>
          <w:numId w:val="5"/>
        </w:numPr>
        <w:rPr>
          <w:lang w:val="en-GB"/>
        </w:rPr>
      </w:pPr>
      <w:r w:rsidRPr="00DD750E">
        <w:rPr>
          <w:lang w:val="en-GB"/>
        </w:rPr>
        <w:t>Size of target trees have an effect on CE (</w:t>
      </w:r>
      <m:oMath>
        <m:r>
          <w:rPr>
            <w:rFonts w:ascii="Cambria Math" w:hAnsi="Cambria Math"/>
            <w:lang w:val="en-GB"/>
          </w:rPr>
          <m:t>C=C'·</m:t>
        </m:r>
        <m:sSup>
          <m:sSupPr>
            <m:ctrlPr>
              <w:rPr>
                <w:rFonts w:ascii="Cambria Math" w:hAnsi="Cambria Math"/>
                <w:lang w:val="en-GB"/>
              </w:rPr>
            </m:ctrlPr>
          </m:sSupPr>
          <m:e>
            <m:r>
              <w:rPr>
                <w:rFonts w:ascii="Cambria Math" w:hAnsi="Cambria Math"/>
                <w:lang w:val="en-GB"/>
              </w:rPr>
              <m:t>d</m:t>
            </m:r>
          </m:e>
          <m:sup>
            <m:r>
              <w:rPr>
                <w:rFonts w:ascii="Cambria Math" w:hAnsi="Cambria Math"/>
                <w:lang w:val="en-GB"/>
              </w:rPr>
              <m:t>γ</m:t>
            </m:r>
          </m:sup>
        </m:sSup>
      </m:oMath>
      <w:r w:rsidRPr="00DD750E">
        <w:rPr>
          <w:lang w:val="en-GB"/>
        </w:rPr>
        <w:t>).</w:t>
      </w:r>
    </w:p>
    <w:p w14:paraId="627FD539" w14:textId="77777777" w:rsidR="004C22B2" w:rsidRPr="00DD750E" w:rsidRDefault="007E080B">
      <w:pPr>
        <w:pStyle w:val="Compact"/>
        <w:numPr>
          <w:ilvl w:val="0"/>
          <w:numId w:val="5"/>
        </w:numPr>
        <w:rPr>
          <w:lang w:val="en-GB"/>
        </w:rPr>
      </w:pPr>
      <w:r w:rsidRPr="00DD750E">
        <w:rPr>
          <w:lang w:val="en-GB"/>
        </w:rPr>
        <w:t>Neighbour species have equivalent effects on target trees (</w:t>
      </w:r>
      <m:oMath>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i</m:t>
            </m:r>
          </m:sub>
        </m:sSub>
        <m:r>
          <w:rPr>
            <w:rFonts w:ascii="Cambria Math" w:hAnsi="Cambria Math"/>
            <w:lang w:val="en-GB"/>
          </w:rPr>
          <m:t>=1</m:t>
        </m:r>
      </m:oMath>
      <w:r w:rsidRPr="00DD750E">
        <w:rPr>
          <w:lang w:val="en-GB"/>
        </w:rPr>
        <w:t>).</w:t>
      </w:r>
    </w:p>
    <w:p w14:paraId="5D23C505" w14:textId="77777777" w:rsidR="004C22B2" w:rsidRPr="00DD750E" w:rsidRDefault="007E080B">
      <w:pPr>
        <w:pStyle w:val="Ttulo2"/>
        <w:rPr>
          <w:lang w:val="en-GB"/>
        </w:rPr>
      </w:pPr>
      <w:bookmarkStart w:id="1" w:name="effects-of-tree-size-on-potential-growth"/>
      <w:bookmarkEnd w:id="1"/>
      <w:r w:rsidRPr="00DD750E">
        <w:rPr>
          <w:lang w:val="en-GB"/>
        </w:rPr>
        <w:t>Effects of tree size on potential growth</w:t>
      </w:r>
    </w:p>
    <w:p w14:paraId="404A3E70" w14:textId="77777777" w:rsidR="004C22B2" w:rsidRPr="00DD750E" w:rsidRDefault="007E080B">
      <w:pPr>
        <w:pStyle w:val="FirstParagraph"/>
        <w:rPr>
          <w:lang w:val="en-GB"/>
        </w:rPr>
      </w:pPr>
      <w:r w:rsidRPr="00DD750E">
        <w:rPr>
          <w:lang w:val="en-GB"/>
        </w:rPr>
        <w:t xml:space="preserve">Potential growth rates are growth rates predicted for a tree of optimal size (i.e. a target tree with </w:t>
      </w:r>
      <m:oMath>
        <m:r>
          <w:rPr>
            <w:rFonts w:ascii="Cambria Math" w:hAnsi="Cambria Math"/>
            <w:lang w:val="en-GB"/>
          </w:rPr>
          <m:t>DB=</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0</m:t>
            </m:r>
          </m:sub>
        </m:sSub>
      </m:oMath>
      <w:r w:rsidRPr="00DD750E">
        <w:rPr>
          <w:lang w:val="en-GB"/>
        </w:rPr>
        <w:t>).</w:t>
      </w:r>
    </w:p>
    <w:p w14:paraId="7B4A1E8F" w14:textId="77777777" w:rsidR="004C22B2" w:rsidRPr="00DD750E" w:rsidRDefault="007E080B">
      <w:pPr>
        <w:pStyle w:val="Textoindependiente"/>
        <w:rPr>
          <w:lang w:val="en-GB"/>
        </w:rPr>
      </w:pPr>
      <w:r w:rsidRPr="00DD750E">
        <w:rPr>
          <w:lang w:val="en-GB"/>
        </w:rPr>
        <w:lastRenderedPageBreak/>
        <w:t>The potential tree growth is predicted to increase throughout the range of sampled tree sizes.</w:t>
      </w:r>
      <w:r w:rsidRPr="00DD750E">
        <w:rPr>
          <w:lang w:val="en-GB"/>
        </w:rPr>
        <w:br/>
      </w:r>
      <w:commentRangeStart w:id="2"/>
      <w:r w:rsidRPr="00DD750E">
        <w:rPr>
          <w:noProof/>
          <w:lang w:val="es-ES" w:eastAsia="es-ES"/>
        </w:rPr>
        <w:drawing>
          <wp:inline distT="0" distB="0" distL="0" distR="0" wp14:anchorId="1311CB93" wp14:editId="2CBB86F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commentRangeEnd w:id="2"/>
      <w:r w:rsidR="008C1B85">
        <w:rPr>
          <w:rStyle w:val="Refdecomentario"/>
        </w:rPr>
        <w:commentReference w:id="2"/>
      </w:r>
    </w:p>
    <w:p w14:paraId="658345EA" w14:textId="77777777" w:rsidR="004C22B2" w:rsidRPr="00DD750E" w:rsidRDefault="007E080B">
      <w:pPr>
        <w:pStyle w:val="Ttulo2"/>
        <w:rPr>
          <w:lang w:val="en-GB"/>
        </w:rPr>
      </w:pPr>
      <w:bookmarkStart w:id="3" w:name="effects-of-tree-size-on-sensitivity-to-c"/>
      <w:bookmarkEnd w:id="3"/>
      <w:r w:rsidRPr="00DD750E">
        <w:rPr>
          <w:lang w:val="en-GB"/>
        </w:rPr>
        <w:t>Effects of tree size on sensitivity to crowding</w:t>
      </w:r>
    </w:p>
    <w:p w14:paraId="781E067C" w14:textId="77777777" w:rsidR="004C22B2" w:rsidRPr="00DD750E" w:rsidRDefault="007E080B">
      <w:pPr>
        <w:pStyle w:val="FirstParagraph"/>
        <w:rPr>
          <w:lang w:val="en-GB"/>
        </w:rPr>
      </w:pPr>
      <w:r w:rsidRPr="00DD750E">
        <w:rPr>
          <w:lang w:val="en-GB"/>
        </w:rPr>
        <w:t xml:space="preserve">The estimate of </w:t>
      </w:r>
      <m:oMath>
        <m:r>
          <w:rPr>
            <w:rFonts w:ascii="Cambria Math" w:hAnsi="Cambria Math"/>
            <w:lang w:val="en-GB"/>
          </w:rPr>
          <m:t>γ</m:t>
        </m:r>
      </m:oMath>
      <w:r w:rsidRPr="00DD750E">
        <w:rPr>
          <w:lang w:val="en-GB"/>
        </w:rPr>
        <w:t xml:space="preserve"> was positive (</w:t>
      </w:r>
      <m:oMath>
        <m:r>
          <w:rPr>
            <w:rFonts w:ascii="Cambria Math" w:hAnsi="Cambria Math"/>
            <w:lang w:val="en-GB"/>
          </w:rPr>
          <m:t>γ=1.96</m:t>
        </m:r>
      </m:oMath>
      <w:r w:rsidRPr="00DD750E">
        <w:rPr>
          <w:lang w:val="en-GB"/>
        </w:rPr>
        <w:t xml:space="preserve">), indicating that </w:t>
      </w:r>
      <w:r w:rsidRPr="00DD750E">
        <w:rPr>
          <w:b/>
          <w:lang w:val="en-GB"/>
        </w:rPr>
        <w:t>larger trees are more sensitive to crowding than smaller trees</w:t>
      </w:r>
      <w:r w:rsidRPr="00DD750E">
        <w:rPr>
          <w:lang w:val="en-GB"/>
        </w:rPr>
        <w:t>.</w:t>
      </w:r>
    </w:p>
    <w:p w14:paraId="32EBB324" w14:textId="77777777" w:rsidR="004C22B2" w:rsidRPr="00DD750E" w:rsidRDefault="007E080B">
      <w:pPr>
        <w:pStyle w:val="Ttulo2"/>
        <w:rPr>
          <w:lang w:val="en-GB"/>
        </w:rPr>
      </w:pPr>
      <w:bookmarkStart w:id="4" w:name="effects-of-distance-to-neighbours-on-deg"/>
      <w:bookmarkEnd w:id="4"/>
      <w:r w:rsidRPr="00DD750E">
        <w:rPr>
          <w:lang w:val="en-GB"/>
        </w:rPr>
        <w:t>Effects of distance to neighbours on degree of crowding</w:t>
      </w:r>
    </w:p>
    <w:p w14:paraId="17443BBB" w14:textId="77777777" w:rsidR="004C22B2" w:rsidRPr="00DD750E" w:rsidRDefault="007E080B">
      <w:pPr>
        <w:pStyle w:val="FirstParagraph"/>
        <w:rPr>
          <w:lang w:val="en-GB"/>
        </w:rPr>
      </w:pPr>
      <w:r w:rsidRPr="00DD750E">
        <w:rPr>
          <w:lang w:val="en-GB"/>
        </w:rPr>
        <w:t>NCI sums the crowding effects of all neighbouring trees.</w:t>
      </w:r>
    </w:p>
    <w:p w14:paraId="2FB42BA2" w14:textId="77777777" w:rsidR="004C22B2" w:rsidRPr="00DD750E" w:rsidRDefault="007E080B">
      <w:pPr>
        <w:pStyle w:val="Textoindependiente"/>
        <w:rPr>
          <w:lang w:val="en-GB"/>
        </w:rPr>
      </w:pPr>
      <w:r w:rsidRPr="00DD750E">
        <w:rPr>
          <w:lang w:val="en-GB"/>
        </w:rPr>
        <w:t xml:space="preserve">The </w:t>
      </w:r>
      <m:oMath>
        <m:r>
          <w:rPr>
            <w:rFonts w:ascii="Cambria Math" w:hAnsi="Cambria Math"/>
            <w:lang w:val="en-GB"/>
          </w:rPr>
          <m:t>β</m:t>
        </m:r>
      </m:oMath>
      <w:r w:rsidRPr="00DD750E">
        <w:rPr>
          <w:lang w:val="en-GB"/>
        </w:rPr>
        <w:t xml:space="preserve"> parameter in the NCI equation determines the decline (if any) in the </w:t>
      </w:r>
      <w:commentRangeStart w:id="5"/>
      <w:r w:rsidRPr="00DD750E">
        <w:rPr>
          <w:lang w:val="en-GB"/>
        </w:rPr>
        <w:t xml:space="preserve">belowground effect </w:t>
      </w:r>
      <w:commentRangeEnd w:id="5"/>
      <w:r w:rsidR="008C1B85">
        <w:rPr>
          <w:rStyle w:val="Refdecomentario"/>
        </w:rPr>
        <w:commentReference w:id="5"/>
      </w:r>
      <w:r w:rsidRPr="00DD750E">
        <w:rPr>
          <w:lang w:val="en-GB"/>
        </w:rPr>
        <w:t>of a neighbour with increasing distance from a target tree.</w:t>
      </w:r>
    </w:p>
    <w:p w14:paraId="2DFAB042" w14:textId="77777777" w:rsidR="004C22B2" w:rsidRPr="00DD750E" w:rsidRDefault="007E080B">
      <w:pPr>
        <w:pStyle w:val="Textoindependiente"/>
        <w:rPr>
          <w:lang w:val="en-GB"/>
        </w:rPr>
      </w:pPr>
      <w:r w:rsidRPr="00DD750E">
        <w:rPr>
          <w:lang w:val="en-GB"/>
        </w:rPr>
        <w:t xml:space="preserve">The </w:t>
      </w:r>
      <m:oMath>
        <m:r>
          <w:rPr>
            <w:rFonts w:ascii="Cambria Math" w:hAnsi="Cambria Math"/>
            <w:lang w:val="en-GB"/>
          </w:rPr>
          <m:t>β</m:t>
        </m:r>
      </m:oMath>
      <w:r w:rsidRPr="00DD750E">
        <w:rPr>
          <w:lang w:val="en-GB"/>
        </w:rPr>
        <w:t xml:space="preserve"> parameter resulted large (</w:t>
      </w:r>
      <m:oMath>
        <m:r>
          <w:rPr>
            <w:rFonts w:ascii="Cambria Math" w:hAnsi="Cambria Math"/>
            <w:lang w:val="en-GB"/>
          </w:rPr>
          <m:t>β=1.07</m:t>
        </m:r>
      </m:oMath>
      <w:r w:rsidRPr="00DD750E">
        <w:rPr>
          <w:lang w:val="en-GB"/>
        </w:rPr>
        <w:t xml:space="preserve">), indicating that </w:t>
      </w:r>
      <w:r w:rsidRPr="00DD750E">
        <w:rPr>
          <w:b/>
          <w:lang w:val="en-GB"/>
        </w:rPr>
        <w:t>the effects of neighbours declined as an inverse linear or square root function of distance from the target tree</w:t>
      </w:r>
      <w:r w:rsidRPr="00DD750E">
        <w:rPr>
          <w:lang w:val="en-GB"/>
        </w:rPr>
        <w:t>.</w:t>
      </w:r>
    </w:p>
    <w:p w14:paraId="0548959E" w14:textId="77777777" w:rsidR="004C22B2" w:rsidRPr="00DD750E" w:rsidRDefault="007E080B">
      <w:pPr>
        <w:pStyle w:val="Ttulo2"/>
        <w:rPr>
          <w:lang w:val="en-GB"/>
        </w:rPr>
      </w:pPr>
      <w:bookmarkStart w:id="6" w:name="effects-of-size-of-neighbours-on-degree-"/>
      <w:bookmarkEnd w:id="6"/>
      <w:r w:rsidRPr="00DD750E">
        <w:rPr>
          <w:lang w:val="en-GB"/>
        </w:rPr>
        <w:t>Effects of size of neighbours on degree of crowding</w:t>
      </w:r>
    </w:p>
    <w:p w14:paraId="4CA0865F" w14:textId="77777777" w:rsidR="004C22B2" w:rsidRPr="00DD750E" w:rsidRDefault="007E080B">
      <w:pPr>
        <w:pStyle w:val="FirstParagraph"/>
        <w:rPr>
          <w:lang w:val="en-GB"/>
        </w:rPr>
      </w:pPr>
      <w:r w:rsidRPr="00DD750E">
        <w:rPr>
          <w:lang w:val="en-GB"/>
        </w:rPr>
        <w:t xml:space="preserve">The exponent </w:t>
      </w:r>
      <m:oMath>
        <m:r>
          <w:rPr>
            <w:rFonts w:ascii="Cambria Math" w:hAnsi="Cambria Math"/>
            <w:lang w:val="en-GB"/>
          </w:rPr>
          <m:t>α</m:t>
        </m:r>
      </m:oMath>
      <w:r w:rsidRPr="00DD750E">
        <w:rPr>
          <w:lang w:val="en-GB"/>
        </w:rPr>
        <w:t xml:space="preserve"> in </w:t>
      </w:r>
      <w:r w:rsidRPr="00DD750E">
        <w:rPr>
          <w:i/>
          <w:lang w:val="en-GB"/>
        </w:rPr>
        <w:t>NCI</w:t>
      </w:r>
      <w:r w:rsidRPr="00DD750E">
        <w:rPr>
          <w:lang w:val="en-GB"/>
        </w:rPr>
        <w:t xml:space="preserve"> controls the scaling of the effects of neighbouring tree size on </w:t>
      </w:r>
      <w:r w:rsidRPr="00DD750E">
        <w:rPr>
          <w:i/>
          <w:lang w:val="en-GB"/>
        </w:rPr>
        <w:t>NCI</w:t>
      </w:r>
      <w:r w:rsidRPr="00DD750E">
        <w:rPr>
          <w:lang w:val="en-GB"/>
        </w:rPr>
        <w:t xml:space="preserve"> (and hence, on target tree radial growth).</w:t>
      </w:r>
    </w:p>
    <w:p w14:paraId="454FB84A" w14:textId="77777777" w:rsidR="004C22B2" w:rsidRPr="00DD750E" w:rsidRDefault="007E080B">
      <w:pPr>
        <w:pStyle w:val="Textoindependiente"/>
        <w:rPr>
          <w:lang w:val="en-GB"/>
        </w:rPr>
      </w:pPr>
      <w:r w:rsidRPr="00DD750E">
        <w:rPr>
          <w:lang w:val="en-GB"/>
        </w:rPr>
        <w:t xml:space="preserve">In our case </w:t>
      </w:r>
      <m:oMath>
        <m:r>
          <w:rPr>
            <w:rFonts w:ascii="Cambria Math" w:hAnsi="Cambria Math"/>
            <w:lang w:val="en-GB"/>
          </w:rPr>
          <m:t>α=1.59</m:t>
        </m:r>
      </m:oMath>
      <w:r w:rsidRPr="00DD750E">
        <w:rPr>
          <w:lang w:val="en-GB"/>
        </w:rPr>
        <w:t xml:space="preserve">. Therefore, </w:t>
      </w:r>
      <w:r w:rsidRPr="00DD750E">
        <w:rPr>
          <w:b/>
          <w:lang w:val="en-GB"/>
        </w:rPr>
        <w:t xml:space="preserve">the degree of crowding is roughly proportional to the </w:t>
      </w:r>
      <w:commentRangeStart w:id="7"/>
      <w:r w:rsidRPr="00DD750E">
        <w:rPr>
          <w:b/>
          <w:lang w:val="en-GB"/>
        </w:rPr>
        <w:t>biomass of the neighbouring trees</w:t>
      </w:r>
      <w:commentRangeEnd w:id="7"/>
      <w:r w:rsidR="008C1B85">
        <w:rPr>
          <w:rStyle w:val="Refdecomentario"/>
        </w:rPr>
        <w:commentReference w:id="7"/>
      </w:r>
      <w:r w:rsidRPr="00DD750E">
        <w:rPr>
          <w:lang w:val="en-GB"/>
        </w:rPr>
        <w:t>, without being scaled to their basal area.</w:t>
      </w:r>
    </w:p>
    <w:p w14:paraId="1E5DB731" w14:textId="77777777" w:rsidR="004C22B2" w:rsidRPr="00DD750E" w:rsidRDefault="007E080B">
      <w:pPr>
        <w:pStyle w:val="Ttulo1"/>
        <w:rPr>
          <w:lang w:val="en-GB"/>
        </w:rPr>
      </w:pPr>
      <w:bookmarkStart w:id="8" w:name="effects-of-competition-indices-on-pines-"/>
      <w:bookmarkEnd w:id="8"/>
      <w:r w:rsidRPr="00DD750E">
        <w:rPr>
          <w:lang w:val="en-GB"/>
        </w:rPr>
        <w:lastRenderedPageBreak/>
        <w:t>EFFECTS OF COMPETITION INDICES ON PINES GROWTH</w:t>
      </w:r>
    </w:p>
    <w:p w14:paraId="0C499125" w14:textId="77777777" w:rsidR="004C22B2" w:rsidRPr="00DD750E" w:rsidRDefault="007E080B">
      <w:pPr>
        <w:pStyle w:val="FirstParagraph"/>
        <w:rPr>
          <w:lang w:val="en-GB"/>
        </w:rPr>
      </w:pPr>
      <w:r w:rsidRPr="00DD750E">
        <w:rPr>
          <w:lang w:val="en-GB"/>
        </w:rPr>
        <w:t>In this section, I check the influence of different competition indices on the mean basal area increment (BAI) for the last five years, and the increment in basal diameter (DI).</w:t>
      </w:r>
    </w:p>
    <w:p w14:paraId="7D51F0B6" w14:textId="77777777" w:rsidR="004C22B2" w:rsidRPr="00DD750E" w:rsidRDefault="007E080B">
      <w:pPr>
        <w:pStyle w:val="Textoindependiente"/>
        <w:rPr>
          <w:lang w:val="en-GB"/>
        </w:rPr>
      </w:pPr>
      <w:r w:rsidRPr="00DD750E">
        <w:rPr>
          <w:lang w:val="en-GB"/>
        </w:rPr>
        <w:t>The selection of competition indices was done based on Contreras et al. (2011) results, so I kept their nomenclature. I also included the NCI</w:t>
      </w:r>
      <w:r w:rsidR="00DD750E">
        <w:rPr>
          <w:lang w:val="en-GB"/>
        </w:rPr>
        <w:t xml:space="preserve"> calculated considering three different models (Model.03: tree size is not considered; Model.04: tree size is considered; Model.05: Gaussian competition effect)</w:t>
      </w:r>
      <w:r w:rsidRPr="00DD750E">
        <w:rPr>
          <w:lang w:val="en-GB"/>
        </w:rPr>
        <w:t>.</w:t>
      </w:r>
    </w:p>
    <w:p w14:paraId="4B8C5FC4" w14:textId="77777777" w:rsidR="004C22B2" w:rsidRPr="00DD750E" w:rsidRDefault="007E080B">
      <w:pPr>
        <w:pStyle w:val="Ttulo3"/>
        <w:rPr>
          <w:lang w:val="en-GB"/>
        </w:rPr>
      </w:pPr>
      <w:bookmarkStart w:id="9" w:name="considered-competition-indices"/>
      <w:bookmarkEnd w:id="9"/>
      <w:r w:rsidRPr="00DD750E">
        <w:rPr>
          <w:lang w:val="en-GB"/>
        </w:rPr>
        <w:t>Considered competition indices</w:t>
      </w:r>
    </w:p>
    <w:p w14:paraId="6342C089" w14:textId="77777777" w:rsidR="004C22B2" w:rsidRPr="00DD750E" w:rsidRDefault="007E080B">
      <w:pPr>
        <w:pStyle w:val="Compact"/>
        <w:numPr>
          <w:ilvl w:val="0"/>
          <w:numId w:val="6"/>
        </w:numPr>
        <w:rPr>
          <w:lang w:val="en-GB"/>
        </w:rPr>
      </w:pPr>
      <w:r w:rsidRPr="00DD750E">
        <w:rPr>
          <w:lang w:val="en-GB"/>
        </w:rPr>
        <w:t>Neighb</w:t>
      </w:r>
      <w:r w:rsidR="00DD750E">
        <w:rPr>
          <w:lang w:val="en-GB"/>
        </w:rPr>
        <w:t>ourhood Competition Index (NCI)</w:t>
      </w:r>
    </w:p>
    <w:p w14:paraId="12E13BE9" w14:textId="77777777" w:rsidR="004C22B2" w:rsidRPr="00DD750E" w:rsidRDefault="007E080B">
      <w:pPr>
        <w:pStyle w:val="Compact"/>
        <w:numPr>
          <w:ilvl w:val="0"/>
          <w:numId w:val="6"/>
        </w:numPr>
        <w:rPr>
          <w:lang w:val="en-GB"/>
        </w:rPr>
      </w:pPr>
      <w:r w:rsidRPr="00DD750E">
        <w:rPr>
          <w:lang w:val="en-GB"/>
        </w:rPr>
        <w:t>Hegyi (C8)</w:t>
      </w:r>
    </w:p>
    <w:p w14:paraId="65C421F3" w14:textId="77777777" w:rsidR="004C22B2" w:rsidRPr="00DD750E" w:rsidRDefault="007E080B">
      <w:pPr>
        <w:pStyle w:val="Compact"/>
        <w:numPr>
          <w:ilvl w:val="0"/>
          <w:numId w:val="6"/>
        </w:numPr>
        <w:rPr>
          <w:lang w:val="en-GB"/>
        </w:rPr>
      </w:pPr>
      <w:r w:rsidRPr="00DD750E">
        <w:rPr>
          <w:lang w:val="en-GB"/>
        </w:rPr>
        <w:t>Rouvinen and Kuuluvainen (C10)</w:t>
      </w:r>
    </w:p>
    <w:p w14:paraId="30574BFB" w14:textId="77777777" w:rsidR="004C22B2" w:rsidRPr="00DD750E" w:rsidRDefault="007E080B">
      <w:pPr>
        <w:pStyle w:val="Compact"/>
        <w:numPr>
          <w:ilvl w:val="0"/>
          <w:numId w:val="6"/>
        </w:numPr>
        <w:rPr>
          <w:lang w:val="en-GB"/>
        </w:rPr>
      </w:pPr>
      <w:r w:rsidRPr="00DD750E">
        <w:rPr>
          <w:lang w:val="en-GB"/>
        </w:rPr>
        <w:t>Rouvinen and Kuuluvainen (C11)</w:t>
      </w:r>
    </w:p>
    <w:p w14:paraId="200ABAD2" w14:textId="77777777" w:rsidR="004C22B2" w:rsidRPr="00DD750E" w:rsidRDefault="007E080B">
      <w:pPr>
        <w:pStyle w:val="Compact"/>
        <w:numPr>
          <w:ilvl w:val="0"/>
          <w:numId w:val="6"/>
        </w:numPr>
        <w:rPr>
          <w:lang w:val="en-GB"/>
        </w:rPr>
      </w:pPr>
      <w:r w:rsidRPr="00DD750E">
        <w:rPr>
          <w:lang w:val="en-GB"/>
        </w:rPr>
        <w:t>Braathe (C9)</w:t>
      </w:r>
    </w:p>
    <w:p w14:paraId="56ADCD93" w14:textId="77777777" w:rsidR="004C22B2" w:rsidRPr="00DD750E" w:rsidRDefault="007E080B">
      <w:pPr>
        <w:pStyle w:val="Compact"/>
        <w:numPr>
          <w:ilvl w:val="0"/>
          <w:numId w:val="6"/>
        </w:numPr>
        <w:rPr>
          <w:lang w:val="en-GB"/>
        </w:rPr>
      </w:pPr>
      <w:r w:rsidRPr="00DD750E">
        <w:rPr>
          <w:lang w:val="en-GB"/>
        </w:rPr>
        <w:t>Rouvinen and Kuuluvainen (C12)</w:t>
      </w:r>
    </w:p>
    <w:p w14:paraId="64B45E96" w14:textId="77777777" w:rsidR="004C22B2" w:rsidRPr="00DD750E" w:rsidRDefault="007E080B">
      <w:pPr>
        <w:pStyle w:val="Compact"/>
        <w:numPr>
          <w:ilvl w:val="0"/>
          <w:numId w:val="6"/>
        </w:numPr>
        <w:rPr>
          <w:lang w:val="en-GB"/>
        </w:rPr>
      </w:pPr>
      <w:r w:rsidRPr="00DD750E">
        <w:rPr>
          <w:lang w:val="en-GB"/>
        </w:rPr>
        <w:t>Rouvinen and Kuuluvainen (C13)</w:t>
      </w:r>
    </w:p>
    <w:p w14:paraId="769D86B1" w14:textId="77777777" w:rsidR="004C22B2" w:rsidRPr="00DD750E" w:rsidRDefault="007E080B">
      <w:pPr>
        <w:pStyle w:val="Ttulo2"/>
        <w:rPr>
          <w:lang w:val="en-GB"/>
        </w:rPr>
      </w:pPr>
      <w:bookmarkStart w:id="10" w:name="effects-of-nci-on-bai-and-di"/>
      <w:bookmarkEnd w:id="10"/>
      <w:r w:rsidRPr="00DD750E">
        <w:rPr>
          <w:lang w:val="en-GB"/>
        </w:rPr>
        <w:t>Effects of NCI on BAI and DI</w:t>
      </w:r>
    </w:p>
    <w:p w14:paraId="14452B37" w14:textId="77777777" w:rsidR="004C22B2" w:rsidRPr="00DD750E" w:rsidRDefault="007E080B">
      <w:pPr>
        <w:pStyle w:val="FirstParagraph"/>
        <w:rPr>
          <w:lang w:val="en-GB"/>
        </w:rPr>
      </w:pPr>
      <w:r w:rsidRPr="00DD750E">
        <w:rPr>
          <w:lang w:val="en-GB"/>
        </w:rPr>
        <w:t>The NCI specifies the net crowding effect of the neighbours on the target trees.</w:t>
      </w:r>
    </w:p>
    <w:p w14:paraId="3C979AA6" w14:textId="77777777" w:rsidR="004C22B2" w:rsidRPr="00DD750E" w:rsidRDefault="007E080B">
      <w:pPr>
        <w:pStyle w:val="Textoindependiente"/>
        <w:rPr>
          <w:lang w:val="en-GB"/>
        </w:rPr>
      </w:pPr>
      <m:oMathPara>
        <m:oMathParaPr>
          <m:jc m:val="center"/>
        </m:oMathParaPr>
        <m:oMath>
          <m:r>
            <w:rPr>
              <w:rFonts w:ascii="Cambria Math" w:hAnsi="Cambria Math"/>
              <w:lang w:val="en-GB"/>
            </w:rPr>
            <m:t>NCI=</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S</m:t>
              </m:r>
            </m:sup>
            <m:e>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i</m:t>
                      </m:r>
                    </m:sub>
                  </m:sSub>
                </m:e>
              </m:nary>
            </m:e>
          </m:nary>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ij</m:t>
                  </m:r>
                </m:sub>
                <m:sup>
                  <m:r>
                    <w:rPr>
                      <w:rFonts w:ascii="Cambria Math" w:hAnsi="Cambria Math"/>
                      <w:lang w:val="en-GB"/>
                    </w:rPr>
                    <m:t>α</m:t>
                  </m:r>
                </m:sup>
              </m:sSubSup>
            </m:num>
            <m:den>
              <m:r>
                <w:rPr>
                  <w:rFonts w:ascii="Cambria Math" w:hAnsi="Cambria Math"/>
                  <w:lang w:val="en-GB"/>
                </w:rPr>
                <m:t>dis</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β</m:t>
                  </m:r>
                </m:sup>
              </m:sSup>
            </m:den>
          </m:f>
        </m:oMath>
      </m:oMathPara>
    </w:p>
    <w:p w14:paraId="1F149897" w14:textId="77777777" w:rsidR="000E0C07" w:rsidRPr="00DD750E" w:rsidRDefault="000E0C07" w:rsidP="000E0C07">
      <w:pPr>
        <w:pStyle w:val="Ttulo3"/>
        <w:rPr>
          <w:lang w:val="en-GB"/>
        </w:rPr>
      </w:pPr>
      <w:r>
        <w:rPr>
          <w:lang w:val="en-GB"/>
        </w:rPr>
        <w:t>NCI calculated from "Model.03</w:t>
      </w:r>
      <w:r w:rsidRPr="00DD750E">
        <w:rPr>
          <w:lang w:val="en-GB"/>
        </w:rPr>
        <w:t>" (Size effect + Competition effect)</w:t>
      </w:r>
    </w:p>
    <w:p w14:paraId="742E9ADD" w14:textId="77777777" w:rsidR="004C22B2" w:rsidRPr="00DD750E" w:rsidRDefault="007E080B">
      <w:pPr>
        <w:pStyle w:val="Textoindependiente"/>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3AF81176"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715782D6" wp14:editId="45434294">
            <wp:extent cx="5334000" cy="8001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4-1.png"/>
                    <pic:cNvPicPr>
                      <a:picLocks noChangeAspect="1" noChangeArrowheads="1"/>
                    </pic:cNvPicPr>
                  </pic:nvPicPr>
                  <pic:blipFill>
                    <a:blip r:embed="rId10"/>
                    <a:stretch>
                      <a:fillRect/>
                    </a:stretch>
                  </pic:blipFill>
                  <pic:spPr bwMode="auto">
                    <a:xfrm>
                      <a:off x="0" y="0"/>
                      <a:ext cx="5334000" cy="8001000"/>
                    </a:xfrm>
                    <a:prstGeom prst="rect">
                      <a:avLst/>
                    </a:prstGeom>
                    <a:noFill/>
                    <a:ln w="9525">
                      <a:noFill/>
                      <a:headEnd/>
                      <a:tailEnd/>
                    </a:ln>
                  </pic:spPr>
                </pic:pic>
              </a:graphicData>
            </a:graphic>
          </wp:inline>
        </w:drawing>
      </w:r>
    </w:p>
    <w:p w14:paraId="59C2BB66" w14:textId="77777777" w:rsidR="004C22B2" w:rsidRPr="00DD750E" w:rsidRDefault="007E080B">
      <w:pPr>
        <w:pStyle w:val="Ttulo3"/>
        <w:rPr>
          <w:lang w:val="en-GB"/>
        </w:rPr>
      </w:pPr>
      <w:bookmarkStart w:id="11" w:name="nci-calculated-from-model.04-size-effect"/>
      <w:bookmarkEnd w:id="11"/>
      <w:r w:rsidRPr="00DD750E">
        <w:rPr>
          <w:lang w:val="en-GB"/>
        </w:rPr>
        <w:lastRenderedPageBreak/>
        <w:t>NCI calculated from "Model.04" (Size effect + Competition effect (cons</w:t>
      </w:r>
      <w:r w:rsidR="000E0C07">
        <w:rPr>
          <w:lang w:val="en-GB"/>
        </w:rPr>
        <w:t>idering the effect of tree size</w:t>
      </w:r>
      <w:r w:rsidRPr="00DD750E">
        <w:rPr>
          <w:lang w:val="en-GB"/>
        </w:rPr>
        <w:t>))</w:t>
      </w:r>
    </w:p>
    <w:p w14:paraId="1E9C2899" w14:textId="77777777"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67CE48AD"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405E04E7" wp14:editId="71EEE34A">
            <wp:extent cx="5334000" cy="8001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5-1.png"/>
                    <pic:cNvPicPr>
                      <a:picLocks noChangeAspect="1" noChangeArrowheads="1"/>
                    </pic:cNvPicPr>
                  </pic:nvPicPr>
                  <pic:blipFill>
                    <a:blip r:embed="rId11"/>
                    <a:stretch>
                      <a:fillRect/>
                    </a:stretch>
                  </pic:blipFill>
                  <pic:spPr bwMode="auto">
                    <a:xfrm>
                      <a:off x="0" y="0"/>
                      <a:ext cx="5334000" cy="8001000"/>
                    </a:xfrm>
                    <a:prstGeom prst="rect">
                      <a:avLst/>
                    </a:prstGeom>
                    <a:noFill/>
                    <a:ln w="9525">
                      <a:noFill/>
                      <a:headEnd/>
                      <a:tailEnd/>
                    </a:ln>
                  </pic:spPr>
                </pic:pic>
              </a:graphicData>
            </a:graphic>
          </wp:inline>
        </w:drawing>
      </w:r>
    </w:p>
    <w:p w14:paraId="6FC6FF8B" w14:textId="77777777" w:rsidR="004C22B2" w:rsidRPr="00DD750E" w:rsidRDefault="007E080B">
      <w:pPr>
        <w:pStyle w:val="Ttulo3"/>
        <w:rPr>
          <w:lang w:val="en-GB"/>
        </w:rPr>
      </w:pPr>
      <w:bookmarkStart w:id="12" w:name="nci-calculated-from-model.05-size-effect"/>
      <w:bookmarkEnd w:id="12"/>
      <w:r w:rsidRPr="00DD750E">
        <w:rPr>
          <w:lang w:val="en-GB"/>
        </w:rPr>
        <w:lastRenderedPageBreak/>
        <w:t>NCI calculated from "Model.05" (Size effect + Gaussian competition effect)</w:t>
      </w:r>
    </w:p>
    <w:p w14:paraId="40466A83" w14:textId="77777777"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6870F689"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749271C2" wp14:editId="312324A0">
            <wp:extent cx="53340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6-1.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p>
    <w:p w14:paraId="50AEC288" w14:textId="77777777" w:rsidR="004C22B2" w:rsidRPr="00DD750E" w:rsidRDefault="007E080B">
      <w:pPr>
        <w:pStyle w:val="Ttulo2"/>
        <w:rPr>
          <w:lang w:val="en-GB"/>
        </w:rPr>
      </w:pPr>
      <w:bookmarkStart w:id="13" w:name="effects-of-ci8-on-bai-and-di"/>
      <w:bookmarkEnd w:id="13"/>
      <w:r w:rsidRPr="00DD750E">
        <w:rPr>
          <w:lang w:val="en-GB"/>
        </w:rPr>
        <w:lastRenderedPageBreak/>
        <w:t>Effects of CI8 on BAI and DI</w:t>
      </w:r>
    </w:p>
    <w:p w14:paraId="5B69B04C" w14:textId="77777777" w:rsidR="004C22B2" w:rsidRPr="00DD750E" w:rsidRDefault="007E080B">
      <w:pPr>
        <w:pStyle w:val="FirstParagraph"/>
        <w:rPr>
          <w:lang w:val="en-GB"/>
        </w:rPr>
      </w:pPr>
      <w:r w:rsidRPr="00DD750E">
        <w:rPr>
          <w:lang w:val="en-GB"/>
        </w:rPr>
        <w:t>Hegyi (C8)</w:t>
      </w:r>
    </w:p>
    <w:p w14:paraId="009D4C19" w14:textId="77777777"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8</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d·di</m:t>
                  </m:r>
                  <m:r>
                    <m:rPr>
                      <m:sty m:val="p"/>
                    </m:rPr>
                    <w:rPr>
                      <w:rStyle w:val="Refdecomentario"/>
                    </w:rPr>
                    <w:commentReference w:id="14"/>
                  </m:r>
                  <m:r>
                    <w:rPr>
                      <w:rFonts w:ascii="Cambria Math" w:hAnsi="Cambria Math"/>
                      <w:lang w:val="en-GB"/>
                    </w:rPr>
                    <m:t>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e>
          </m:nary>
        </m:oMath>
      </m:oMathPara>
    </w:p>
    <w:p w14:paraId="2D7D118E" w14:textId="77777777"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bookmarkStart w:id="15" w:name="_GoBack"/>
      <w:bookmarkEnd w:id="15"/>
    </w:p>
    <w:p w14:paraId="32175073"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2C40DF6C" wp14:editId="4FC80F25">
            <wp:extent cx="5334000" cy="8001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7-1.png"/>
                    <pic:cNvPicPr>
                      <a:picLocks noChangeAspect="1" noChangeArrowheads="1"/>
                    </pic:cNvPicPr>
                  </pic:nvPicPr>
                  <pic:blipFill>
                    <a:blip r:embed="rId13"/>
                    <a:stretch>
                      <a:fillRect/>
                    </a:stretch>
                  </pic:blipFill>
                  <pic:spPr bwMode="auto">
                    <a:xfrm>
                      <a:off x="0" y="0"/>
                      <a:ext cx="5334000" cy="8001000"/>
                    </a:xfrm>
                    <a:prstGeom prst="rect">
                      <a:avLst/>
                    </a:prstGeom>
                    <a:noFill/>
                    <a:ln w="9525">
                      <a:noFill/>
                      <a:headEnd/>
                      <a:tailEnd/>
                    </a:ln>
                  </pic:spPr>
                </pic:pic>
              </a:graphicData>
            </a:graphic>
          </wp:inline>
        </w:drawing>
      </w:r>
    </w:p>
    <w:p w14:paraId="43762548" w14:textId="77777777" w:rsidR="004C22B2" w:rsidRPr="00DD750E" w:rsidRDefault="007E080B">
      <w:pPr>
        <w:pStyle w:val="Ttulo2"/>
        <w:rPr>
          <w:lang w:val="en-GB"/>
        </w:rPr>
      </w:pPr>
      <w:bookmarkStart w:id="16" w:name="effects-of-ci10-on-bai-and-di"/>
      <w:bookmarkEnd w:id="16"/>
      <w:r w:rsidRPr="00DD750E">
        <w:rPr>
          <w:lang w:val="en-GB"/>
        </w:rPr>
        <w:lastRenderedPageBreak/>
        <w:t>Effects of CI10 on BAI and DI</w:t>
      </w:r>
    </w:p>
    <w:p w14:paraId="268100A7" w14:textId="77777777" w:rsidR="004C22B2" w:rsidRPr="00DD750E" w:rsidRDefault="007E080B">
      <w:pPr>
        <w:pStyle w:val="FirstParagraph"/>
        <w:rPr>
          <w:lang w:val="en-GB"/>
        </w:rPr>
      </w:pPr>
      <w:r w:rsidRPr="00DD750E">
        <w:rPr>
          <w:lang w:val="en-GB"/>
        </w:rPr>
        <w:t>Rouvinen and Kuuluvainen (C10) Sum of the horizontal angles from the target tree and spanning the basal diameter of each neighbour.</w:t>
      </w:r>
    </w:p>
    <w:p w14:paraId="3E02DF62" w14:textId="77777777"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10</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a</m:t>
              </m:r>
            </m:e>
          </m:nary>
          <m:r>
            <w:rPr>
              <w:rFonts w:ascii="Cambria Math" w:hAnsi="Cambria Math"/>
              <w:lang w:val="en-GB"/>
            </w:rPr>
            <m:t>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14:paraId="0F408ED7" w14:textId="77777777"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3AB49896"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48F9E146" wp14:editId="3544044F">
            <wp:extent cx="5334000" cy="8001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8-1.png"/>
                    <pic:cNvPicPr>
                      <a:picLocks noChangeAspect="1" noChangeArrowheads="1"/>
                    </pic:cNvPicPr>
                  </pic:nvPicPr>
                  <pic:blipFill>
                    <a:blip r:embed="rId14"/>
                    <a:stretch>
                      <a:fillRect/>
                    </a:stretch>
                  </pic:blipFill>
                  <pic:spPr bwMode="auto">
                    <a:xfrm>
                      <a:off x="0" y="0"/>
                      <a:ext cx="5334000" cy="8001000"/>
                    </a:xfrm>
                    <a:prstGeom prst="rect">
                      <a:avLst/>
                    </a:prstGeom>
                    <a:noFill/>
                    <a:ln w="9525">
                      <a:noFill/>
                      <a:headEnd/>
                      <a:tailEnd/>
                    </a:ln>
                  </pic:spPr>
                </pic:pic>
              </a:graphicData>
            </a:graphic>
          </wp:inline>
        </w:drawing>
      </w:r>
    </w:p>
    <w:p w14:paraId="3D4E7B19" w14:textId="77777777" w:rsidR="004C22B2" w:rsidRPr="00DD750E" w:rsidRDefault="007E080B">
      <w:pPr>
        <w:pStyle w:val="Ttulo2"/>
        <w:rPr>
          <w:lang w:val="en-GB"/>
        </w:rPr>
      </w:pPr>
      <w:bookmarkStart w:id="17" w:name="effects-of-ci11-on-bai-and-di"/>
      <w:bookmarkEnd w:id="17"/>
      <w:r w:rsidRPr="00DD750E">
        <w:rPr>
          <w:lang w:val="en-GB"/>
        </w:rPr>
        <w:lastRenderedPageBreak/>
        <w:t>Effects of CI11 on BAI and DI</w:t>
      </w:r>
    </w:p>
    <w:p w14:paraId="06D5484D" w14:textId="77777777" w:rsidR="004C22B2" w:rsidRPr="00DD750E" w:rsidRDefault="007E080B">
      <w:pPr>
        <w:pStyle w:val="FirstParagraph"/>
        <w:rPr>
          <w:lang w:val="en-GB"/>
        </w:rPr>
      </w:pPr>
      <w:r w:rsidRPr="00DD750E">
        <w:rPr>
          <w:lang w:val="en-GB"/>
        </w:rPr>
        <w:t>Rouvinen and Kuuluvainen (C11) Sum of the horizontal angles from the target tree and spanning the basal diameter of each neighbour considering higher competition of neighbours larger than the target tree.</w:t>
      </w:r>
    </w:p>
    <w:p w14:paraId="3F4359C3" w14:textId="77777777"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11</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m:t>
                  </m:r>
                </m:den>
              </m:f>
            </m:e>
          </m:nary>
          <m:r>
            <w:rPr>
              <w:rFonts w:ascii="Cambria Math" w:hAnsi="Cambria Math"/>
              <w:lang w:val="en-GB"/>
            </w:rPr>
            <m:t>arctan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14:paraId="15D752A0" w14:textId="77777777"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0089943A"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0D66284A" wp14:editId="23244D57">
            <wp:extent cx="5334000" cy="8001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9-1.png"/>
                    <pic:cNvPicPr>
                      <a:picLocks noChangeAspect="1" noChangeArrowheads="1"/>
                    </pic:cNvPicPr>
                  </pic:nvPicPr>
                  <pic:blipFill>
                    <a:blip r:embed="rId15"/>
                    <a:stretch>
                      <a:fillRect/>
                    </a:stretch>
                  </pic:blipFill>
                  <pic:spPr bwMode="auto">
                    <a:xfrm>
                      <a:off x="0" y="0"/>
                      <a:ext cx="5334000" cy="8001000"/>
                    </a:xfrm>
                    <a:prstGeom prst="rect">
                      <a:avLst/>
                    </a:prstGeom>
                    <a:noFill/>
                    <a:ln w="9525">
                      <a:noFill/>
                      <a:headEnd/>
                      <a:tailEnd/>
                    </a:ln>
                  </pic:spPr>
                </pic:pic>
              </a:graphicData>
            </a:graphic>
          </wp:inline>
        </w:drawing>
      </w:r>
    </w:p>
    <w:p w14:paraId="39082F37" w14:textId="77777777" w:rsidR="004C22B2" w:rsidRPr="00DD750E" w:rsidRDefault="007E080B">
      <w:pPr>
        <w:pStyle w:val="Ttulo2"/>
        <w:rPr>
          <w:lang w:val="en-GB"/>
        </w:rPr>
      </w:pPr>
      <w:bookmarkStart w:id="18" w:name="effects-of-ci9-on-bai-and-di"/>
      <w:bookmarkEnd w:id="18"/>
      <w:r w:rsidRPr="00DD750E">
        <w:rPr>
          <w:lang w:val="en-GB"/>
        </w:rPr>
        <w:lastRenderedPageBreak/>
        <w:t>Effects of CI9 on BAI and DI</w:t>
      </w:r>
    </w:p>
    <w:p w14:paraId="0A082907" w14:textId="77777777" w:rsidR="004C22B2" w:rsidRPr="00DD750E" w:rsidRDefault="007E080B">
      <w:pPr>
        <w:pStyle w:val="FirstParagraph"/>
        <w:rPr>
          <w:lang w:val="en-GB"/>
        </w:rPr>
      </w:pPr>
      <w:r w:rsidRPr="00DD750E">
        <w:rPr>
          <w:lang w:val="en-GB"/>
        </w:rPr>
        <w:t>Braathe (C9)</w:t>
      </w:r>
    </w:p>
    <w:p w14:paraId="761A9A87" w14:textId="77777777"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9</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h·dis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e>
          </m:nary>
        </m:oMath>
      </m:oMathPara>
    </w:p>
    <w:p w14:paraId="75A71497" w14:textId="77777777"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25CDE642"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42B7CDC2" wp14:editId="205D6C70">
            <wp:extent cx="5334000" cy="8001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10-1.png"/>
                    <pic:cNvPicPr>
                      <a:picLocks noChangeAspect="1" noChangeArrowheads="1"/>
                    </pic:cNvPicPr>
                  </pic:nvPicPr>
                  <pic:blipFill>
                    <a:blip r:embed="rId16"/>
                    <a:stretch>
                      <a:fillRect/>
                    </a:stretch>
                  </pic:blipFill>
                  <pic:spPr bwMode="auto">
                    <a:xfrm>
                      <a:off x="0" y="0"/>
                      <a:ext cx="5334000" cy="8001000"/>
                    </a:xfrm>
                    <a:prstGeom prst="rect">
                      <a:avLst/>
                    </a:prstGeom>
                    <a:noFill/>
                    <a:ln w="9525">
                      <a:noFill/>
                      <a:headEnd/>
                      <a:tailEnd/>
                    </a:ln>
                  </pic:spPr>
                </pic:pic>
              </a:graphicData>
            </a:graphic>
          </wp:inline>
        </w:drawing>
      </w:r>
    </w:p>
    <w:p w14:paraId="67074020" w14:textId="77777777" w:rsidR="004C22B2" w:rsidRPr="00DD750E" w:rsidRDefault="007E080B">
      <w:pPr>
        <w:pStyle w:val="Ttulo2"/>
        <w:rPr>
          <w:lang w:val="en-GB"/>
        </w:rPr>
      </w:pPr>
      <w:bookmarkStart w:id="19" w:name="effects-of-ci12-on-bai-and-di"/>
      <w:bookmarkEnd w:id="19"/>
      <w:r w:rsidRPr="00DD750E">
        <w:rPr>
          <w:lang w:val="en-GB"/>
        </w:rPr>
        <w:lastRenderedPageBreak/>
        <w:t>Effects of CI12 on BAI and DI</w:t>
      </w:r>
    </w:p>
    <w:p w14:paraId="1C33F6C6" w14:textId="77777777" w:rsidR="004C22B2" w:rsidRPr="00DD750E" w:rsidRDefault="007E080B">
      <w:pPr>
        <w:pStyle w:val="FirstParagraph"/>
        <w:rPr>
          <w:lang w:val="en-GB"/>
        </w:rPr>
      </w:pPr>
      <w:r w:rsidRPr="00DD750E">
        <w:rPr>
          <w:lang w:val="en-GB"/>
        </w:rPr>
        <w:t>Rouvinen and Kuuluvainen (C12) Sum of vertical angles from the target tree's base to the slope-adjusted top of each neighbour tree.</w:t>
      </w:r>
    </w:p>
    <w:p w14:paraId="108EDA08" w14:textId="77777777"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12</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a</m:t>
              </m:r>
            </m:e>
          </m:nary>
          <m:r>
            <w:rPr>
              <w:rFonts w:ascii="Cambria Math" w:hAnsi="Cambria Math"/>
              <w:lang w:val="en-GB"/>
            </w:rPr>
            <m:t>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14:paraId="534F1F0D" w14:textId="77777777"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1D670DC4"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3B15B9D0" wp14:editId="4B863216">
            <wp:extent cx="5334000" cy="8001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11-1.png"/>
                    <pic:cNvPicPr>
                      <a:picLocks noChangeAspect="1" noChangeArrowheads="1"/>
                    </pic:cNvPicPr>
                  </pic:nvPicPr>
                  <pic:blipFill>
                    <a:blip r:embed="rId17"/>
                    <a:stretch>
                      <a:fillRect/>
                    </a:stretch>
                  </pic:blipFill>
                  <pic:spPr bwMode="auto">
                    <a:xfrm>
                      <a:off x="0" y="0"/>
                      <a:ext cx="5334000" cy="8001000"/>
                    </a:xfrm>
                    <a:prstGeom prst="rect">
                      <a:avLst/>
                    </a:prstGeom>
                    <a:noFill/>
                    <a:ln w="9525">
                      <a:noFill/>
                      <a:headEnd/>
                      <a:tailEnd/>
                    </a:ln>
                  </pic:spPr>
                </pic:pic>
              </a:graphicData>
            </a:graphic>
          </wp:inline>
        </w:drawing>
      </w:r>
    </w:p>
    <w:p w14:paraId="1587DC17" w14:textId="77777777" w:rsidR="004C22B2" w:rsidRPr="00DD750E" w:rsidRDefault="007E080B">
      <w:pPr>
        <w:pStyle w:val="Ttulo2"/>
        <w:rPr>
          <w:lang w:val="en-GB"/>
        </w:rPr>
      </w:pPr>
      <w:bookmarkStart w:id="20" w:name="effects-of-ci12-on-bai-and-di-1"/>
      <w:bookmarkEnd w:id="20"/>
      <w:r w:rsidRPr="00DD750E">
        <w:rPr>
          <w:lang w:val="en-GB"/>
        </w:rPr>
        <w:lastRenderedPageBreak/>
        <w:t>Effects of CI12 on BAI and DI</w:t>
      </w:r>
    </w:p>
    <w:p w14:paraId="18132790" w14:textId="77777777" w:rsidR="004C22B2" w:rsidRPr="00DD750E" w:rsidRDefault="007E080B">
      <w:pPr>
        <w:pStyle w:val="FirstParagraph"/>
        <w:rPr>
          <w:lang w:val="en-GB"/>
        </w:rPr>
      </w:pPr>
      <w:r w:rsidRPr="00DD750E">
        <w:rPr>
          <w:lang w:val="en-GB"/>
        </w:rPr>
        <w:t>Rouvinen and Kuuluvainen (C13) Sum of vertical angles from the target tree's base to the slope-adjusted top of each neighbour tree considering higher competition of neighbours larger than the target tree.</w:t>
      </w:r>
    </w:p>
    <w:p w14:paraId="31E1848C" w14:textId="77777777"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13</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h</m:t>
                  </m:r>
                </m:den>
              </m:f>
            </m:e>
          </m:nary>
          <m:r>
            <w:rPr>
              <w:rFonts w:ascii="Cambria Math" w:hAnsi="Cambria Math"/>
              <w:lang w:val="en-GB"/>
            </w:rPr>
            <m:t>arctan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14:paraId="33A6C268" w14:textId="77777777"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14:paraId="1F7CD791" w14:textId="77777777" w:rsidR="004C22B2" w:rsidRPr="00DD750E" w:rsidRDefault="007E080B">
      <w:pPr>
        <w:pStyle w:val="Textoindependiente"/>
        <w:rPr>
          <w:lang w:val="en-GB"/>
        </w:rPr>
      </w:pPr>
      <w:r w:rsidRPr="00DD750E">
        <w:rPr>
          <w:noProof/>
          <w:lang w:val="es-ES" w:eastAsia="es-ES"/>
        </w:rPr>
        <w:lastRenderedPageBreak/>
        <w:drawing>
          <wp:inline distT="0" distB="0" distL="0" distR="0" wp14:anchorId="763C4171" wp14:editId="00A788E3">
            <wp:extent cx="5334000" cy="8001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12-1.png"/>
                    <pic:cNvPicPr>
                      <a:picLocks noChangeAspect="1" noChangeArrowheads="1"/>
                    </pic:cNvPicPr>
                  </pic:nvPicPr>
                  <pic:blipFill>
                    <a:blip r:embed="rId18"/>
                    <a:stretch>
                      <a:fillRect/>
                    </a:stretch>
                  </pic:blipFill>
                  <pic:spPr bwMode="auto">
                    <a:xfrm>
                      <a:off x="0" y="0"/>
                      <a:ext cx="5334000" cy="8001000"/>
                    </a:xfrm>
                    <a:prstGeom prst="rect">
                      <a:avLst/>
                    </a:prstGeom>
                    <a:noFill/>
                    <a:ln w="9525">
                      <a:noFill/>
                      <a:headEnd/>
                      <a:tailEnd/>
                    </a:ln>
                  </pic:spPr>
                </pic:pic>
              </a:graphicData>
            </a:graphic>
          </wp:inline>
        </w:drawing>
      </w:r>
    </w:p>
    <w:sectPr w:rsidR="004C22B2" w:rsidRPr="00DD750E">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itor Améztegui González" w:date="2017-03-21T16:07:00Z" w:initials="AAG">
    <w:p w14:paraId="313687C8" w14:textId="77777777" w:rsidR="008C1B85" w:rsidRDefault="008C1B85">
      <w:pPr>
        <w:pStyle w:val="Textocomentario"/>
      </w:pPr>
      <w:r>
        <w:rPr>
          <w:rStyle w:val="Refdecomentario"/>
        </w:rPr>
        <w:annotationRef/>
      </w:r>
      <w:r>
        <w:t>Is this a prediction or a representation of observed data? If a prediction, which model did you use?</w:t>
      </w:r>
    </w:p>
  </w:comment>
  <w:comment w:id="5" w:author="Aitor Améztegui González" w:date="2017-03-21T16:09:00Z" w:initials="AAG">
    <w:p w14:paraId="1403BE67" w14:textId="77777777" w:rsidR="008C1B85" w:rsidRDefault="008C1B85">
      <w:pPr>
        <w:pStyle w:val="Textocomentario"/>
      </w:pPr>
      <w:r>
        <w:rPr>
          <w:rStyle w:val="Refdecomentario"/>
        </w:rPr>
        <w:annotationRef/>
      </w:r>
      <w:r>
        <w:t>It is belowground if you have considered shading effect previously. Otherwise, it is decline in the effect of neighbours, either above or belowground</w:t>
      </w:r>
    </w:p>
  </w:comment>
  <w:comment w:id="7" w:author="Aitor Améztegui González" w:date="2017-03-21T16:12:00Z" w:initials="AAG">
    <w:p w14:paraId="6EAC387A" w14:textId="77777777" w:rsidR="008C1B85" w:rsidRDefault="008C1B85">
      <w:pPr>
        <w:pStyle w:val="Textocomentario"/>
      </w:pPr>
      <w:r>
        <w:rPr>
          <w:rStyle w:val="Refdecomentario"/>
        </w:rPr>
        <w:annotationRef/>
      </w:r>
      <w:r>
        <w:t>Why? I assume it would be proportional to diameter if alpha ~1, to the basal area if alpha ~2 and to the biomass if ~3</w:t>
      </w:r>
    </w:p>
  </w:comment>
  <w:comment w:id="14" w:author="Aitor Améztegui González" w:date="2017-03-21T16:27:00Z" w:initials="AAG">
    <w:p w14:paraId="5FFF8FF6" w14:textId="77777777" w:rsidR="00E442E6" w:rsidRPr="00E442E6" w:rsidRDefault="00E442E6">
      <w:pPr>
        <w:pStyle w:val="Textocomentario"/>
        <w:rPr>
          <w:lang w:val="es-ES"/>
        </w:rPr>
      </w:pPr>
      <w:r>
        <w:rPr>
          <w:rStyle w:val="Refdecomentario"/>
        </w:rPr>
        <w:annotationRef/>
      </w:r>
      <w:r w:rsidRPr="00E442E6">
        <w:rPr>
          <w:lang w:val="es-ES"/>
        </w:rPr>
        <w:t xml:space="preserve">Que quiere decir el d del denominador? </w:t>
      </w:r>
      <w:r>
        <w:rPr>
          <w:lang w:val="es-ES"/>
        </w:rPr>
        <w:t>Aparte de eso, sería parecido al NCI, asumiendo que alfa y beta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3687C8" w15:done="0"/>
  <w15:commentEx w15:paraId="1403BE67" w15:done="0"/>
  <w15:commentEx w15:paraId="6EAC387A" w15:done="0"/>
  <w15:commentEx w15:paraId="5FFF8F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D2F10" w14:textId="77777777" w:rsidR="00AD73D6" w:rsidRDefault="00AD73D6">
      <w:pPr>
        <w:spacing w:after="0"/>
      </w:pPr>
      <w:r>
        <w:separator/>
      </w:r>
    </w:p>
  </w:endnote>
  <w:endnote w:type="continuationSeparator" w:id="0">
    <w:p w14:paraId="4724E6BD" w14:textId="77777777" w:rsidR="00AD73D6" w:rsidRDefault="00AD73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5D9D4" w14:textId="77777777" w:rsidR="00AD73D6" w:rsidRDefault="00AD73D6">
      <w:r>
        <w:separator/>
      </w:r>
    </w:p>
  </w:footnote>
  <w:footnote w:type="continuationSeparator" w:id="0">
    <w:p w14:paraId="00C3AC73" w14:textId="77777777" w:rsidR="00AD73D6" w:rsidRDefault="00AD7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8A7BCC"/>
    <w:multiLevelType w:val="multilevel"/>
    <w:tmpl w:val="1D22F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883ACE"/>
    <w:multiLevelType w:val="multilevel"/>
    <w:tmpl w:val="66E01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CF6B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tor Améztegui González">
    <w15:presenceInfo w15:providerId="Windows Live" w15:userId="7f5add9957815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0C07"/>
    <w:rsid w:val="0049196F"/>
    <w:rsid w:val="004C22B2"/>
    <w:rsid w:val="004E29B3"/>
    <w:rsid w:val="00590D07"/>
    <w:rsid w:val="00784D58"/>
    <w:rsid w:val="007E080B"/>
    <w:rsid w:val="008C1B85"/>
    <w:rsid w:val="008D6863"/>
    <w:rsid w:val="00AD73D6"/>
    <w:rsid w:val="00B86B75"/>
    <w:rsid w:val="00BC48D5"/>
    <w:rsid w:val="00C36279"/>
    <w:rsid w:val="00DD750E"/>
    <w:rsid w:val="00E315A3"/>
    <w:rsid w:val="00E442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816C"/>
  <w15:docId w15:val="{4C86F730-F289-41BE-8E59-A991F387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semiHidden/>
    <w:unhideWhenUsed/>
    <w:rsid w:val="008C1B85"/>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8C1B85"/>
    <w:rPr>
      <w:rFonts w:ascii="Segoe UI" w:hAnsi="Segoe UI" w:cs="Segoe UI"/>
      <w:sz w:val="18"/>
      <w:szCs w:val="18"/>
    </w:rPr>
  </w:style>
  <w:style w:type="character" w:styleId="Refdecomentario">
    <w:name w:val="annotation reference"/>
    <w:basedOn w:val="Fuentedeprrafopredeter"/>
    <w:semiHidden/>
    <w:unhideWhenUsed/>
    <w:rsid w:val="008C1B85"/>
    <w:rPr>
      <w:sz w:val="16"/>
      <w:szCs w:val="16"/>
    </w:rPr>
  </w:style>
  <w:style w:type="paragraph" w:styleId="Textocomentario">
    <w:name w:val="annotation text"/>
    <w:basedOn w:val="Normal"/>
    <w:link w:val="TextocomentarioCar"/>
    <w:semiHidden/>
    <w:unhideWhenUsed/>
    <w:rsid w:val="008C1B85"/>
    <w:rPr>
      <w:sz w:val="20"/>
      <w:szCs w:val="20"/>
    </w:rPr>
  </w:style>
  <w:style w:type="character" w:customStyle="1" w:styleId="TextocomentarioCar">
    <w:name w:val="Texto comentario Car"/>
    <w:basedOn w:val="Fuentedeprrafopredeter"/>
    <w:link w:val="Textocomentario"/>
    <w:semiHidden/>
    <w:rsid w:val="008C1B85"/>
    <w:rPr>
      <w:sz w:val="20"/>
      <w:szCs w:val="20"/>
    </w:rPr>
  </w:style>
  <w:style w:type="paragraph" w:styleId="Asuntodelcomentario">
    <w:name w:val="annotation subject"/>
    <w:basedOn w:val="Textocomentario"/>
    <w:next w:val="Textocomentario"/>
    <w:link w:val="AsuntodelcomentarioCar"/>
    <w:semiHidden/>
    <w:unhideWhenUsed/>
    <w:rsid w:val="008C1B85"/>
    <w:rPr>
      <w:b/>
      <w:bCs/>
    </w:rPr>
  </w:style>
  <w:style w:type="character" w:customStyle="1" w:styleId="AsuntodelcomentarioCar">
    <w:name w:val="Asunto del comentario Car"/>
    <w:basedOn w:val="TextocomentarioCar"/>
    <w:link w:val="Asuntodelcomentario"/>
    <w:semiHidden/>
    <w:rsid w:val="008C1B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Effects of neighbouring competition on saplings performance</vt:lpstr>
    </vt:vector>
  </TitlesOfParts>
  <Company>RevolucionUnattended</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neighbouring competition on saplings performance</dc:title>
  <dc:creator>Martina Sánchez-Pinillos</dc:creator>
  <cp:lastModifiedBy>Aitor Améztegui González</cp:lastModifiedBy>
  <cp:revision>2</cp:revision>
  <cp:lastPrinted>2017-03-21T15:03:00Z</cp:lastPrinted>
  <dcterms:created xsi:type="dcterms:W3CDTF">2017-03-21T15:29:00Z</dcterms:created>
  <dcterms:modified xsi:type="dcterms:W3CDTF">2017-03-21T15:29:00Z</dcterms:modified>
</cp:coreProperties>
</file>