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CHAPTER 4</w:t>
      </w:r>
    </w:p>
    <w:p>
      <w:pPr>
        <w:spacing w:after="360"/>
        <w:jc w:val="center"/>
      </w:pPr>
      <w:r>
        <w:rPr>
          <w:rFonts w:ascii="Times New Roman" w:hAnsi="Times New Roman"/>
          <w:b/>
          <w:sz w:val="28"/>
        </w:rPr>
        <w:t>RESULTS AND DISCUSSION</w:t>
      </w:r>
    </w:p>
    <w:p>
      <w:pPr>
        <w:pStyle w:val="Heading1"/>
      </w:pPr>
      <w:r>
        <w:t>4.1 Introduction</w:t>
      </w:r>
    </w:p>
    <w:p>
      <w:r>
        <w:t>This chapter presents the observed FYP1 results from the Docker laptop expected-results demonstration. Unlike the previous expected-results chapter, the discussion in this chapter is based on screenshots captured while the containerized application was running on the laptop. The demonstration used the prompt "find the door", a browser webcam, and an OpenCV colour-and-shape detector tuned to the grey-blue corridor doors in the selected test area.</w:t>
      </w:r>
    </w:p>
    <w:p>
      <w:r>
        <w:t>The Docker demonstration evaluates the high-level software interface before integration with the Raspberry Pi 4, ESP32, ultrasonic sensors, and motors. Therefore, the screenshots provide evidence of structured prompt processing, visual door-region detection, and displayed action selection only. They are not physical robot-navigation results.</w:t>
      </w:r>
    </w:p>
    <w:p>
      <w:pPr>
        <w:pStyle w:val="Heading1"/>
      </w:pPr>
      <w:r>
        <w:t>4.2 Docker Demonstration Setup</w:t>
      </w:r>
    </w:p>
    <w:p>
      <w:r>
        <w:t>The browser captured live webcam frames and sent them to the Docker container. The container converted the instruction into a structured goal with the target door, the action goal find and approach the door, low uncertainty, and the grey-blue door colour-and-shape detector. The processed frame displayed a green bounding box when a valid door region was detected.</w:t>
      </w:r>
    </w:p>
    <w:p>
      <w:r>
        <w:t>Action selection was based on the detected bounding-box position and apparent image area. When no valid door region was detected, the application displayed SEARCH. When the detected door occupied the configured goal-size area, the application displayed STOP. The user moved the laptop manually; no motor command was executed.</w:t>
      </w:r>
    </w:p>
    <w:p>
      <w:r>
        <w:br w:type="page"/>
      </w:r>
    </w:p>
    <w:p>
      <w:pPr>
        <w:pStyle w:val="Caption"/>
      </w:pPr>
      <w:r>
        <w:t>Table 4.1: Summary of Docker Screenshot Evidence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fill="1F4E78"/>
            <w:vAlign w:val="center"/>
          </w:tcPr>
          <w:p>
            <w:pPr>
              <w:spacing w:after="0"/>
            </w:pPr>
            <w:r/>
            <w:r>
              <w:rPr>
                <w:rFonts w:ascii="Times New Roman" w:hAnsi="Times New Roman"/>
                <w:b/>
                <w:color w:val="FFFFFF"/>
                <w:sz w:val="18"/>
              </w:rPr>
              <w:t>Screenshot</w:t>
            </w:r>
          </w:p>
        </w:tc>
        <w:tc>
          <w:tcPr>
            <w:tcW w:type="dxa" w:w="1872"/>
            <w:shd w:fill="1F4E78"/>
            <w:vAlign w:val="center"/>
          </w:tcPr>
          <w:p>
            <w:pPr>
              <w:spacing w:after="0"/>
            </w:pPr>
            <w:r/>
            <w:r>
              <w:rPr>
                <w:rFonts w:ascii="Times New Roman" w:hAnsi="Times New Roman"/>
                <w:b/>
                <w:color w:val="FFFFFF"/>
                <w:sz w:val="18"/>
              </w:rPr>
              <w:t>Observed Scene</w:t>
            </w:r>
          </w:p>
        </w:tc>
        <w:tc>
          <w:tcPr>
            <w:tcW w:type="dxa" w:w="1872"/>
            <w:shd w:fill="1F4E78"/>
            <w:vAlign w:val="center"/>
          </w:tcPr>
          <w:p>
            <w:pPr>
              <w:spacing w:after="0"/>
            </w:pPr>
            <w:r/>
            <w:r>
              <w:rPr>
                <w:rFonts w:ascii="Times New Roman" w:hAnsi="Times New Roman"/>
                <w:b/>
                <w:color w:val="FFFFFF"/>
                <w:sz w:val="18"/>
              </w:rPr>
              <w:t>Detector Output</w:t>
            </w:r>
          </w:p>
        </w:tc>
        <w:tc>
          <w:tcPr>
            <w:tcW w:type="dxa" w:w="1872"/>
            <w:shd w:fill="1F4E78"/>
            <w:vAlign w:val="center"/>
          </w:tcPr>
          <w:p>
            <w:pPr>
              <w:spacing w:after="0"/>
            </w:pPr>
            <w:r/>
            <w:r>
              <w:rPr>
                <w:rFonts w:ascii="Times New Roman" w:hAnsi="Times New Roman"/>
                <w:b/>
                <w:color w:val="FFFFFF"/>
                <w:sz w:val="18"/>
              </w:rPr>
              <w:t>Displayed Action</w:t>
            </w:r>
          </w:p>
        </w:tc>
        <w:tc>
          <w:tcPr>
            <w:tcW w:type="dxa" w:w="1872"/>
            <w:shd w:fill="1F4E78"/>
            <w:vAlign w:val="center"/>
          </w:tcPr>
          <w:p>
            <w:pPr>
              <w:spacing w:after="0"/>
            </w:pPr>
            <w:r/>
            <w:r>
              <w:rPr>
                <w:rFonts w:ascii="Times New Roman" w:hAnsi="Times New Roman"/>
                <w:b/>
                <w:color w:val="FFFFFF"/>
                <w:sz w:val="18"/>
              </w:rPr>
              <w:t>Interpretation</w:t>
            </w:r>
          </w:p>
        </w:tc>
      </w:tr>
      <w:tr>
        <w:tc>
          <w:tcPr>
            <w:tcW w:type="dxa" w:w="1872"/>
            <w:vAlign w:val="center"/>
            <w:shd w:fill="D9EAF7"/>
          </w:tcPr>
          <w:p>
            <w:pPr>
              <w:spacing w:after="0"/>
            </w:pPr>
            <w:r/>
            <w:r>
              <w:rPr>
                <w:rFonts w:ascii="Times New Roman" w:hAnsi="Times New Roman"/>
                <w:b w:val="0"/>
                <w:sz w:val="18"/>
              </w:rPr>
              <w:t>Figure 4.1</w:t>
            </w:r>
          </w:p>
        </w:tc>
        <w:tc>
          <w:tcPr>
            <w:tcW w:type="dxa" w:w="1872"/>
            <w:vAlign w:val="center"/>
            <w:shd w:fill="D9EAF7"/>
          </w:tcPr>
          <w:p>
            <w:pPr>
              <w:spacing w:after="0"/>
            </w:pPr>
            <w:r/>
            <w:r>
              <w:rPr>
                <w:rFonts w:ascii="Times New Roman" w:hAnsi="Times New Roman"/>
                <w:b w:val="0"/>
                <w:sz w:val="18"/>
              </w:rPr>
              <w:t>Close view of closed grey-blue door 38</w:t>
            </w:r>
          </w:p>
        </w:tc>
        <w:tc>
          <w:tcPr>
            <w:tcW w:type="dxa" w:w="1872"/>
            <w:vAlign w:val="center"/>
            <w:shd w:fill="D9EAF7"/>
          </w:tcPr>
          <w:p>
            <w:pPr>
              <w:spacing w:after="0"/>
            </w:pPr>
            <w:r/>
            <w:r>
              <w:rPr>
                <w:rFonts w:ascii="Times New Roman" w:hAnsi="Times New Roman"/>
                <w:b w:val="0"/>
                <w:sz w:val="18"/>
              </w:rPr>
              <w:t>Door region enclosed by a green bounding box</w:t>
            </w:r>
          </w:p>
        </w:tc>
        <w:tc>
          <w:tcPr>
            <w:tcW w:type="dxa" w:w="1872"/>
            <w:vAlign w:val="center"/>
            <w:shd w:fill="D9EAF7"/>
          </w:tcPr>
          <w:p>
            <w:pPr>
              <w:spacing w:after="0"/>
            </w:pPr>
            <w:r/>
            <w:r>
              <w:rPr>
                <w:rFonts w:ascii="Times New Roman" w:hAnsi="Times New Roman"/>
                <w:b w:val="0"/>
                <w:sz w:val="18"/>
              </w:rPr>
              <w:t>STOP</w:t>
            </w:r>
          </w:p>
        </w:tc>
        <w:tc>
          <w:tcPr>
            <w:tcW w:type="dxa" w:w="1872"/>
            <w:vAlign w:val="center"/>
            <w:shd w:fill="D9EAF7"/>
          </w:tcPr>
          <w:p>
            <w:pPr>
              <w:spacing w:after="0"/>
            </w:pPr>
            <w:r/>
            <w:r>
              <w:rPr>
                <w:rFonts w:ascii="Times New Roman" w:hAnsi="Times New Roman"/>
                <w:b w:val="0"/>
                <w:sz w:val="18"/>
              </w:rPr>
              <w:t>The apparent door area reached the configured goal threshold.</w:t>
            </w:r>
          </w:p>
        </w:tc>
      </w:tr>
      <w:tr>
        <w:tc>
          <w:tcPr>
            <w:tcW w:type="dxa" w:w="1872"/>
            <w:vAlign w:val="center"/>
          </w:tcPr>
          <w:p>
            <w:pPr>
              <w:spacing w:after="0"/>
            </w:pPr>
            <w:r/>
            <w:r>
              <w:rPr>
                <w:rFonts w:ascii="Times New Roman" w:hAnsi="Times New Roman"/>
                <w:b w:val="0"/>
                <w:sz w:val="18"/>
              </w:rPr>
              <w:t>Figure 4.2</w:t>
            </w:r>
          </w:p>
        </w:tc>
        <w:tc>
          <w:tcPr>
            <w:tcW w:type="dxa" w:w="1872"/>
            <w:vAlign w:val="center"/>
          </w:tcPr>
          <w:p>
            <w:pPr>
              <w:spacing w:after="0"/>
            </w:pPr>
            <w:r/>
            <w:r>
              <w:rPr>
                <w:rFonts w:ascii="Times New Roman" w:hAnsi="Times New Roman"/>
                <w:b w:val="0"/>
                <w:sz w:val="18"/>
              </w:rPr>
              <w:t>Large open grey-blue door region</w:t>
            </w:r>
          </w:p>
        </w:tc>
        <w:tc>
          <w:tcPr>
            <w:tcW w:type="dxa" w:w="1872"/>
            <w:vAlign w:val="center"/>
          </w:tcPr>
          <w:p>
            <w:pPr>
              <w:spacing w:after="0"/>
            </w:pPr>
            <w:r/>
            <w:r>
              <w:rPr>
                <w:rFonts w:ascii="Times New Roman" w:hAnsi="Times New Roman"/>
                <w:b w:val="0"/>
                <w:sz w:val="18"/>
              </w:rPr>
              <w:t>Open door region enclosed by a green bounding box</w:t>
            </w:r>
          </w:p>
        </w:tc>
        <w:tc>
          <w:tcPr>
            <w:tcW w:type="dxa" w:w="1872"/>
            <w:vAlign w:val="center"/>
          </w:tcPr>
          <w:p>
            <w:pPr>
              <w:spacing w:after="0"/>
            </w:pPr>
            <w:r/>
            <w:r>
              <w:rPr>
                <w:rFonts w:ascii="Times New Roman" w:hAnsi="Times New Roman"/>
                <w:b w:val="0"/>
                <w:sz w:val="18"/>
              </w:rPr>
              <w:t>STOP</w:t>
            </w:r>
          </w:p>
        </w:tc>
        <w:tc>
          <w:tcPr>
            <w:tcW w:type="dxa" w:w="1872"/>
            <w:vAlign w:val="center"/>
          </w:tcPr>
          <w:p>
            <w:pPr>
              <w:spacing w:after="0"/>
            </w:pPr>
            <w:r/>
            <w:r>
              <w:rPr>
                <w:rFonts w:ascii="Times New Roman" w:hAnsi="Times New Roman"/>
                <w:b w:val="0"/>
                <w:sz w:val="18"/>
              </w:rPr>
              <w:t>The detector remained responsive to the door colour and shape under a changed pose.</w:t>
            </w:r>
          </w:p>
        </w:tc>
      </w:tr>
      <w:tr>
        <w:tc>
          <w:tcPr>
            <w:tcW w:type="dxa" w:w="1872"/>
            <w:vAlign w:val="center"/>
            <w:shd w:fill="D9EAF7"/>
          </w:tcPr>
          <w:p>
            <w:pPr>
              <w:spacing w:after="0"/>
            </w:pPr>
            <w:r/>
            <w:r>
              <w:rPr>
                <w:rFonts w:ascii="Times New Roman" w:hAnsi="Times New Roman"/>
                <w:b w:val="0"/>
                <w:sz w:val="18"/>
              </w:rPr>
              <w:t>Figure 4.3</w:t>
            </w:r>
          </w:p>
        </w:tc>
        <w:tc>
          <w:tcPr>
            <w:tcW w:type="dxa" w:w="1872"/>
            <w:vAlign w:val="center"/>
            <w:shd w:fill="D9EAF7"/>
          </w:tcPr>
          <w:p>
            <w:pPr>
              <w:spacing w:after="0"/>
            </w:pPr>
            <w:r/>
            <w:r>
              <w:rPr>
                <w:rFonts w:ascii="Times New Roman" w:hAnsi="Times New Roman"/>
                <w:b w:val="0"/>
                <w:sz w:val="18"/>
              </w:rPr>
              <w:t>Corridor view without a valid full grey-blue door region</w:t>
            </w:r>
          </w:p>
        </w:tc>
        <w:tc>
          <w:tcPr>
            <w:tcW w:type="dxa" w:w="1872"/>
            <w:vAlign w:val="center"/>
            <w:shd w:fill="D9EAF7"/>
          </w:tcPr>
          <w:p>
            <w:pPr>
              <w:spacing w:after="0"/>
            </w:pPr>
            <w:r/>
            <w:r>
              <w:rPr>
                <w:rFonts w:ascii="Times New Roman" w:hAnsi="Times New Roman"/>
                <w:b w:val="0"/>
                <w:sz w:val="18"/>
              </w:rPr>
              <w:t>No bounding box</w:t>
            </w:r>
          </w:p>
        </w:tc>
        <w:tc>
          <w:tcPr>
            <w:tcW w:type="dxa" w:w="1872"/>
            <w:vAlign w:val="center"/>
            <w:shd w:fill="D9EAF7"/>
          </w:tcPr>
          <w:p>
            <w:pPr>
              <w:spacing w:after="0"/>
            </w:pPr>
            <w:r/>
            <w:r>
              <w:rPr>
                <w:rFonts w:ascii="Times New Roman" w:hAnsi="Times New Roman"/>
                <w:b w:val="0"/>
                <w:sz w:val="18"/>
              </w:rPr>
              <w:t>SEARCH</w:t>
            </w:r>
          </w:p>
        </w:tc>
        <w:tc>
          <w:tcPr>
            <w:tcW w:type="dxa" w:w="1872"/>
            <w:vAlign w:val="center"/>
            <w:shd w:fill="D9EAF7"/>
          </w:tcPr>
          <w:p>
            <w:pPr>
              <w:spacing w:after="0"/>
            </w:pPr>
            <w:r/>
            <w:r>
              <w:rPr>
                <w:rFonts w:ascii="Times New Roman" w:hAnsi="Times New Roman"/>
                <w:b w:val="0"/>
                <w:sz w:val="18"/>
              </w:rPr>
              <w:t>The application used the safe missing-target fallback.</w:t>
            </w:r>
          </w:p>
        </w:tc>
      </w:tr>
      <w:tr>
        <w:tc>
          <w:tcPr>
            <w:tcW w:type="dxa" w:w="1872"/>
            <w:vAlign w:val="center"/>
          </w:tcPr>
          <w:p>
            <w:pPr>
              <w:spacing w:after="0"/>
            </w:pPr>
            <w:r/>
            <w:r>
              <w:rPr>
                <w:rFonts w:ascii="Times New Roman" w:hAnsi="Times New Roman"/>
                <w:b w:val="0"/>
                <w:sz w:val="18"/>
              </w:rPr>
              <w:t>Figure 4.4</w:t>
            </w:r>
          </w:p>
        </w:tc>
        <w:tc>
          <w:tcPr>
            <w:tcW w:type="dxa" w:w="1872"/>
            <w:vAlign w:val="center"/>
          </w:tcPr>
          <w:p>
            <w:pPr>
              <w:spacing w:after="0"/>
            </w:pPr>
            <w:r/>
            <w:r>
              <w:rPr>
                <w:rFonts w:ascii="Times New Roman" w:hAnsi="Times New Roman"/>
                <w:b w:val="0"/>
                <w:sz w:val="18"/>
              </w:rPr>
              <w:t>Second closed grey-blue corridor door</w:t>
            </w:r>
          </w:p>
        </w:tc>
        <w:tc>
          <w:tcPr>
            <w:tcW w:type="dxa" w:w="1872"/>
            <w:vAlign w:val="center"/>
          </w:tcPr>
          <w:p>
            <w:pPr>
              <w:spacing w:after="0"/>
            </w:pPr>
            <w:r/>
            <w:r>
              <w:rPr>
                <w:rFonts w:ascii="Times New Roman" w:hAnsi="Times New Roman"/>
                <w:b w:val="0"/>
                <w:sz w:val="18"/>
              </w:rPr>
              <w:t>Door region enclosed by a green bounding box</w:t>
            </w:r>
          </w:p>
        </w:tc>
        <w:tc>
          <w:tcPr>
            <w:tcW w:type="dxa" w:w="1872"/>
            <w:vAlign w:val="center"/>
          </w:tcPr>
          <w:p>
            <w:pPr>
              <w:spacing w:after="0"/>
            </w:pPr>
            <w:r/>
            <w:r>
              <w:rPr>
                <w:rFonts w:ascii="Times New Roman" w:hAnsi="Times New Roman"/>
                <w:b w:val="0"/>
                <w:sz w:val="18"/>
              </w:rPr>
              <w:t>STOP</w:t>
            </w:r>
          </w:p>
        </w:tc>
        <w:tc>
          <w:tcPr>
            <w:tcW w:type="dxa" w:w="1872"/>
            <w:vAlign w:val="center"/>
          </w:tcPr>
          <w:p>
            <w:pPr>
              <w:spacing w:after="0"/>
            </w:pPr>
            <w:r/>
            <w:r>
              <w:rPr>
                <w:rFonts w:ascii="Times New Roman" w:hAnsi="Times New Roman"/>
                <w:b w:val="0"/>
                <w:sz w:val="18"/>
              </w:rPr>
              <w:t>The detector identified another similarly coloured door in the same test area.</w:t>
            </w:r>
          </w:p>
        </w:tc>
      </w:tr>
      <w:tr>
        <w:tc>
          <w:tcPr>
            <w:tcW w:type="dxa" w:w="1872"/>
            <w:vAlign w:val="center"/>
            <w:shd w:fill="D9EAF7"/>
          </w:tcPr>
          <w:p>
            <w:pPr>
              <w:spacing w:after="0"/>
            </w:pPr>
            <w:r/>
            <w:r>
              <w:rPr>
                <w:rFonts w:ascii="Times New Roman" w:hAnsi="Times New Roman"/>
                <w:b w:val="0"/>
                <w:sz w:val="18"/>
              </w:rPr>
              <w:t>Figure 4.5</w:t>
            </w:r>
          </w:p>
        </w:tc>
        <w:tc>
          <w:tcPr>
            <w:tcW w:type="dxa" w:w="1872"/>
            <w:vAlign w:val="center"/>
            <w:shd w:fill="D9EAF7"/>
          </w:tcPr>
          <w:p>
            <w:pPr>
              <w:spacing w:after="0"/>
            </w:pPr>
            <w:r/>
            <w:r>
              <w:rPr>
                <w:rFonts w:ascii="Times New Roman" w:hAnsi="Times New Roman"/>
                <w:b w:val="0"/>
                <w:sz w:val="18"/>
              </w:rPr>
              <w:t>Grey-blue door located on the right side of the frame</w:t>
            </w:r>
          </w:p>
        </w:tc>
        <w:tc>
          <w:tcPr>
            <w:tcW w:type="dxa" w:w="1872"/>
            <w:vAlign w:val="center"/>
            <w:shd w:fill="D9EAF7"/>
          </w:tcPr>
          <w:p>
            <w:pPr>
              <w:spacing w:after="0"/>
            </w:pPr>
            <w:r/>
            <w:r>
              <w:rPr>
                <w:rFonts w:ascii="Times New Roman" w:hAnsi="Times New Roman"/>
                <w:b w:val="0"/>
                <w:sz w:val="18"/>
              </w:rPr>
              <w:t>Right-side door region enclosed by a green bounding box</w:t>
            </w:r>
          </w:p>
        </w:tc>
        <w:tc>
          <w:tcPr>
            <w:tcW w:type="dxa" w:w="1872"/>
            <w:vAlign w:val="center"/>
            <w:shd w:fill="D9EAF7"/>
          </w:tcPr>
          <w:p>
            <w:pPr>
              <w:spacing w:after="0"/>
            </w:pPr>
            <w:r/>
            <w:r>
              <w:rPr>
                <w:rFonts w:ascii="Times New Roman" w:hAnsi="Times New Roman"/>
                <w:b w:val="0"/>
                <w:sz w:val="18"/>
              </w:rPr>
              <w:t>TURN RIGHT</w:t>
            </w:r>
          </w:p>
        </w:tc>
        <w:tc>
          <w:tcPr>
            <w:tcW w:type="dxa" w:w="1872"/>
            <w:vAlign w:val="center"/>
            <w:shd w:fill="D9EAF7"/>
          </w:tcPr>
          <w:p>
            <w:pPr>
              <w:spacing w:after="0"/>
            </w:pPr>
            <w:r/>
            <w:r>
              <w:rPr>
                <w:rFonts w:ascii="Times New Roman" w:hAnsi="Times New Roman"/>
                <w:b w:val="0"/>
                <w:sz w:val="18"/>
              </w:rPr>
              <w:t>The horizontal door position was converted into the corresponding turn action.</w:t>
            </w:r>
          </w:p>
        </w:tc>
      </w:tr>
    </w:tbl>
    <w:p/>
    <w:p>
      <w:pPr>
        <w:pStyle w:val="Heading1"/>
      </w:pPr>
      <w:r>
        <w:t>4.3 Observed Results</w:t>
      </w:r>
    </w:p>
    <w:p>
      <w:pPr>
        <w:pStyle w:val="Heading2"/>
      </w:pPr>
      <w:r>
        <w:t>4.3.1 Structured Prompt Result</w:t>
      </w:r>
    </w:p>
    <w:p>
      <w:r>
        <w:t>Across the screenshots, the application accepted the prompt "find the door" and displayed a structured goal. The visible fields included the original instruction, target door, landmark door, action goal find and approach the door, low uncertainty, and the selected grey-blue door colour-and-shape detector. This result demonstrates that the natural-language instruction was converted into a consistent machine-readable goal before visual processing.</w:t>
      </w:r>
    </w:p>
    <w:p>
      <w:pPr>
        <w:pStyle w:val="Heading2"/>
      </w:pPr>
      <w:r>
        <w:t>4.3.2 Door Detection and STOP Result</w:t>
      </w:r>
    </w:p>
    <w:p>
      <w:r>
        <w:t>Figure 4.1 shows the closed grey-blue door detected at close range. The green bounding box covers the main door region and the application displays STOP: expected goal reached. Within the current rule-based demonstration, this is the expected response because the detected door occupies a large part of the image.</w:t>
      </w:r>
    </w:p>
    <w:p>
      <w:pPr>
        <w:pStyle w:val="Caption"/>
      </w:pPr>
      <w:r>
        <w:t>Figure 4.1: Docker result when the close grey-blue door is detected and the goal-stop threshold is reached</w:t>
      </w:r>
    </w:p>
    <w:p>
      <w:pPr>
        <w:spacing w:after="160"/>
        <w:jc w:val="center"/>
      </w:pPr>
      <w:r>
        <w:drawing>
          <wp:inline xmlns:a="http://schemas.openxmlformats.org/drawingml/2006/main" xmlns:pic="http://schemas.openxmlformats.org/drawingml/2006/picture">
            <wp:extent cx="5715000" cy="3569764"/>
            <wp:docPr id="1" name="Picture 1"/>
            <wp:cNvGraphicFramePr>
              <a:graphicFrameLocks noChangeAspect="1"/>
            </wp:cNvGraphicFramePr>
            <a:graphic>
              <a:graphicData uri="http://schemas.openxmlformats.org/drawingml/2006/picture">
                <pic:pic>
                  <pic:nvPicPr>
                    <pic:cNvPr id="0" name="Screenshot 2026-06-15 100351.png"/>
                    <pic:cNvPicPr/>
                  </pic:nvPicPr>
                  <pic:blipFill>
                    <a:blip r:embed="rId10"/>
                    <a:stretch>
                      <a:fillRect/>
                    </a:stretch>
                  </pic:blipFill>
                  <pic:spPr>
                    <a:xfrm>
                      <a:off x="0" y="0"/>
                      <a:ext cx="5715000" cy="3569764"/>
                    </a:xfrm>
                    <a:prstGeom prst="rect"/>
                  </pic:spPr>
                </pic:pic>
              </a:graphicData>
            </a:graphic>
          </wp:inline>
        </w:drawing>
      </w:r>
    </w:p>
    <w:p>
      <w:r>
        <w:t>Figure 4.2 shows an open grey-blue door region. The detector still forms a large bounding box and selects STOP. This demonstrates useful tolerance to a changed door pose, but it also shows that the stopping decision depends on apparent image area rather than measured physical distance.</w:t>
      </w:r>
    </w:p>
    <w:p>
      <w:pPr>
        <w:pStyle w:val="Caption"/>
      </w:pPr>
      <w:r>
        <w:t>Figure 4.2: Docker result when an open grey-blue door region is detected and STOP is selected</w:t>
      </w:r>
    </w:p>
    <w:p>
      <w:pPr>
        <w:spacing w:after="160"/>
        <w:jc w:val="center"/>
      </w:pPr>
      <w:r>
        <w:drawing>
          <wp:inline xmlns:a="http://schemas.openxmlformats.org/drawingml/2006/main" xmlns:pic="http://schemas.openxmlformats.org/drawingml/2006/picture">
            <wp:extent cx="5715000" cy="3889292"/>
            <wp:docPr id="2" name="Picture 2"/>
            <wp:cNvGraphicFramePr>
              <a:graphicFrameLocks noChangeAspect="1"/>
            </wp:cNvGraphicFramePr>
            <a:graphic>
              <a:graphicData uri="http://schemas.openxmlformats.org/drawingml/2006/picture">
                <pic:pic>
                  <pic:nvPicPr>
                    <pic:cNvPr id="0" name="Screenshot 2026-06-15 100531.png"/>
                    <pic:cNvPicPr/>
                  </pic:nvPicPr>
                  <pic:blipFill>
                    <a:blip r:embed="rId11"/>
                    <a:stretch>
                      <a:fillRect/>
                    </a:stretch>
                  </pic:blipFill>
                  <pic:spPr>
                    <a:xfrm>
                      <a:off x="0" y="0"/>
                      <a:ext cx="5715000" cy="3889292"/>
                    </a:xfrm>
                    <a:prstGeom prst="rect"/>
                  </pic:spPr>
                </pic:pic>
              </a:graphicData>
            </a:graphic>
          </wp:inline>
        </w:drawing>
      </w:r>
    </w:p>
    <w:p>
      <w:pPr>
        <w:pStyle w:val="Heading2"/>
      </w:pPr>
      <w:r>
        <w:t>4.3.3 Missing-Target SEARCH Result</w:t>
      </w:r>
    </w:p>
    <w:p>
      <w:r>
        <w:t>Figure 4.3 shows a corridor frame in which no valid full grey-blue door region satisfies the detector rules. No green bounding box is produced and the application displays SEARCH: rotate or move laptop slowly. This is the intended safe fallback because the software does not command forward movement when the target cannot be grounded.</w:t>
      </w:r>
    </w:p>
    <w:p>
      <w:pPr>
        <w:pStyle w:val="Caption"/>
      </w:pPr>
      <w:r>
        <w:t>Figure 4.3: Docker SEARCH result when no valid full door region is detected</w:t>
      </w:r>
    </w:p>
    <w:p>
      <w:pPr>
        <w:spacing w:after="160"/>
        <w:jc w:val="center"/>
      </w:pPr>
      <w:r>
        <w:drawing>
          <wp:inline xmlns:a="http://schemas.openxmlformats.org/drawingml/2006/main" xmlns:pic="http://schemas.openxmlformats.org/drawingml/2006/picture">
            <wp:extent cx="5715000" cy="4050437"/>
            <wp:docPr id="3" name="Picture 3"/>
            <wp:cNvGraphicFramePr>
              <a:graphicFrameLocks noChangeAspect="1"/>
            </wp:cNvGraphicFramePr>
            <a:graphic>
              <a:graphicData uri="http://schemas.openxmlformats.org/drawingml/2006/picture">
                <pic:pic>
                  <pic:nvPicPr>
                    <pic:cNvPr id="0" name="Screenshot 2026-06-15 100606.png"/>
                    <pic:cNvPicPr/>
                  </pic:nvPicPr>
                  <pic:blipFill>
                    <a:blip r:embed="rId12"/>
                    <a:stretch>
                      <a:fillRect/>
                    </a:stretch>
                  </pic:blipFill>
                  <pic:spPr>
                    <a:xfrm>
                      <a:off x="0" y="0"/>
                      <a:ext cx="5715000" cy="4050437"/>
                    </a:xfrm>
                    <a:prstGeom prst="rect"/>
                  </pic:spPr>
                </pic:pic>
              </a:graphicData>
            </a:graphic>
          </wp:inline>
        </w:drawing>
      </w:r>
    </w:p>
    <w:p>
      <w:pPr>
        <w:pStyle w:val="Heading2"/>
      </w:pPr>
      <w:r>
        <w:t>4.3.4 Detection of a Second Similar Door</w:t>
      </w:r>
    </w:p>
    <w:p>
      <w:r>
        <w:t>Figure 4.4 shows the detector responding to a second grey-blue corridor door. The main door region is enclosed and STOP is displayed. This screenshot indicates that the current detector can respond to similarly coloured doors within the same corridor environment, although broader generalization has not been measured.</w:t>
      </w:r>
    </w:p>
    <w:p>
      <w:pPr>
        <w:pStyle w:val="Caption"/>
      </w:pPr>
      <w:r>
        <w:t>Figure 4.4: Docker result when a second grey-blue corridor door is detected and STOP is selected</w:t>
      </w:r>
    </w:p>
    <w:p>
      <w:pPr>
        <w:spacing w:after="160"/>
        <w:jc w:val="center"/>
      </w:pPr>
      <w:r>
        <w:drawing>
          <wp:inline xmlns:a="http://schemas.openxmlformats.org/drawingml/2006/main" xmlns:pic="http://schemas.openxmlformats.org/drawingml/2006/picture">
            <wp:extent cx="5715000" cy="4211053"/>
            <wp:docPr id="4" name="Picture 4"/>
            <wp:cNvGraphicFramePr>
              <a:graphicFrameLocks noChangeAspect="1"/>
            </wp:cNvGraphicFramePr>
            <a:graphic>
              <a:graphicData uri="http://schemas.openxmlformats.org/drawingml/2006/picture">
                <pic:pic>
                  <pic:nvPicPr>
                    <pic:cNvPr id="0" name="Screenshot 2026-06-15 100659.png"/>
                    <pic:cNvPicPr/>
                  </pic:nvPicPr>
                  <pic:blipFill>
                    <a:blip r:embed="rId13"/>
                    <a:stretch>
                      <a:fillRect/>
                    </a:stretch>
                  </pic:blipFill>
                  <pic:spPr>
                    <a:xfrm>
                      <a:off x="0" y="0"/>
                      <a:ext cx="5715000" cy="4211053"/>
                    </a:xfrm>
                    <a:prstGeom prst="rect"/>
                  </pic:spPr>
                </pic:pic>
              </a:graphicData>
            </a:graphic>
          </wp:inline>
        </w:drawing>
      </w:r>
    </w:p>
    <w:p>
      <w:pPr>
        <w:pStyle w:val="Heading2"/>
      </w:pPr>
      <w:r>
        <w:t>4.3.5 Right-Side Door TURN RIGHT Result</w:t>
      </w:r>
    </w:p>
    <w:p>
      <w:r>
        <w:t>Figure 4.5 shows the grey-blue door detected on the right side of the processed frame. The green bounding box remains on the right of the configured centre zone and the application displays TURN RIGHT: move laptop right. This provides direct screenshot evidence that the detector position can be converted into a directional action rather than only SEARCH or STOP.</w:t>
      </w:r>
    </w:p>
    <w:p>
      <w:pPr>
        <w:pStyle w:val="Caption"/>
      </w:pPr>
      <w:r>
        <w:t>Figure 4.5: Docker TURN RIGHT result when the detected door is on the right side of the processed frame</w:t>
      </w:r>
    </w:p>
    <w:p>
      <w:pPr>
        <w:spacing w:after="160"/>
        <w:jc w:val="center"/>
      </w:pPr>
      <w:r>
        <w:drawing>
          <wp:inline xmlns:a="http://schemas.openxmlformats.org/drawingml/2006/main" xmlns:pic="http://schemas.openxmlformats.org/drawingml/2006/picture">
            <wp:extent cx="5715000" cy="4037560"/>
            <wp:docPr id="5" name="Picture 5"/>
            <wp:cNvGraphicFramePr>
              <a:graphicFrameLocks noChangeAspect="1"/>
            </wp:cNvGraphicFramePr>
            <a:graphic>
              <a:graphicData uri="http://schemas.openxmlformats.org/drawingml/2006/picture">
                <pic:pic>
                  <pic:nvPicPr>
                    <pic:cNvPr id="0" name="Screenshot 2026-06-15 101741.png"/>
                    <pic:cNvPicPr/>
                  </pic:nvPicPr>
                  <pic:blipFill>
                    <a:blip r:embed="rId14"/>
                    <a:stretch>
                      <a:fillRect/>
                    </a:stretch>
                  </pic:blipFill>
                  <pic:spPr>
                    <a:xfrm>
                      <a:off x="0" y="0"/>
                      <a:ext cx="5715000" cy="4037560"/>
                    </a:xfrm>
                    <a:prstGeom prst="rect"/>
                  </pic:spPr>
                </pic:pic>
              </a:graphicData>
            </a:graphic>
          </wp:inline>
        </w:drawing>
      </w:r>
    </w:p>
    <w:p>
      <w:pPr>
        <w:pStyle w:val="Heading1"/>
      </w:pPr>
      <w:r>
        <w:t>4.4 Discussion</w:t>
      </w:r>
    </w:p>
    <w:p>
      <w:r>
        <w:t>The five screenshots demonstrate the complete Docker software path from a natural-language instruction to structured goal output, webcam processing, target-region annotation, and a restricted displayed action. Three screenshot conditions produced STOP after a large grey-blue door region was detected, one produced SEARCH when no valid region was detected, and one produced TURN RIGHT when the door was detected on the right side of the processed frame. These counts describe only the submitted screenshot evidence and must not be interpreted as an accuracy percentage.</w:t>
      </w:r>
    </w:p>
    <w:p>
      <w:r>
        <w:t>The SEARCH result is important because it demonstrates a conservative response when visual grounding fails. However, the STOP results also reveal limitations. The system estimates goal arrival from bounding-box area and does not measure the actual distance to the door. An open door or nearby similarly coloured structure may therefore trigger STOP. The bounding box may also include part of the door frame or adjacent structure.</w:t>
      </w:r>
    </w:p>
    <w:p>
      <w:r>
        <w:t>SEARCH, TURN RIGHT, and STOP are directly supported by the submitted screenshots. TURN LEFT and MOVE FORWARD remain implemented actions, but they require separate recorded evidence before their performance can be discussed as observed results. The detector is tuned to grey-blue doors in one corridor and is not a general semantic door-recognition model.</w:t>
      </w:r>
    </w:p>
    <w:p>
      <w:pPr>
        <w:pStyle w:val="Caption"/>
      </w:pPr>
      <w:r>
        <w:t>Table 4.2: Interpretation and Limitations of the Demonstrated Results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shd w:fill="1F4E78"/>
            <w:vAlign w:val="center"/>
          </w:tcPr>
          <w:p>
            <w:pPr>
              <w:spacing w:after="0"/>
            </w:pPr>
            <w:r/>
            <w:r>
              <w:rPr>
                <w:rFonts w:ascii="Times New Roman" w:hAnsi="Times New Roman"/>
                <w:b/>
                <w:color w:val="FFFFFF"/>
                <w:sz w:val="18"/>
              </w:rPr>
              <w:t>Area</w:t>
            </w:r>
          </w:p>
        </w:tc>
        <w:tc>
          <w:tcPr>
            <w:tcW w:type="dxa" w:w="3120"/>
            <w:shd w:fill="1F4E78"/>
            <w:vAlign w:val="center"/>
          </w:tcPr>
          <w:p>
            <w:pPr>
              <w:spacing w:after="0"/>
            </w:pPr>
            <w:r/>
            <w:r>
              <w:rPr>
                <w:rFonts w:ascii="Times New Roman" w:hAnsi="Times New Roman"/>
                <w:b/>
                <w:color w:val="FFFFFF"/>
                <w:sz w:val="18"/>
              </w:rPr>
              <w:t>Evidence from Screenshots</w:t>
            </w:r>
          </w:p>
        </w:tc>
        <w:tc>
          <w:tcPr>
            <w:tcW w:type="dxa" w:w="3120"/>
            <w:shd w:fill="1F4E78"/>
            <w:vAlign w:val="center"/>
          </w:tcPr>
          <w:p>
            <w:pPr>
              <w:spacing w:after="0"/>
            </w:pPr>
            <w:r/>
            <w:r>
              <w:rPr>
                <w:rFonts w:ascii="Times New Roman" w:hAnsi="Times New Roman"/>
                <w:b/>
                <w:color w:val="FFFFFF"/>
                <w:sz w:val="18"/>
              </w:rPr>
              <w:t>Limitation</w:t>
            </w:r>
          </w:p>
        </w:tc>
      </w:tr>
      <w:tr>
        <w:tc>
          <w:tcPr>
            <w:tcW w:type="dxa" w:w="3120"/>
            <w:vAlign w:val="center"/>
            <w:shd w:fill="D9EAF7"/>
          </w:tcPr>
          <w:p>
            <w:pPr>
              <w:spacing w:after="0"/>
            </w:pPr>
            <w:r/>
            <w:r>
              <w:rPr>
                <w:rFonts w:ascii="Times New Roman" w:hAnsi="Times New Roman"/>
                <w:b w:val="0"/>
                <w:sz w:val="18"/>
              </w:rPr>
              <w:t>Prompt processing</w:t>
            </w:r>
          </w:p>
        </w:tc>
        <w:tc>
          <w:tcPr>
            <w:tcW w:type="dxa" w:w="3120"/>
            <w:vAlign w:val="center"/>
            <w:shd w:fill="D9EAF7"/>
          </w:tcPr>
          <w:p>
            <w:pPr>
              <w:spacing w:after="0"/>
            </w:pPr>
            <w:r/>
            <w:r>
              <w:rPr>
                <w:rFonts w:ascii="Times New Roman" w:hAnsi="Times New Roman"/>
                <w:b w:val="0"/>
                <w:sz w:val="18"/>
              </w:rPr>
              <w:t>The instruction is represented as a structured door goal with low uncertainty.</w:t>
            </w:r>
          </w:p>
        </w:tc>
        <w:tc>
          <w:tcPr>
            <w:tcW w:type="dxa" w:w="3120"/>
            <w:vAlign w:val="center"/>
            <w:shd w:fill="D9EAF7"/>
          </w:tcPr>
          <w:p>
            <w:pPr>
              <w:spacing w:after="0"/>
            </w:pPr>
            <w:r/>
            <w:r>
              <w:rPr>
                <w:rFonts w:ascii="Times New Roman" w:hAnsi="Times New Roman"/>
                <w:b w:val="0"/>
                <w:sz w:val="18"/>
              </w:rPr>
              <w:t>Only one supported instruction is demonstrated.</w:t>
            </w:r>
          </w:p>
        </w:tc>
      </w:tr>
      <w:tr>
        <w:tc>
          <w:tcPr>
            <w:tcW w:type="dxa" w:w="3120"/>
            <w:vAlign w:val="center"/>
          </w:tcPr>
          <w:p>
            <w:pPr>
              <w:spacing w:after="0"/>
            </w:pPr>
            <w:r/>
            <w:r>
              <w:rPr>
                <w:rFonts w:ascii="Times New Roman" w:hAnsi="Times New Roman"/>
                <w:b w:val="0"/>
                <w:sz w:val="18"/>
              </w:rPr>
              <w:t>Visual grounding</w:t>
            </w:r>
          </w:p>
        </w:tc>
        <w:tc>
          <w:tcPr>
            <w:tcW w:type="dxa" w:w="3120"/>
            <w:vAlign w:val="center"/>
          </w:tcPr>
          <w:p>
            <w:pPr>
              <w:spacing w:after="0"/>
            </w:pPr>
            <w:r/>
            <w:r>
              <w:rPr>
                <w:rFonts w:ascii="Times New Roman" w:hAnsi="Times New Roman"/>
                <w:b w:val="0"/>
                <w:sz w:val="18"/>
              </w:rPr>
              <w:t>Green bounding boxes identify grey-blue door regions in three screenshots.</w:t>
            </w:r>
          </w:p>
        </w:tc>
        <w:tc>
          <w:tcPr>
            <w:tcW w:type="dxa" w:w="3120"/>
            <w:vAlign w:val="center"/>
          </w:tcPr>
          <w:p>
            <w:pPr>
              <w:spacing w:after="0"/>
            </w:pPr>
            <w:r/>
            <w:r>
              <w:rPr>
                <w:rFonts w:ascii="Times New Roman" w:hAnsi="Times New Roman"/>
                <w:b w:val="0"/>
                <w:sz w:val="18"/>
              </w:rPr>
              <w:t>Detector is tuned to colour and geometry in the selected corridor.</w:t>
            </w:r>
          </w:p>
        </w:tc>
      </w:tr>
      <w:tr>
        <w:tc>
          <w:tcPr>
            <w:tcW w:type="dxa" w:w="3120"/>
            <w:vAlign w:val="center"/>
            <w:shd w:fill="D9EAF7"/>
          </w:tcPr>
          <w:p>
            <w:pPr>
              <w:spacing w:after="0"/>
            </w:pPr>
            <w:r/>
            <w:r>
              <w:rPr>
                <w:rFonts w:ascii="Times New Roman" w:hAnsi="Times New Roman"/>
                <w:b w:val="0"/>
                <w:sz w:val="18"/>
              </w:rPr>
              <w:t>Safe fallback</w:t>
            </w:r>
          </w:p>
        </w:tc>
        <w:tc>
          <w:tcPr>
            <w:tcW w:type="dxa" w:w="3120"/>
            <w:vAlign w:val="center"/>
            <w:shd w:fill="D9EAF7"/>
          </w:tcPr>
          <w:p>
            <w:pPr>
              <w:spacing w:after="0"/>
            </w:pPr>
            <w:r/>
            <w:r>
              <w:rPr>
                <w:rFonts w:ascii="Times New Roman" w:hAnsi="Times New Roman"/>
                <w:b w:val="0"/>
                <w:sz w:val="18"/>
              </w:rPr>
              <w:t>SEARCH is displayed when no valid door region is detected.</w:t>
            </w:r>
          </w:p>
        </w:tc>
        <w:tc>
          <w:tcPr>
            <w:tcW w:type="dxa" w:w="3120"/>
            <w:vAlign w:val="center"/>
            <w:shd w:fill="D9EAF7"/>
          </w:tcPr>
          <w:p>
            <w:pPr>
              <w:spacing w:after="0"/>
            </w:pPr>
            <w:r/>
            <w:r>
              <w:rPr>
                <w:rFonts w:ascii="Times New Roman" w:hAnsi="Times New Roman"/>
                <w:b w:val="0"/>
                <w:sz w:val="18"/>
              </w:rPr>
              <w:t>Physical search rotation is not demonstrated.</w:t>
            </w:r>
          </w:p>
        </w:tc>
      </w:tr>
      <w:tr>
        <w:tc>
          <w:tcPr>
            <w:tcW w:type="dxa" w:w="3120"/>
            <w:vAlign w:val="center"/>
          </w:tcPr>
          <w:p>
            <w:pPr>
              <w:spacing w:after="0"/>
            </w:pPr>
            <w:r/>
            <w:r>
              <w:rPr>
                <w:rFonts w:ascii="Times New Roman" w:hAnsi="Times New Roman"/>
                <w:b w:val="0"/>
                <w:sz w:val="18"/>
              </w:rPr>
              <w:t>Directional action</w:t>
            </w:r>
          </w:p>
        </w:tc>
        <w:tc>
          <w:tcPr>
            <w:tcW w:type="dxa" w:w="3120"/>
            <w:vAlign w:val="center"/>
          </w:tcPr>
          <w:p>
            <w:pPr>
              <w:spacing w:after="0"/>
            </w:pPr>
            <w:r/>
            <w:r>
              <w:rPr>
                <w:rFonts w:ascii="Times New Roman" w:hAnsi="Times New Roman"/>
                <w:b w:val="0"/>
                <w:sz w:val="18"/>
              </w:rPr>
              <w:t>TURN RIGHT is displayed when the detected door is on the right side of the frame.</w:t>
            </w:r>
          </w:p>
        </w:tc>
        <w:tc>
          <w:tcPr>
            <w:tcW w:type="dxa" w:w="3120"/>
            <w:vAlign w:val="center"/>
          </w:tcPr>
          <w:p>
            <w:pPr>
              <w:spacing w:after="0"/>
            </w:pPr>
            <w:r/>
            <w:r>
              <w:rPr>
                <w:rFonts w:ascii="Times New Roman" w:hAnsi="Times New Roman"/>
                <w:b w:val="0"/>
                <w:sz w:val="18"/>
              </w:rPr>
              <w:t>TURN LEFT and physical turning are not yet demonstrated.</w:t>
            </w:r>
          </w:p>
        </w:tc>
      </w:tr>
      <w:tr>
        <w:tc>
          <w:tcPr>
            <w:tcW w:type="dxa" w:w="3120"/>
            <w:vAlign w:val="center"/>
            <w:shd w:fill="D9EAF7"/>
          </w:tcPr>
          <w:p>
            <w:pPr>
              <w:spacing w:after="0"/>
            </w:pPr>
            <w:r/>
            <w:r>
              <w:rPr>
                <w:rFonts w:ascii="Times New Roman" w:hAnsi="Times New Roman"/>
                <w:b w:val="0"/>
                <w:sz w:val="18"/>
              </w:rPr>
              <w:t>Goal stopping</w:t>
            </w:r>
          </w:p>
        </w:tc>
        <w:tc>
          <w:tcPr>
            <w:tcW w:type="dxa" w:w="3120"/>
            <w:vAlign w:val="center"/>
            <w:shd w:fill="D9EAF7"/>
          </w:tcPr>
          <w:p>
            <w:pPr>
              <w:spacing w:after="0"/>
            </w:pPr>
            <w:r/>
            <w:r>
              <w:rPr>
                <w:rFonts w:ascii="Times New Roman" w:hAnsi="Times New Roman"/>
                <w:b w:val="0"/>
                <w:sz w:val="18"/>
              </w:rPr>
              <w:t>STOP is displayed when the detected region occupies a large image area.</w:t>
            </w:r>
          </w:p>
        </w:tc>
        <w:tc>
          <w:tcPr>
            <w:tcW w:type="dxa" w:w="3120"/>
            <w:vAlign w:val="center"/>
            <w:shd w:fill="D9EAF7"/>
          </w:tcPr>
          <w:p>
            <w:pPr>
              <w:spacing w:after="0"/>
            </w:pPr>
            <w:r/>
            <w:r>
              <w:rPr>
                <w:rFonts w:ascii="Times New Roman" w:hAnsi="Times New Roman"/>
                <w:b w:val="0"/>
                <w:sz w:val="18"/>
              </w:rPr>
              <w:t>Apparent area is not a direct physical-distance measurement.</w:t>
            </w:r>
          </w:p>
        </w:tc>
      </w:tr>
      <w:tr>
        <w:tc>
          <w:tcPr>
            <w:tcW w:type="dxa" w:w="3120"/>
            <w:vAlign w:val="center"/>
          </w:tcPr>
          <w:p>
            <w:pPr>
              <w:spacing w:after="0"/>
            </w:pPr>
            <w:r/>
            <w:r>
              <w:rPr>
                <w:rFonts w:ascii="Times New Roman" w:hAnsi="Times New Roman"/>
                <w:b w:val="0"/>
                <w:sz w:val="18"/>
              </w:rPr>
              <w:t>Robot execution</w:t>
            </w:r>
          </w:p>
        </w:tc>
        <w:tc>
          <w:tcPr>
            <w:tcW w:type="dxa" w:w="3120"/>
            <w:vAlign w:val="center"/>
          </w:tcPr>
          <w:p>
            <w:pPr>
              <w:spacing w:after="0"/>
            </w:pPr>
            <w:r/>
            <w:r>
              <w:rPr>
                <w:rFonts w:ascii="Times New Roman" w:hAnsi="Times New Roman"/>
                <w:b w:val="0"/>
                <w:sz w:val="18"/>
              </w:rPr>
              <w:t>No physical movement is claimed.</w:t>
            </w:r>
          </w:p>
        </w:tc>
        <w:tc>
          <w:tcPr>
            <w:tcW w:type="dxa" w:w="3120"/>
            <w:vAlign w:val="center"/>
          </w:tcPr>
          <w:p>
            <w:pPr>
              <w:spacing w:after="0"/>
            </w:pPr>
            <w:r/>
            <w:r>
              <w:rPr>
                <w:rFonts w:ascii="Times New Roman" w:hAnsi="Times New Roman"/>
                <w:b w:val="0"/>
                <w:sz w:val="18"/>
              </w:rPr>
              <w:t>Raspberry Pi, ESP32, sensors, motors, and safety overrides remain to be validated.</w:t>
            </w:r>
          </w:p>
        </w:tc>
      </w:tr>
    </w:tbl>
    <w:p/>
    <w:p>
      <w:pPr>
        <w:pStyle w:val="Heading1"/>
      </w:pPr>
      <w:r>
        <w:t>4.5 Required Physical Validation During FYP2</w:t>
      </w:r>
    </w:p>
    <w:p>
      <w:r>
        <w:t>The Docker results establish a working software demonstration, but the final project result must come from the Raspberry Pi 4 physical robot. The same prompt and detector should be transferred to the Raspberry Pi and connected to the ESP32 safety and motor-control layer. Repeated trials are required before reporting accuracy, latency, movement success, or stopping performance.</w:t>
      </w:r>
    </w:p>
    <w:p>
      <w:r>
        <w:br w:type="page"/>
      </w:r>
    </w:p>
    <w:p>
      <w:pPr>
        <w:pStyle w:val="Caption"/>
      </w:pPr>
      <w:r>
        <w:t>Table 4.3: Required FYP2 Validation After the Docker Demonstration</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fill="1F4E78"/>
            <w:vAlign w:val="center"/>
          </w:tcPr>
          <w:p>
            <w:pPr>
              <w:spacing w:after="0"/>
            </w:pPr>
            <w:r/>
            <w:r>
              <w:rPr>
                <w:rFonts w:ascii="Times New Roman" w:hAnsi="Times New Roman"/>
                <w:b/>
                <w:color w:val="FFFFFF"/>
                <w:sz w:val="18"/>
              </w:rPr>
              <w:t>Evaluation Area</w:t>
            </w:r>
          </w:p>
        </w:tc>
        <w:tc>
          <w:tcPr>
            <w:tcW w:type="dxa" w:w="4680"/>
            <w:shd w:fill="1F4E78"/>
            <w:vAlign w:val="center"/>
          </w:tcPr>
          <w:p>
            <w:pPr>
              <w:spacing w:after="0"/>
            </w:pPr>
            <w:r/>
            <w:r>
              <w:rPr>
                <w:rFonts w:ascii="Times New Roman" w:hAnsi="Times New Roman"/>
                <w:b/>
                <w:color w:val="FFFFFF"/>
                <w:sz w:val="18"/>
              </w:rPr>
              <w:t>Required Measurement</w:t>
            </w:r>
          </w:p>
        </w:tc>
      </w:tr>
      <w:tr>
        <w:tc>
          <w:tcPr>
            <w:tcW w:type="dxa" w:w="4680"/>
            <w:vAlign w:val="center"/>
            <w:shd w:fill="D9EAF7"/>
          </w:tcPr>
          <w:p>
            <w:pPr>
              <w:spacing w:after="0"/>
            </w:pPr>
            <w:r/>
            <w:r>
              <w:rPr>
                <w:rFonts w:ascii="Times New Roman" w:hAnsi="Times New Roman"/>
                <w:b w:val="0"/>
                <w:sz w:val="18"/>
              </w:rPr>
              <w:t>Door detection</w:t>
            </w:r>
          </w:p>
        </w:tc>
        <w:tc>
          <w:tcPr>
            <w:tcW w:type="dxa" w:w="4680"/>
            <w:vAlign w:val="center"/>
            <w:shd w:fill="D9EAF7"/>
          </w:tcPr>
          <w:p>
            <w:pPr>
              <w:spacing w:after="0"/>
            </w:pPr>
            <w:r/>
            <w:r>
              <w:rPr>
                <w:rFonts w:ascii="Times New Roman" w:hAnsi="Times New Roman"/>
                <w:b w:val="0"/>
                <w:sz w:val="18"/>
              </w:rPr>
              <w:t>Repeated detection and missing-target trials under different lighting, distance, and door poses</w:t>
            </w:r>
          </w:p>
        </w:tc>
      </w:tr>
      <w:tr>
        <w:tc>
          <w:tcPr>
            <w:tcW w:type="dxa" w:w="4680"/>
            <w:vAlign w:val="center"/>
          </w:tcPr>
          <w:p>
            <w:pPr>
              <w:spacing w:after="0"/>
            </w:pPr>
            <w:r/>
            <w:r>
              <w:rPr>
                <w:rFonts w:ascii="Times New Roman" w:hAnsi="Times New Roman"/>
                <w:b w:val="0"/>
                <w:sz w:val="18"/>
              </w:rPr>
              <w:t>Action selection</w:t>
            </w:r>
          </w:p>
        </w:tc>
        <w:tc>
          <w:tcPr>
            <w:tcW w:type="dxa" w:w="4680"/>
            <w:vAlign w:val="center"/>
          </w:tcPr>
          <w:p>
            <w:pPr>
              <w:spacing w:after="0"/>
            </w:pPr>
            <w:r/>
            <w:r>
              <w:rPr>
                <w:rFonts w:ascii="Times New Roman" w:hAnsi="Times New Roman"/>
                <w:b w:val="0"/>
                <w:sz w:val="18"/>
              </w:rPr>
              <w:t>Recorded SEARCH, TURN LEFT, TURN RIGHT, MOVE FORWARD, and STOP correctness</w:t>
            </w:r>
          </w:p>
        </w:tc>
      </w:tr>
      <w:tr>
        <w:tc>
          <w:tcPr>
            <w:tcW w:type="dxa" w:w="4680"/>
            <w:vAlign w:val="center"/>
            <w:shd w:fill="D9EAF7"/>
          </w:tcPr>
          <w:p>
            <w:pPr>
              <w:spacing w:after="0"/>
            </w:pPr>
            <w:r/>
            <w:r>
              <w:rPr>
                <w:rFonts w:ascii="Times New Roman" w:hAnsi="Times New Roman"/>
                <w:b w:val="0"/>
                <w:sz w:val="18"/>
              </w:rPr>
              <w:t>Raspberry Pi performance</w:t>
            </w:r>
          </w:p>
        </w:tc>
        <w:tc>
          <w:tcPr>
            <w:tcW w:type="dxa" w:w="4680"/>
            <w:vAlign w:val="center"/>
            <w:shd w:fill="D9EAF7"/>
          </w:tcPr>
          <w:p>
            <w:pPr>
              <w:spacing w:after="0"/>
            </w:pPr>
            <w:r/>
            <w:r>
              <w:rPr>
                <w:rFonts w:ascii="Times New Roman" w:hAnsi="Times New Roman"/>
                <w:b w:val="0"/>
                <w:sz w:val="18"/>
              </w:rPr>
              <w:t>Frame-processing rate and end-to-end action latency</w:t>
            </w:r>
          </w:p>
        </w:tc>
      </w:tr>
      <w:tr>
        <w:tc>
          <w:tcPr>
            <w:tcW w:type="dxa" w:w="4680"/>
            <w:vAlign w:val="center"/>
          </w:tcPr>
          <w:p>
            <w:pPr>
              <w:spacing w:after="0"/>
            </w:pPr>
            <w:r/>
            <w:r>
              <w:rPr>
                <w:rFonts w:ascii="Times New Roman" w:hAnsi="Times New Roman"/>
                <w:b w:val="0"/>
                <w:sz w:val="18"/>
              </w:rPr>
              <w:t>ESP32 communication</w:t>
            </w:r>
          </w:p>
        </w:tc>
        <w:tc>
          <w:tcPr>
            <w:tcW w:type="dxa" w:w="4680"/>
            <w:vAlign w:val="center"/>
          </w:tcPr>
          <w:p>
            <w:pPr>
              <w:spacing w:after="0"/>
            </w:pPr>
            <w:r/>
            <w:r>
              <w:rPr>
                <w:rFonts w:ascii="Times New Roman" w:hAnsi="Times New Roman"/>
                <w:b w:val="0"/>
                <w:sz w:val="18"/>
              </w:rPr>
              <w:t>USB serial command and sensor-status reliability</w:t>
            </w:r>
          </w:p>
        </w:tc>
      </w:tr>
      <w:tr>
        <w:tc>
          <w:tcPr>
            <w:tcW w:type="dxa" w:w="4680"/>
            <w:vAlign w:val="center"/>
            <w:shd w:fill="D9EAF7"/>
          </w:tcPr>
          <w:p>
            <w:pPr>
              <w:spacing w:after="0"/>
            </w:pPr>
            <w:r/>
            <w:r>
              <w:rPr>
                <w:rFonts w:ascii="Times New Roman" w:hAnsi="Times New Roman"/>
                <w:b w:val="0"/>
                <w:sz w:val="18"/>
              </w:rPr>
              <w:t>Safety</w:t>
            </w:r>
          </w:p>
        </w:tc>
        <w:tc>
          <w:tcPr>
            <w:tcW w:type="dxa" w:w="4680"/>
            <w:vAlign w:val="center"/>
            <w:shd w:fill="D9EAF7"/>
          </w:tcPr>
          <w:p>
            <w:pPr>
              <w:spacing w:after="0"/>
            </w:pPr>
            <w:r/>
            <w:r>
              <w:rPr>
                <w:rFonts w:ascii="Times New Roman" w:hAnsi="Times New Roman"/>
                <w:b w:val="0"/>
                <w:sz w:val="18"/>
              </w:rPr>
              <w:t>Ultrasonic obstacle stop, sensor-fault stop, invalid-command stop, and timeout stop</w:t>
            </w:r>
          </w:p>
        </w:tc>
      </w:tr>
      <w:tr>
        <w:tc>
          <w:tcPr>
            <w:tcW w:type="dxa" w:w="4680"/>
            <w:vAlign w:val="center"/>
          </w:tcPr>
          <w:p>
            <w:pPr>
              <w:spacing w:after="0"/>
            </w:pPr>
            <w:r/>
            <w:r>
              <w:rPr>
                <w:rFonts w:ascii="Times New Roman" w:hAnsi="Times New Roman"/>
                <w:b w:val="0"/>
                <w:sz w:val="18"/>
              </w:rPr>
              <w:t>Physical navigation</w:t>
            </w:r>
          </w:p>
        </w:tc>
        <w:tc>
          <w:tcPr>
            <w:tcW w:type="dxa" w:w="4680"/>
            <w:vAlign w:val="center"/>
          </w:tcPr>
          <w:p>
            <w:pPr>
              <w:spacing w:after="0"/>
            </w:pPr>
            <w:r/>
            <w:r>
              <w:rPr>
                <w:rFonts w:ascii="Times New Roman" w:hAnsi="Times New Roman"/>
                <w:b w:val="0"/>
                <w:sz w:val="18"/>
              </w:rPr>
              <w:t>Door-approach success rate and measured stopping distance</w:t>
            </w:r>
          </w:p>
        </w:tc>
      </w:tr>
      <w:tr>
        <w:tc>
          <w:tcPr>
            <w:tcW w:type="dxa" w:w="4680"/>
            <w:vAlign w:val="center"/>
            <w:shd w:fill="D9EAF7"/>
          </w:tcPr>
          <w:p>
            <w:pPr>
              <w:spacing w:after="0"/>
            </w:pPr>
            <w:r/>
            <w:r>
              <w:rPr>
                <w:rFonts w:ascii="Times New Roman" w:hAnsi="Times New Roman"/>
                <w:b w:val="0"/>
                <w:sz w:val="18"/>
              </w:rPr>
              <w:t>Power system</w:t>
            </w:r>
          </w:p>
        </w:tc>
        <w:tc>
          <w:tcPr>
            <w:tcW w:type="dxa" w:w="4680"/>
            <w:vAlign w:val="center"/>
            <w:shd w:fill="D9EAF7"/>
          </w:tcPr>
          <w:p>
            <w:pPr>
              <w:spacing w:after="0"/>
            </w:pPr>
            <w:r/>
            <w:r>
              <w:rPr>
                <w:rFonts w:ascii="Times New Roman" w:hAnsi="Times New Roman"/>
                <w:b w:val="0"/>
                <w:sz w:val="18"/>
              </w:rPr>
              <w:t>Voltage stability, resets, current, and operating duration</w:t>
            </w:r>
          </w:p>
        </w:tc>
      </w:tr>
    </w:tbl>
    <w:p/>
    <w:p>
      <w:pPr>
        <w:pStyle w:val="Heading1"/>
      </w:pPr>
      <w:r>
        <w:t>4.6 Summary</w:t>
      </w:r>
    </w:p>
    <w:p>
      <w:r>
        <w:t>This chapter presented the observed FYP1 Docker demonstration results for the prompt "find the door". The screenshots show consistent structured goal output, grey-blue door-region detection, STOP selection for large detected door regions, SEARCH selection when the target is not grounded, and TURN RIGHT selection when the door is on the right side of the frame. The demonstration confirms that the high-level software interface is functional, while also showing that physical-distance estimation, broader door recognition, remaining action evidence, and real robot validation remain necessary during FYP2.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120"/>
      <w:jc w:val="center"/>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