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UNIVERSIDADE DE AVEIRO</w:t>
      </w:r>
    </w:p>
    <w:p>
      <w:pPr>
        <w:pStyle w:val="BodyText"/>
      </w:pPr>
      <w:r>
        <w:t xml:space="preserve">Instituto Superior de</w:t>
      </w:r>
      <w:r>
        <w:t xml:space="preserve"> </w:t>
      </w:r>
      <w:r>
        <w:t xml:space="preserve">Contabilidade e Administração</w:t>
      </w:r>
    </w:p>
    <w:p>
      <w:pPr>
        <w:pStyle w:val="BodyText"/>
      </w:pPr>
      <w:r>
        <w:rPr>
          <w:i/>
          <w:iCs/>
        </w:rPr>
        <w:t xml:space="preserve">Licenciatura em Finanças</w:t>
      </w:r>
    </w:p>
    <w:p>
      <w:pPr>
        <w:pStyle w:val="BodyText"/>
      </w:pPr>
      <w:r>
        <w:rPr>
          <w:b/>
          <w:bCs/>
        </w:rPr>
        <w:t xml:space="preserve">Projeto</w:t>
      </w:r>
      <w:r>
        <w:rPr>
          <w:b/>
          <w:bCs/>
        </w:rPr>
        <w:t xml:space="preserve"> </w:t>
      </w:r>
      <w:r>
        <w:rPr>
          <w:b/>
          <w:bCs/>
        </w:rPr>
        <w:t xml:space="preserve">Empresarial de Finanças</w:t>
      </w:r>
    </w:p>
    <w:p>
      <w:pPr>
        <w:pStyle w:val="BodyText"/>
      </w:pPr>
      <w:r>
        <w:rPr>
          <w:b/>
          <w:bCs/>
        </w:rPr>
        <w:t xml:space="preserve">Momento 6 —</w:t>
      </w:r>
      <w:r>
        <w:rPr>
          <w:b/>
          <w:bCs/>
        </w:rPr>
        <w:t xml:space="preserve"> </w:t>
      </w:r>
      <w:r>
        <w:rPr>
          <w:b/>
          <w:bCs/>
        </w:rPr>
        <w:t xml:space="preserve">Plano de Negócios</w:t>
      </w:r>
    </w:p>
    <w:p>
      <w:pPr>
        <w:pStyle w:val="BodyText"/>
      </w:pPr>
      <w:r>
        <w:rPr>
          <w:i/>
          <w:iCs/>
        </w:rPr>
        <w:t xml:space="preserve">Empresa em estudo</w:t>
      </w:r>
    </w:p>
    <w:p>
      <w:pPr>
        <w:pStyle w:val="BodyText"/>
      </w:pPr>
      <w:r>
        <w:rPr>
          <w:b/>
          <w:bCs/>
        </w:rPr>
        <w:t xml:space="preserve">Grestel – Produtos Cerâmicos,</w:t>
      </w:r>
      <w:r>
        <w:rPr>
          <w:b/>
          <w:bCs/>
        </w:rPr>
        <w:t xml:space="preserve"> </w:t>
      </w:r>
      <w:r>
        <w:rPr>
          <w:b/>
          <w:bCs/>
        </w:rPr>
        <w:t xml:space="preserve">S.A.</w:t>
      </w:r>
    </w:p>
    <w:p>
      <w:pPr>
        <w:pStyle w:val="BodyText"/>
      </w:pPr>
      <w:r>
        <w:rPr>
          <w:b/>
          <w:bCs/>
        </w:rPr>
        <w:t xml:space="preserve">Grupo 18</w:t>
      </w:r>
    </w:p>
    <w:p>
      <w:pPr>
        <w:pStyle w:val="BodyText"/>
      </w:pPr>
      <w:r>
        <w:t xml:space="preserve">António Marques — 75630</w:t>
      </w:r>
    </w:p>
    <w:p>
      <w:pPr>
        <w:pStyle w:val="BodyText"/>
      </w:pPr>
      <w:r>
        <w:t xml:space="preserve">Bruno Marques — 100104</w:t>
      </w:r>
    </w:p>
    <w:p>
      <w:pPr>
        <w:pStyle w:val="BodyText"/>
      </w:pPr>
      <w:r>
        <w:rPr>
          <w:i/>
          <w:iCs/>
        </w:rPr>
        <w:t xml:space="preserve">Docente Orientador</w:t>
      </w:r>
    </w:p>
    <w:p>
      <w:pPr>
        <w:pStyle w:val="BodyText"/>
      </w:pPr>
      <w:r>
        <w:rPr>
          <w:b/>
          <w:bCs/>
        </w:rPr>
        <w:t xml:space="preserve">Amândio Antunes</w:t>
      </w:r>
    </w:p>
    <w:p>
      <w:pPr>
        <w:pStyle w:val="BodyText"/>
      </w:pPr>
      <w:r>
        <w:t xml:space="preserve">Ano letivo 2025/2026</w:t>
      </w:r>
    </w:p>
    <w:p>
      <w:pPr>
        <w:pStyle w:val="BodyText"/>
      </w:pPr>
      <w:r>
        <w:rPr>
          <w:i/>
          <w:iCs/>
        </w:rPr>
        <w:t xml:space="preserve">Aveiro, 1 junho de 2026</w:t>
      </w:r>
    </w:p>
    <w:bookmarkStart w:id="9" w:name="índice"/>
    <w:p>
      <w:pPr>
        <w:pStyle w:val="Heading1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introdução">
        <w:r>
          <w:rPr>
            <w:rStyle w:val="Hyperlink"/>
          </w:rPr>
          <w:t xml:space="preserve">Introdução</w:t>
        </w:r>
      </w:hyperlink>
    </w:p>
    <w:p>
      <w:pPr>
        <w:pStyle w:val="Compact"/>
        <w:numPr>
          <w:ilvl w:val="1"/>
          <w:numId w:val="1002"/>
        </w:numPr>
      </w:pPr>
      <w:hyperlink w:anchor="contexto-e-motivação">
        <w:r>
          <w:rPr>
            <w:rStyle w:val="Hyperlink"/>
          </w:rPr>
          <w:t xml:space="preserve">Contexto e motivação</w:t>
        </w:r>
      </w:hyperlink>
    </w:p>
    <w:p>
      <w:pPr>
        <w:pStyle w:val="Compact"/>
        <w:numPr>
          <w:ilvl w:val="1"/>
          <w:numId w:val="1002"/>
        </w:numPr>
      </w:pPr>
      <w:hyperlink w:anchor="estrutura-do-documento">
        <w:r>
          <w:rPr>
            <w:rStyle w:val="Hyperlink"/>
          </w:rPr>
          <w:t xml:space="preserve">Estrutura do documento</w:t>
        </w:r>
      </w:hyperlink>
    </w:p>
    <w:p>
      <w:pPr>
        <w:pStyle w:val="Compact"/>
        <w:numPr>
          <w:ilvl w:val="0"/>
          <w:numId w:val="1001"/>
        </w:numPr>
      </w:pPr>
      <w:hyperlink w:anchor="sumário-executivo">
        <w:r>
          <w:rPr>
            <w:rStyle w:val="Hyperlink"/>
          </w:rPr>
          <w:t xml:space="preserve">Sumário Executivo</w:t>
        </w:r>
      </w:hyperlink>
    </w:p>
    <w:p>
      <w:pPr>
        <w:pStyle w:val="Compact"/>
        <w:numPr>
          <w:ilvl w:val="0"/>
          <w:numId w:val="1001"/>
        </w:numPr>
      </w:pPr>
      <w:hyperlink w:anchor="Xf666ea7c256b416bbb06cc46dc0d8205fb7b49c">
        <w:r>
          <w:rPr>
            <w:rStyle w:val="Hyperlink"/>
          </w:rPr>
          <w:t xml:space="preserve">1. Objetivos da Empresa e Ideia Inovadora</w:t>
        </w:r>
      </w:hyperlink>
    </w:p>
    <w:p>
      <w:pPr>
        <w:pStyle w:val="Compact"/>
        <w:numPr>
          <w:ilvl w:val="1"/>
          <w:numId w:val="1003"/>
        </w:numPr>
      </w:pPr>
      <w:hyperlink w:anchor="X056d5b74ea3ffeb987feb2eb010e03b1ea2392a">
        <w:r>
          <w:rPr>
            <w:rStyle w:val="Hyperlink"/>
          </w:rPr>
          <w:t xml:space="preserve">1.1. Apresentação da empresa</w:t>
        </w:r>
      </w:hyperlink>
    </w:p>
    <w:p>
      <w:pPr>
        <w:pStyle w:val="Compact"/>
        <w:numPr>
          <w:ilvl w:val="1"/>
          <w:numId w:val="1003"/>
        </w:numPr>
      </w:pPr>
      <w:hyperlink w:anchor="X1bd91a82369a29f279b2f9566d6aeac86a3438f">
        <w:r>
          <w:rPr>
            <w:rStyle w:val="Hyperlink"/>
          </w:rPr>
          <w:t xml:space="preserve">1.2. Objetivos para os próximos anos</w:t>
        </w:r>
      </w:hyperlink>
    </w:p>
    <w:p>
      <w:pPr>
        <w:pStyle w:val="Compact"/>
        <w:numPr>
          <w:ilvl w:val="1"/>
          <w:numId w:val="1003"/>
        </w:numPr>
      </w:pPr>
      <w:hyperlink w:anchor="X6f319bad1251d3d9d8dbb539f24d0d13526a5ad">
        <w:r>
          <w:rPr>
            <w:rStyle w:val="Hyperlink"/>
          </w:rPr>
          <w:t xml:space="preserve">1.3. Ideia inovadora</w:t>
        </w:r>
      </w:hyperlink>
    </w:p>
    <w:p>
      <w:pPr>
        <w:pStyle w:val="Compact"/>
        <w:numPr>
          <w:ilvl w:val="0"/>
          <w:numId w:val="1001"/>
        </w:numPr>
      </w:pPr>
      <w:hyperlink w:anchor="X2463a4e37043db06ea92a000c364441434a52e6">
        <w:r>
          <w:rPr>
            <w:rStyle w:val="Hyperlink"/>
          </w:rPr>
          <w:t xml:space="preserve">2. Posicionamento Estratégico face à Concorrência</w:t>
        </w:r>
      </w:hyperlink>
    </w:p>
    <w:p>
      <w:pPr>
        <w:pStyle w:val="Compact"/>
        <w:numPr>
          <w:ilvl w:val="1"/>
          <w:numId w:val="1004"/>
        </w:numPr>
      </w:pPr>
      <w:hyperlink w:anchor="Xfac6e8095444e9208641d3607962101858b6ed2">
        <w:r>
          <w:rPr>
            <w:rStyle w:val="Hyperlink"/>
          </w:rPr>
          <w:t xml:space="preserve">2.1. Análise da concorrência</w:t>
        </w:r>
      </w:hyperlink>
    </w:p>
    <w:p>
      <w:pPr>
        <w:pStyle w:val="Compact"/>
        <w:numPr>
          <w:ilvl w:val="1"/>
          <w:numId w:val="1004"/>
        </w:numPr>
      </w:pPr>
      <w:hyperlink w:anchor="Xff8bbf0ff172762950f2d54f6bef1c130e75a49">
        <w:r>
          <w:rPr>
            <w:rStyle w:val="Hyperlink"/>
          </w:rPr>
          <w:t xml:space="preserve">2.2. Vantagens competitivas e proposta de valor</w:t>
        </w:r>
      </w:hyperlink>
    </w:p>
    <w:p>
      <w:pPr>
        <w:pStyle w:val="Compact"/>
        <w:numPr>
          <w:ilvl w:val="1"/>
          <w:numId w:val="1004"/>
        </w:numPr>
      </w:pPr>
      <w:hyperlink w:anchor="X91009ccebfe37566124138feaad114ce8f292fb">
        <w:r>
          <w:rPr>
            <w:rStyle w:val="Hyperlink"/>
          </w:rPr>
          <w:t xml:space="preserve">2.3. Estratégia de desenvolvimento — Matriz de Ansoff</w:t>
        </w:r>
      </w:hyperlink>
    </w:p>
    <w:p>
      <w:pPr>
        <w:pStyle w:val="Compact"/>
        <w:numPr>
          <w:ilvl w:val="0"/>
          <w:numId w:val="1001"/>
        </w:numPr>
      </w:pPr>
      <w:hyperlink w:anchor="X69849e33c533862ccb3c468f28cad9a520cd59e">
        <w:r>
          <w:rPr>
            <w:rStyle w:val="Hyperlink"/>
          </w:rPr>
          <w:t xml:space="preserve">3. Plano de Ação</w:t>
        </w:r>
      </w:hyperlink>
    </w:p>
    <w:p>
      <w:pPr>
        <w:pStyle w:val="Compact"/>
        <w:numPr>
          <w:ilvl w:val="1"/>
          <w:numId w:val="1005"/>
        </w:numPr>
      </w:pPr>
      <w:hyperlink w:anchor="X06c1d9b7af6416fac181481fadee82bebc9e243">
        <w:r>
          <w:rPr>
            <w:rStyle w:val="Hyperlink"/>
          </w:rPr>
          <w:t xml:space="preserve">3.1. Reorganização e capital humano</w:t>
        </w:r>
      </w:hyperlink>
    </w:p>
    <w:p>
      <w:pPr>
        <w:pStyle w:val="Compact"/>
        <w:numPr>
          <w:ilvl w:val="1"/>
          <w:numId w:val="1005"/>
        </w:numPr>
      </w:pPr>
      <w:hyperlink w:anchor="X20bacd23f9f1bbbfd70aa056a0b8aa600776adc">
        <w:r>
          <w:rPr>
            <w:rStyle w:val="Hyperlink"/>
          </w:rPr>
          <w:t xml:space="preserve">3.2. Marketing-mix (metodologia Kotler)</w:t>
        </w:r>
      </w:hyperlink>
    </w:p>
    <w:p>
      <w:pPr>
        <w:pStyle w:val="Compact"/>
        <w:numPr>
          <w:ilvl w:val="1"/>
          <w:numId w:val="1005"/>
        </w:numPr>
      </w:pPr>
      <w:hyperlink w:anchor="X21ee86b683a14f9a9b46dfc4732595a16f2f26f">
        <w:r>
          <w:rPr>
            <w:rStyle w:val="Hyperlink"/>
          </w:rPr>
          <w:t xml:space="preserve">3.3. Produção</w:t>
        </w:r>
      </w:hyperlink>
    </w:p>
    <w:p>
      <w:pPr>
        <w:pStyle w:val="Compact"/>
        <w:numPr>
          <w:ilvl w:val="1"/>
          <w:numId w:val="1005"/>
        </w:numPr>
      </w:pPr>
      <w:hyperlink w:anchor="X82c816eaf07f7c188431d3dc7f7f8382949c896">
        <w:r>
          <w:rPr>
            <w:rStyle w:val="Hyperlink"/>
          </w:rPr>
          <w:t xml:space="preserve">3.4. Investigação e desenvolvimento</w:t>
        </w:r>
      </w:hyperlink>
    </w:p>
    <w:p>
      <w:pPr>
        <w:pStyle w:val="Compact"/>
        <w:numPr>
          <w:ilvl w:val="1"/>
          <w:numId w:val="1005"/>
        </w:numPr>
      </w:pPr>
      <w:hyperlink w:anchor="X77b7101511ff5542bec72120c9689c0228f470c">
        <w:r>
          <w:rPr>
            <w:rStyle w:val="Hyperlink"/>
          </w:rPr>
          <w:t xml:space="preserve">3.5. Qualidade</w:t>
        </w:r>
      </w:hyperlink>
    </w:p>
    <w:p>
      <w:pPr>
        <w:pStyle w:val="Compact"/>
        <w:numPr>
          <w:ilvl w:val="1"/>
          <w:numId w:val="1005"/>
        </w:numPr>
      </w:pPr>
      <w:hyperlink w:anchor="X1a9ea01327d15f068a7f016f1ab8670015c0f51">
        <w:r>
          <w:rPr>
            <w:rStyle w:val="Hyperlink"/>
          </w:rPr>
          <w:t xml:space="preserve">3.6. Desenvolvimento sustentável (ODS)</w:t>
        </w:r>
      </w:hyperlink>
    </w:p>
    <w:p>
      <w:pPr>
        <w:pStyle w:val="Compact"/>
        <w:numPr>
          <w:ilvl w:val="1"/>
          <w:numId w:val="1005"/>
        </w:numPr>
      </w:pPr>
      <w:hyperlink w:anchor="Xf19d47662d597875371e7e844069cf87d2ae5ea">
        <w:r>
          <w:rPr>
            <w:rStyle w:val="Hyperlink"/>
          </w:rPr>
          <w:t xml:space="preserve">3.7. Eficiência, higiene e segurança</w:t>
        </w:r>
      </w:hyperlink>
    </w:p>
    <w:p>
      <w:pPr>
        <w:pStyle w:val="Compact"/>
        <w:numPr>
          <w:ilvl w:val="0"/>
          <w:numId w:val="1001"/>
        </w:numPr>
      </w:pPr>
      <w:hyperlink w:anchor="Xabc7b2ada7d4a1054b8b07b0c67ca8b96ec4a41">
        <w:r>
          <w:rPr>
            <w:rStyle w:val="Hyperlink"/>
          </w:rPr>
          <w:t xml:space="preserve">4. Gestão e Controlo do Negócio</w:t>
        </w:r>
      </w:hyperlink>
    </w:p>
    <w:p>
      <w:pPr>
        <w:pStyle w:val="Compact"/>
        <w:numPr>
          <w:ilvl w:val="1"/>
          <w:numId w:val="1006"/>
        </w:numPr>
      </w:pPr>
      <w:hyperlink w:anchor="Xf39b7a3746cb6f063294c992e8ec595af0dc919">
        <w:r>
          <w:rPr>
            <w:rStyle w:val="Hyperlink"/>
          </w:rPr>
          <w:t xml:space="preserve">4.1. Funções de gestão</w:t>
        </w:r>
      </w:hyperlink>
    </w:p>
    <w:p>
      <w:pPr>
        <w:pStyle w:val="Compact"/>
        <w:numPr>
          <w:ilvl w:val="1"/>
          <w:numId w:val="1006"/>
        </w:numPr>
      </w:pPr>
      <w:hyperlink w:anchor="Xa1b07fa7165503d8273e7acb70a5db41e234a1c">
        <w:r>
          <w:rPr>
            <w:rStyle w:val="Hyperlink"/>
          </w:rPr>
          <w:t xml:space="preserve">4.2. Estrutura organizacional</w:t>
        </w:r>
      </w:hyperlink>
    </w:p>
    <w:p>
      <w:pPr>
        <w:pStyle w:val="Compact"/>
        <w:numPr>
          <w:ilvl w:val="1"/>
          <w:numId w:val="1006"/>
        </w:numPr>
      </w:pPr>
      <w:hyperlink w:anchor="X7a19951e395a4f513fdbbf0a5eb2b21ab330dc0">
        <w:r>
          <w:rPr>
            <w:rStyle w:val="Hyperlink"/>
          </w:rPr>
          <w:t xml:space="preserve">4.3. Sistema de controlo interno</w:t>
        </w:r>
      </w:hyperlink>
    </w:p>
    <w:p>
      <w:pPr>
        <w:pStyle w:val="Compact"/>
        <w:numPr>
          <w:ilvl w:val="0"/>
          <w:numId w:val="1001"/>
        </w:numPr>
      </w:pPr>
      <w:hyperlink w:anchor="Xa30211dcc14139490f6e1925c73e796eb003021">
        <w:r>
          <w:rPr>
            <w:rStyle w:val="Hyperlink"/>
          </w:rPr>
          <w:t xml:space="preserve">5. Plano de Investimentos</w:t>
        </w:r>
      </w:hyperlink>
    </w:p>
    <w:p>
      <w:pPr>
        <w:pStyle w:val="Compact"/>
        <w:numPr>
          <w:ilvl w:val="1"/>
          <w:numId w:val="1007"/>
        </w:numPr>
      </w:pPr>
      <w:hyperlink w:anchor="X36a7c264609b6f51f4196499d8e4df0c05880a2">
        <w:r>
          <w:rPr>
            <w:rStyle w:val="Hyperlink"/>
          </w:rPr>
          <w:t xml:space="preserve">5.1. Investimentos em ativos não correntes</w:t>
        </w:r>
      </w:hyperlink>
    </w:p>
    <w:p>
      <w:pPr>
        <w:pStyle w:val="Compact"/>
        <w:numPr>
          <w:ilvl w:val="1"/>
          <w:numId w:val="1007"/>
        </w:numPr>
      </w:pPr>
      <w:hyperlink w:anchor="Xf5ec1d52af1919bc80b1e3eaf81f2c0f9e260d5">
        <w:r>
          <w:rPr>
            <w:rStyle w:val="Hyperlink"/>
          </w:rPr>
          <w:t xml:space="preserve">5.2. Investimentos em fundo de maneio e contingências</w:t>
        </w:r>
      </w:hyperlink>
    </w:p>
    <w:p>
      <w:pPr>
        <w:pStyle w:val="Compact"/>
        <w:numPr>
          <w:ilvl w:val="1"/>
          <w:numId w:val="1007"/>
        </w:numPr>
      </w:pPr>
      <w:hyperlink w:anchor="X54dc86e7ff7da44290ce103ed7251db1633cef0">
        <w:r>
          <w:rPr>
            <w:rStyle w:val="Hyperlink"/>
          </w:rPr>
          <w:t xml:space="preserve">5.3. Cronologia de execução</w:t>
        </w:r>
      </w:hyperlink>
    </w:p>
    <w:p>
      <w:pPr>
        <w:pStyle w:val="Compact"/>
        <w:numPr>
          <w:ilvl w:val="0"/>
          <w:numId w:val="1001"/>
        </w:numPr>
      </w:pPr>
      <w:hyperlink w:anchor="X9af2927c64710ca889df7eb3912683ddff907a4">
        <w:r>
          <w:rPr>
            <w:rStyle w:val="Hyperlink"/>
          </w:rPr>
          <w:t xml:space="preserve">6. Plano de Financiamento</w:t>
        </w:r>
      </w:hyperlink>
    </w:p>
    <w:p>
      <w:pPr>
        <w:pStyle w:val="Compact"/>
        <w:numPr>
          <w:ilvl w:val="1"/>
          <w:numId w:val="1008"/>
        </w:numPr>
      </w:pPr>
      <w:hyperlink w:anchor="X13a482b70085691708f9bde592efa722d5b2e53">
        <w:r>
          <w:rPr>
            <w:rStyle w:val="Hyperlink"/>
          </w:rPr>
          <w:t xml:space="preserve">6.1. Fontes de capitais alheios</w:t>
        </w:r>
      </w:hyperlink>
    </w:p>
    <w:p>
      <w:pPr>
        <w:pStyle w:val="Compact"/>
        <w:numPr>
          <w:ilvl w:val="1"/>
          <w:numId w:val="1008"/>
        </w:numPr>
      </w:pPr>
      <w:hyperlink w:anchor="X980cc865c224db14626c6a1903f0bbf1a7c133b">
        <w:r>
          <w:rPr>
            <w:rStyle w:val="Hyperlink"/>
          </w:rPr>
          <w:t xml:space="preserve">6.2. Capitais próprios</w:t>
        </w:r>
      </w:hyperlink>
    </w:p>
    <w:p>
      <w:pPr>
        <w:pStyle w:val="Compact"/>
        <w:numPr>
          <w:ilvl w:val="1"/>
          <w:numId w:val="1008"/>
        </w:numPr>
      </w:pPr>
      <w:hyperlink w:anchor="X4c60fcf90fca714d2131d05959a2bb1f3da14d1">
        <w:r>
          <w:rPr>
            <w:rStyle w:val="Hyperlink"/>
          </w:rPr>
          <w:t xml:space="preserve">6.3. Mapa de serviço da dívida</w:t>
        </w:r>
      </w:hyperlink>
    </w:p>
    <w:p>
      <w:pPr>
        <w:pStyle w:val="Compact"/>
        <w:numPr>
          <w:ilvl w:val="0"/>
          <w:numId w:val="1001"/>
        </w:numPr>
      </w:pPr>
      <w:hyperlink w:anchor="X156b4871861aa937d16f8d5c5516d132cc97957">
        <w:r>
          <w:rPr>
            <w:rStyle w:val="Hyperlink"/>
          </w:rPr>
          <w:t xml:space="preserve">7. Projeções Económicas e Financeiras</w:t>
        </w:r>
      </w:hyperlink>
    </w:p>
    <w:p>
      <w:pPr>
        <w:pStyle w:val="Compact"/>
        <w:numPr>
          <w:ilvl w:val="1"/>
          <w:numId w:val="1009"/>
        </w:numPr>
      </w:pPr>
      <w:hyperlink w:anchor="Xb733300c043e93211beb8ddc18fa16d4ab44fd5">
        <w:r>
          <w:rPr>
            <w:rStyle w:val="Hyperlink"/>
          </w:rPr>
          <w:t xml:space="preserve">7.1. Pressupostos das projeções</w:t>
        </w:r>
      </w:hyperlink>
    </w:p>
    <w:p>
      <w:pPr>
        <w:pStyle w:val="Compact"/>
        <w:numPr>
          <w:ilvl w:val="1"/>
          <w:numId w:val="1009"/>
        </w:numPr>
      </w:pPr>
      <w:hyperlink w:anchor="X249ccceb20d8443ce21e2e03101e00bacced593">
        <w:r>
          <w:rPr>
            <w:rStyle w:val="Hyperlink"/>
          </w:rPr>
          <w:t xml:space="preserve">7.2. Demonstração dos resultados comparativa</w:t>
        </w:r>
      </w:hyperlink>
    </w:p>
    <w:p>
      <w:pPr>
        <w:pStyle w:val="Compact"/>
        <w:numPr>
          <w:ilvl w:val="1"/>
          <w:numId w:val="1009"/>
        </w:numPr>
      </w:pPr>
      <w:hyperlink w:anchor="Xc2865e6bec38003e099b531085cb266320b9cfa">
        <w:r>
          <w:rPr>
            <w:rStyle w:val="Hyperlink"/>
          </w:rPr>
          <w:t xml:space="preserve">7.3. Balanços comparativos e balanço funcional</w:t>
        </w:r>
      </w:hyperlink>
    </w:p>
    <w:p>
      <w:pPr>
        <w:pStyle w:val="Compact"/>
        <w:numPr>
          <w:ilvl w:val="1"/>
          <w:numId w:val="1009"/>
        </w:numPr>
      </w:pPr>
      <w:hyperlink w:anchor="X5aa521ad9c374c20448c9ad6a17b732dd061c8d">
        <w:r>
          <w:rPr>
            <w:rStyle w:val="Hyperlink"/>
          </w:rPr>
          <w:t xml:space="preserve">7.4. Análise integrada de rácios</w:t>
        </w:r>
      </w:hyperlink>
    </w:p>
    <w:p>
      <w:pPr>
        <w:pStyle w:val="Compact"/>
        <w:numPr>
          <w:ilvl w:val="0"/>
          <w:numId w:val="1001"/>
        </w:numPr>
      </w:pPr>
      <w:hyperlink w:anchor="X906c2625a9194be90721eecfd079dd5bb767cd1">
        <w:r>
          <w:rPr>
            <w:rStyle w:val="Hyperlink"/>
          </w:rPr>
          <w:t xml:space="preserve">8. Análise de Riscos</w:t>
        </w:r>
      </w:hyperlink>
    </w:p>
    <w:p>
      <w:pPr>
        <w:pStyle w:val="Compact"/>
        <w:numPr>
          <w:ilvl w:val="1"/>
          <w:numId w:val="1010"/>
        </w:numPr>
      </w:pPr>
      <w:hyperlink w:anchor="X117db860673bb88350b7a3827d7f3196ee87a9f">
        <w:r>
          <w:rPr>
            <w:rStyle w:val="Hyperlink"/>
          </w:rPr>
          <w:t xml:space="preserve">8.1. Riscos externos</w:t>
        </w:r>
      </w:hyperlink>
    </w:p>
    <w:p>
      <w:pPr>
        <w:pStyle w:val="Compact"/>
        <w:numPr>
          <w:ilvl w:val="1"/>
          <w:numId w:val="1010"/>
        </w:numPr>
      </w:pPr>
      <w:hyperlink w:anchor="X80072754f59c596f3264c5e4424a51787ea0a33">
        <w:r>
          <w:rPr>
            <w:rStyle w:val="Hyperlink"/>
          </w:rPr>
          <w:t xml:space="preserve">8.2. Riscos internos</w:t>
        </w:r>
      </w:hyperlink>
    </w:p>
    <w:p>
      <w:pPr>
        <w:pStyle w:val="Compact"/>
        <w:numPr>
          <w:ilvl w:val="0"/>
          <w:numId w:val="1001"/>
        </w:numPr>
      </w:pPr>
      <w:hyperlink w:anchor="X46f9e965bad1dcc869f87b0fe79d329e6bd0747">
        <w:r>
          <w:rPr>
            <w:rStyle w:val="Hyperlink"/>
          </w:rPr>
          <w:t xml:space="preserve">9. Cash-flows e Viabilidade do Projeto</w:t>
        </w:r>
      </w:hyperlink>
    </w:p>
    <w:p>
      <w:pPr>
        <w:pStyle w:val="Compact"/>
        <w:numPr>
          <w:ilvl w:val="1"/>
          <w:numId w:val="1011"/>
        </w:numPr>
      </w:pPr>
      <w:hyperlink w:anchor="Xd7e07d53e220820598107f7f58e8d7bc77efe11">
        <w:r>
          <w:rPr>
            <w:rStyle w:val="Hyperlink"/>
          </w:rPr>
          <w:t xml:space="preserve">9.1. Cálculo dos cash-flows</w:t>
        </w:r>
      </w:hyperlink>
    </w:p>
    <w:p>
      <w:pPr>
        <w:pStyle w:val="Compact"/>
        <w:numPr>
          <w:ilvl w:val="1"/>
          <w:numId w:val="1011"/>
        </w:numPr>
      </w:pPr>
      <w:hyperlink w:anchor="X5bd851c5eeb4b6ffee5302b9dad008fd78143dd">
        <w:r>
          <w:rPr>
            <w:rStyle w:val="Hyperlink"/>
          </w:rPr>
          <w:t xml:space="preserve">9.2. Indicadores de viabilidade</w:t>
        </w:r>
      </w:hyperlink>
    </w:p>
    <w:p>
      <w:pPr>
        <w:pStyle w:val="Compact"/>
        <w:numPr>
          <w:ilvl w:val="1"/>
          <w:numId w:val="1011"/>
        </w:numPr>
      </w:pPr>
      <w:hyperlink w:anchor="Xcd417df544745b15dbca07c2781c6c647d21524">
        <w:r>
          <w:rPr>
            <w:rStyle w:val="Hyperlink"/>
          </w:rPr>
          <w:t xml:space="preserve">9.3. Análise de sensibilidade</w:t>
        </w:r>
      </w:hyperlink>
    </w:p>
    <w:p>
      <w:pPr>
        <w:pStyle w:val="Compact"/>
        <w:numPr>
          <w:ilvl w:val="1"/>
          <w:numId w:val="1011"/>
        </w:numPr>
      </w:pPr>
      <w:hyperlink w:anchor="X3e7edbbeb27f7260befbbdfb602b726eb8fb645">
        <w:r>
          <w:rPr>
            <w:rStyle w:val="Hyperlink"/>
          </w:rPr>
          <w:t xml:space="preserve">9.4. Análise de cenários</w:t>
        </w:r>
      </w:hyperlink>
    </w:p>
    <w:p>
      <w:pPr>
        <w:pStyle w:val="Compact"/>
        <w:numPr>
          <w:ilvl w:val="0"/>
          <w:numId w:val="1001"/>
        </w:numPr>
      </w:pPr>
      <w:hyperlink w:anchor="X9798afe8f43dce6fccc9edfbb8595cde848057e">
        <w:r>
          <w:rPr>
            <w:rStyle w:val="Hyperlink"/>
          </w:rPr>
          <w:t xml:space="preserve">10. Síntese do Plano de Negócios — Business Model Canvas</w:t>
        </w:r>
      </w:hyperlink>
    </w:p>
    <w:p>
      <w:pPr>
        <w:pStyle w:val="Compact"/>
        <w:numPr>
          <w:ilvl w:val="1"/>
          <w:numId w:val="1012"/>
        </w:numPr>
      </w:pPr>
      <w:hyperlink w:anchor="X7b47a088c7c299bfbe900805bb3e67fcb388093">
        <w:r>
          <w:rPr>
            <w:rStyle w:val="Hyperlink"/>
          </w:rPr>
          <w:t xml:space="preserve">10.1. Segmentos de clientes</w:t>
        </w:r>
      </w:hyperlink>
    </w:p>
    <w:p>
      <w:pPr>
        <w:pStyle w:val="Compact"/>
        <w:numPr>
          <w:ilvl w:val="1"/>
          <w:numId w:val="1012"/>
        </w:numPr>
      </w:pPr>
      <w:hyperlink w:anchor="X3cc35d2358aff3b7141891333e4ac6059955a16">
        <w:r>
          <w:rPr>
            <w:rStyle w:val="Hyperlink"/>
          </w:rPr>
          <w:t xml:space="preserve">10.2. Proposta de valor</w:t>
        </w:r>
      </w:hyperlink>
    </w:p>
    <w:p>
      <w:pPr>
        <w:pStyle w:val="Compact"/>
        <w:numPr>
          <w:ilvl w:val="1"/>
          <w:numId w:val="1012"/>
        </w:numPr>
      </w:pPr>
      <w:hyperlink w:anchor="X8dd35537cdb1519d514b1dc8f0b0a7b72b3839a">
        <w:r>
          <w:rPr>
            <w:rStyle w:val="Hyperlink"/>
          </w:rPr>
          <w:t xml:space="preserve">10.3. Canais</w:t>
        </w:r>
      </w:hyperlink>
    </w:p>
    <w:p>
      <w:pPr>
        <w:pStyle w:val="Compact"/>
        <w:numPr>
          <w:ilvl w:val="1"/>
          <w:numId w:val="1012"/>
        </w:numPr>
      </w:pPr>
      <w:hyperlink w:anchor="Xf5d1dc81442e6f3d94290af1c8719611f036b97">
        <w:r>
          <w:rPr>
            <w:rStyle w:val="Hyperlink"/>
          </w:rPr>
          <w:t xml:space="preserve">10.4. Relações com clientes</w:t>
        </w:r>
      </w:hyperlink>
    </w:p>
    <w:p>
      <w:pPr>
        <w:pStyle w:val="Compact"/>
        <w:numPr>
          <w:ilvl w:val="1"/>
          <w:numId w:val="1012"/>
        </w:numPr>
      </w:pPr>
      <w:hyperlink w:anchor="X346dfabf9d3dd973a853a1bb09580c07d876d47">
        <w:r>
          <w:rPr>
            <w:rStyle w:val="Hyperlink"/>
          </w:rPr>
          <w:t xml:space="preserve">10.5. Fluxos de rendimentos</w:t>
        </w:r>
      </w:hyperlink>
    </w:p>
    <w:p>
      <w:pPr>
        <w:pStyle w:val="Compact"/>
        <w:numPr>
          <w:ilvl w:val="1"/>
          <w:numId w:val="1012"/>
        </w:numPr>
      </w:pPr>
      <w:hyperlink w:anchor="X8cd8cc49eeb7c4d01ca9f9dfe8cee9ebb263664">
        <w:r>
          <w:rPr>
            <w:rStyle w:val="Hyperlink"/>
          </w:rPr>
          <w:t xml:space="preserve">10.6. Recursos-chave</w:t>
        </w:r>
      </w:hyperlink>
    </w:p>
    <w:p>
      <w:pPr>
        <w:pStyle w:val="Compact"/>
        <w:numPr>
          <w:ilvl w:val="1"/>
          <w:numId w:val="1012"/>
        </w:numPr>
      </w:pPr>
      <w:hyperlink w:anchor="Xd023cf2517c673799c7255a8ba3b8dae9615119">
        <w:r>
          <w:rPr>
            <w:rStyle w:val="Hyperlink"/>
          </w:rPr>
          <w:t xml:space="preserve">10.7. Atividades-chave</w:t>
        </w:r>
      </w:hyperlink>
    </w:p>
    <w:p>
      <w:pPr>
        <w:pStyle w:val="Compact"/>
        <w:numPr>
          <w:ilvl w:val="1"/>
          <w:numId w:val="1012"/>
        </w:numPr>
      </w:pPr>
      <w:hyperlink w:anchor="Xeb4403331ad153678a31962490c186216038293">
        <w:r>
          <w:rPr>
            <w:rStyle w:val="Hyperlink"/>
          </w:rPr>
          <w:t xml:space="preserve">10.8. Parcerias-chave</w:t>
        </w:r>
      </w:hyperlink>
    </w:p>
    <w:p>
      <w:pPr>
        <w:pStyle w:val="Compact"/>
        <w:numPr>
          <w:ilvl w:val="1"/>
          <w:numId w:val="1012"/>
        </w:numPr>
      </w:pPr>
      <w:hyperlink w:anchor="X2918099832a7b4ac45c86ab783150bc24936105">
        <w:r>
          <w:rPr>
            <w:rStyle w:val="Hyperlink"/>
          </w:rPr>
          <w:t xml:space="preserve">10.9. Estrutura de custos</w:t>
        </w:r>
      </w:hyperlink>
    </w:p>
    <w:p>
      <w:pPr>
        <w:pStyle w:val="Compact"/>
        <w:numPr>
          <w:ilvl w:val="1"/>
          <w:numId w:val="1012"/>
        </w:numPr>
      </w:pPr>
      <w:hyperlink w:anchor="X5ab92422e7b4382e3112b0b0620485f12c8ec3a">
        <w:r>
          <w:rPr>
            <w:rStyle w:val="Hyperlink"/>
          </w:rPr>
          <w:t xml:space="preserve">10.10. Cronograma de implementação</w:t>
        </w:r>
      </w:hyperlink>
    </w:p>
    <w:p>
      <w:pPr>
        <w:pStyle w:val="Compact"/>
        <w:numPr>
          <w:ilvl w:val="0"/>
          <w:numId w:val="1001"/>
        </w:numPr>
      </w:pPr>
      <w:hyperlink w:anchor="Xe89bc68d91e8c48fc5c00f368e7d2bdf2d2ca08">
        <w:r>
          <w:rPr>
            <w:rStyle w:val="Hyperlink"/>
          </w:rPr>
          <w:t xml:space="preserve">11. Conclusão</w:t>
        </w:r>
      </w:hyperlink>
    </w:p>
    <w:p>
      <w:pPr>
        <w:pStyle w:val="Compact"/>
        <w:numPr>
          <w:ilvl w:val="1"/>
          <w:numId w:val="1013"/>
        </w:numPr>
      </w:pPr>
      <w:hyperlink w:anchor="Xd997198e508ec5f2b59002c89d4e8a32c37be7f">
        <w:r>
          <w:rPr>
            <w:rStyle w:val="Hyperlink"/>
          </w:rPr>
          <w:t xml:space="preserve">11.1. Viabilidade do projeto</w:t>
        </w:r>
      </w:hyperlink>
    </w:p>
    <w:p>
      <w:pPr>
        <w:pStyle w:val="Compact"/>
        <w:numPr>
          <w:ilvl w:val="1"/>
          <w:numId w:val="1013"/>
        </w:numPr>
      </w:pPr>
      <w:hyperlink w:anchor="X068303ba58cefc53f89e51973227d93b16ae22a">
        <w:r>
          <w:rPr>
            <w:rStyle w:val="Hyperlink"/>
          </w:rPr>
          <w:t xml:space="preserve">11.2. Impacto na estrutura económica e financeira</w:t>
        </w:r>
      </w:hyperlink>
    </w:p>
    <w:p>
      <w:pPr>
        <w:pStyle w:val="Compact"/>
        <w:numPr>
          <w:ilvl w:val="0"/>
          <w:numId w:val="1001"/>
        </w:numPr>
      </w:pPr>
      <w:hyperlink w:anchor="X3ee4d49c8e4be91fe3613cc7cc0363ab082e8f1">
        <w:r>
          <w:rPr>
            <w:rStyle w:val="Hyperlink"/>
          </w:rPr>
          <w:t xml:space="preserve">12. Plano de Contingência</w:t>
        </w:r>
      </w:hyperlink>
    </w:p>
    <w:p>
      <w:pPr>
        <w:pStyle w:val="Compact"/>
        <w:numPr>
          <w:ilvl w:val="1"/>
          <w:numId w:val="1014"/>
        </w:numPr>
      </w:pPr>
      <w:hyperlink w:anchor="procedimentos-de-revisão-do-plano">
        <w:r>
          <w:rPr>
            <w:rStyle w:val="Hyperlink"/>
          </w:rPr>
          <w:t xml:space="preserve">Procedimentos de revisão do plano</w:t>
        </w:r>
      </w:hyperlink>
    </w:p>
    <w:p>
      <w:pPr>
        <w:pStyle w:val="Compact"/>
        <w:numPr>
          <w:ilvl w:val="0"/>
          <w:numId w:val="1001"/>
        </w:numPr>
      </w:pPr>
      <w:hyperlink w:anchor="referências-bibliográficas">
        <w:r>
          <w:rPr>
            <w:rStyle w:val="Hyperlink"/>
          </w:rPr>
          <w:t xml:space="preserve">Referências Bibliográficas</w:t>
        </w:r>
      </w:hyperlink>
    </w:p>
    <w:p>
      <w:pPr>
        <w:pStyle w:val="Compact"/>
        <w:numPr>
          <w:ilvl w:val="0"/>
          <w:numId w:val="1001"/>
        </w:numPr>
      </w:pPr>
      <w:hyperlink w:anchor="anexos">
        <w:r>
          <w:rPr>
            <w:rStyle w:val="Hyperlink"/>
          </w:rPr>
          <w:t xml:space="preserve">Anexos</w:t>
        </w:r>
      </w:hyperlink>
    </w:p>
    <w:p>
      <w:pPr>
        <w:pStyle w:val="Compact"/>
        <w:numPr>
          <w:ilvl w:val="1"/>
          <w:numId w:val="1015"/>
        </w:numPr>
      </w:pPr>
      <w:hyperlink w:anchor="anexo-i-mapas-de-pressupostos-detalhados">
        <w:r>
          <w:rPr>
            <w:rStyle w:val="Hyperlink"/>
          </w:rPr>
          <w:t xml:space="preserve">Anexo I — Mapas de pressupostos detalhados</w:t>
        </w:r>
      </w:hyperlink>
    </w:p>
    <w:p>
      <w:pPr>
        <w:pStyle w:val="Compact"/>
        <w:numPr>
          <w:ilvl w:val="1"/>
          <w:numId w:val="1015"/>
        </w:numPr>
      </w:pPr>
      <w:hyperlink w:anchor="Xcbca41863163341cda2d01b7f5cfa5d923a4dad">
        <w:r>
          <w:rPr>
            <w:rStyle w:val="Hyperlink"/>
          </w:rPr>
          <w:t xml:space="preserve">Anexo II — Orçamentos de vendas e de consumos</w:t>
        </w:r>
      </w:hyperlink>
    </w:p>
    <w:p>
      <w:pPr>
        <w:pStyle w:val="Compact"/>
        <w:numPr>
          <w:ilvl w:val="1"/>
          <w:numId w:val="1015"/>
        </w:numPr>
      </w:pPr>
      <w:hyperlink w:anchor="X8d86f6d38c86a3328ae699b445d19f6ac3ad176">
        <w:r>
          <w:rPr>
            <w:rStyle w:val="Hyperlink"/>
          </w:rPr>
          <w:t xml:space="preserve">Anexo III — Mapa do serviço da dívida (consolidado, 2025–2037)</w:t>
        </w:r>
      </w:hyperlink>
    </w:p>
    <w:p>
      <w:pPr>
        <w:pStyle w:val="Compact"/>
        <w:numPr>
          <w:ilvl w:val="1"/>
          <w:numId w:val="1015"/>
        </w:numPr>
      </w:pPr>
      <w:hyperlink w:anchor="X9f999de684c4b0fb5299c15cab9463d30eca7d8">
        <w:r>
          <w:rPr>
            <w:rStyle w:val="Hyperlink"/>
          </w:rPr>
          <w:t xml:space="preserve">Anexo IV — Mapas financeiros completos (DR, DFC, Balanços)</w:t>
        </w:r>
      </w:hyperlink>
    </w:p>
    <w:p>
      <w:pPr>
        <w:pStyle w:val="Compact"/>
        <w:numPr>
          <w:ilvl w:val="1"/>
          <w:numId w:val="1015"/>
        </w:numPr>
      </w:pPr>
      <w:hyperlink w:anchor="X70e029234a08cca7fd5290f008b00ecf5b75209">
        <w:r>
          <w:rPr>
            <w:rStyle w:val="Hyperlink"/>
          </w:rPr>
          <w:t xml:space="preserve">Anexo V — Propostas e orçamentos de investimento</w:t>
        </w:r>
      </w:hyperlink>
    </w:p>
    <w:bookmarkEnd w:id="9"/>
    <w:bookmarkStart w:id="12" w:name="introdução"/>
    <w:p>
      <w:pPr>
        <w:pStyle w:val="Heading1"/>
      </w:pPr>
      <w:r>
        <w:t xml:space="preserve">Introdução</w:t>
      </w:r>
    </w:p>
    <w:bookmarkStart w:id="10" w:name="contexto-e-motivação"/>
    <w:p>
      <w:pPr>
        <w:pStyle w:val="Heading2"/>
      </w:pPr>
      <w:r>
        <w:t xml:space="preserve">Contexto e motivação</w:t>
      </w:r>
    </w:p>
    <w:p>
      <w:pPr>
        <w:pStyle w:val="FirstParagraph"/>
      </w:pPr>
      <w:r>
        <w:t xml:space="preserve">O presente relatório constitui o Momento 6 (Plano de Negócios) do Projeto Empresarial de Finanças da Licenciatura em Finanças do ISCA — Universidade de Aveiro, tendo por objeto a empresa</w:t>
      </w:r>
      <w:r>
        <w:t xml:space="preserve"> </w:t>
      </w:r>
      <w:r>
        <w:rPr>
          <w:b/>
          <w:bCs/>
        </w:rPr>
        <w:t xml:space="preserve">Grestel — Produtos Cerâmicos, S.A.</w:t>
      </w:r>
      <w:r>
        <w:t xml:space="preserve">, entidade operacional do Grupo COSTA NOVA Indústria e um dos maiores exportadores mundiais de cerâmica utilitária em grés fino. O plano concretiza, em formato de plano de negócios integrado, a ideia inovadora identificada nos momentos académicos anteriores: o</w:t>
      </w:r>
      <w:r>
        <w:t xml:space="preserve"> </w:t>
      </w:r>
      <w:r>
        <w:rPr>
          <w:b/>
          <w:bCs/>
        </w:rPr>
        <w:t xml:space="preserve">Hub Logístico 4.0 — Costa Nova</w:t>
      </w:r>
      <w:r>
        <w:t xml:space="preserve">, uma plataforma logística automatizada a instalar no Lote 29 da Zona Industrial de Vagos.</w:t>
      </w:r>
    </w:p>
    <w:p>
      <w:pPr>
        <w:pStyle w:val="BodyText"/>
      </w:pPr>
      <w:r>
        <w:t xml:space="preserve">A motivação do projeto decorre de um gargalo estratégico documentado no Relatório e Contas de 2024 — a escassez de espaço e a ineficiência do</w:t>
      </w:r>
      <w:r>
        <w:t xml:space="preserve"> </w:t>
      </w:r>
      <w:r>
        <w:rPr>
          <w:i/>
          <w:iCs/>
        </w:rPr>
        <w:t xml:space="preserve">picking</w:t>
      </w:r>
      <w:r>
        <w:t xml:space="preserve">, que limitam a capacidade de resposta ao crescimento do canal digital e da hotelaria premium. O plano avalia, com base no modelo financeiro próprio do grupo de trabalho, a viabilidade económico-financeira de um investimento de €6,0 M (≈ 15% do ativo total líquido de 2024), financiado por duas fontes de capitais alheios, capitais próprios da Grestel, um subsídio PT2030 e um crédito fiscal RFAI.</w:t>
      </w:r>
    </w:p>
    <w:bookmarkEnd w:id="10"/>
    <w:bookmarkStart w:id="11" w:name="estrutura-do-documento"/>
    <w:p>
      <w:pPr>
        <w:pStyle w:val="Heading2"/>
      </w:pPr>
      <w:r>
        <w:t xml:space="preserve">Estrutura do documento</w:t>
      </w:r>
    </w:p>
    <w:p>
      <w:pPr>
        <w:pStyle w:val="FirstParagraph"/>
      </w:pPr>
      <w:r>
        <w:t xml:space="preserve">O relatório organiza-se em doze capítulos. Os capítulos 1 e 2 apresentam a empresa, os seus objetivos e o posicionamento estratégico face à concorrência (matriz de Ansoff). Os capítulos 3 a 6 detalham o plano de ação operacional, o modelo de gestão e controlo, o plano de investimentos e o plano de financiamento. O capítulo 7 consolida os pressupostos e apresenta as projeções económico-financeiras (demonstração de resultados, balanços e rácios) para 2025–2029. Os capítulos 8 e 9 tratam a análise de riscos e a viabilidade do projeto (cash-flows, VAL, TIR, payback, sensibilidade, cenários e simulação de Monte Carlo). O capítulo 10 sintetiza o plano no Business Model Canvas, o capítulo 11 apresenta a conclusão e o capítulo 12 o plano de contingência. Seguem-se as referências bibliográficas e cinco anexos com os mapas detalhados.</w:t>
      </w:r>
    </w:p>
    <w:bookmarkEnd w:id="11"/>
    <w:bookmarkEnd w:id="12"/>
    <w:bookmarkStart w:id="13" w:name="sumário-executivo"/>
    <w:p>
      <w:pPr>
        <w:pStyle w:val="Heading1"/>
      </w:pPr>
      <w:r>
        <w:t xml:space="preserve">Sumário Executivo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Grestel — Produtos Cerâmicos, S.A.</w:t>
      </w:r>
      <w:r>
        <w:t xml:space="preserve">, fundada em 1998 e sediada na Zona Industrial de Vagos (Aveiro), é a empresa operacional do Grupo COSTA NOVA Indústria, um dos maiores exportadores mundiais de cerâmica utilitária em grés fino, com presença em 68 países e os Estados Unidos como principal mercado. Concilia um modelo dual de marcas próprias (COSTA NOVA e Casafina) e</w:t>
      </w:r>
      <w:r>
        <w:t xml:space="preserve"> </w:t>
      </w:r>
      <w:r>
        <w:rPr>
          <w:i/>
          <w:iCs/>
        </w:rPr>
        <w:t xml:space="preserve">private label</w:t>
      </w:r>
      <w:r>
        <w:t xml:space="preserve">, alavancado pela integração com a Ecogrés, unidade fabril com mais de 94% de materiais reciclados na pasta cerâmica.</w:t>
      </w:r>
    </w:p>
    <w:p>
      <w:pPr>
        <w:pStyle w:val="BodyText"/>
      </w:pPr>
      <w:r>
        <w:t xml:space="preserve">O presente plano de negócios concretiza a ideia inovadora dos momentos anteriores: o</w:t>
      </w:r>
      <w:r>
        <w:t xml:space="preserve"> </w:t>
      </w:r>
      <w:r>
        <w:rPr>
          <w:b/>
          <w:bCs/>
        </w:rPr>
        <w:t xml:space="preserve">Hub Logístico 4.0 — Costa Nova</w:t>
      </w:r>
      <w:r>
        <w:t xml:space="preserve">, a reconversão do Lote 29 da ZI de Vagos numa plataforma logística automatizada (VLMs, robôs móveis autónomos e braços robóticos com visão por IA), que consolida a logística da Grestel e da Ecogrés. O projeto responde ao gargalo documentado no R&amp;C 2024 — escassez de espaço e ineficiência do</w:t>
      </w:r>
      <w:r>
        <w:t xml:space="preserve"> </w:t>
      </w:r>
      <w:r>
        <w:rPr>
          <w:i/>
          <w:iCs/>
        </w:rPr>
        <w:t xml:space="preserve">picking</w:t>
      </w:r>
      <w:r>
        <w:t xml:space="preserve"> </w:t>
      </w:r>
      <w:r>
        <w:t xml:space="preserve">— que limita a resposta ao crescimento do</w:t>
      </w:r>
      <w:r>
        <w:t xml:space="preserve"> </w:t>
      </w:r>
      <w:r>
        <w:rPr>
          <w:i/>
          <w:iCs/>
        </w:rPr>
        <w:t xml:space="preserve">e-commerce</w:t>
      </w:r>
      <w:r>
        <w:t xml:space="preserve"> </w:t>
      </w:r>
      <w:r>
        <w:t xml:space="preserve">e da hotelaria premium. Na matriz de Ansoff, o Hub é uma estratégia de</w:t>
      </w:r>
      <w:r>
        <w:t xml:space="preserve"> </w:t>
      </w:r>
      <w:r>
        <w:rPr>
          <w:b/>
          <w:bCs/>
        </w:rPr>
        <w:t xml:space="preserve">penetração de mercado</w:t>
      </w:r>
      <w:r>
        <w:t xml:space="preserve">, complementada por</w:t>
      </w:r>
      <w:r>
        <w:t xml:space="preserve"> </w:t>
      </w:r>
      <w:r>
        <w:rPr>
          <w:b/>
          <w:bCs/>
        </w:rPr>
        <w:t xml:space="preserve">desenvolvimento de mercado</w:t>
      </w:r>
      <w:r>
        <w:t xml:space="preserve">.</w:t>
      </w:r>
    </w:p>
    <w:p>
      <w:pPr>
        <w:pStyle w:val="BodyText"/>
      </w:pPr>
      <w:r>
        <w:t xml:space="preserve">O investimento é de</w:t>
      </w:r>
      <w:r>
        <w:t xml:space="preserve"> </w:t>
      </w:r>
      <w:r>
        <w:rPr>
          <w:b/>
          <w:bCs/>
        </w:rPr>
        <w:t xml:space="preserve">€6,0 M</w:t>
      </w:r>
      <w:r>
        <w:t xml:space="preserve"> </w:t>
      </w:r>
      <w:r>
        <w:t xml:space="preserve">(≈15% do ativo total líquido de 2024, dentro do intervalo regulamentar de 15%–30%), repartido por 2025–2026. É financiado por</w:t>
      </w:r>
      <w:r>
        <w:t xml:space="preserve"> </w:t>
      </w:r>
      <w:r>
        <w:rPr>
          <w:b/>
          <w:bCs/>
        </w:rPr>
        <w:t xml:space="preserve">duas fontes de capitais alheios</w:t>
      </w:r>
      <w:r>
        <w:t xml:space="preserve"> </w:t>
      </w:r>
      <w:r>
        <w:t xml:space="preserve">— uma tranche bancária CGD de €3,0 M (4,15%) e uma linha BEI/PME de €1,5 M (3,75%) — e por €1,5 M de capitais próprios da Grestel, beneficiando ainda de um</w:t>
      </w:r>
      <w:r>
        <w:t xml:space="preserve"> </w:t>
      </w:r>
      <w:r>
        <w:rPr>
          <w:b/>
          <w:bCs/>
        </w:rPr>
        <w:t xml:space="preserve">subsídio PT2030</w:t>
      </w:r>
      <w:r>
        <w:t xml:space="preserve"> </w:t>
      </w:r>
      <w:r>
        <w:t xml:space="preserve">de €2,7 M (não reembolsável, NCRF 22) e de um</w:t>
      </w:r>
      <w:r>
        <w:t xml:space="preserve"> </w:t>
      </w:r>
      <w:r>
        <w:rPr>
          <w:b/>
          <w:bCs/>
        </w:rPr>
        <w:t xml:space="preserve">crédito fiscal RFAI</w:t>
      </w:r>
      <w:r>
        <w:t xml:space="preserve"> </w:t>
      </w:r>
      <w:r>
        <w:t xml:space="preserve">de €0,6 M.</w:t>
      </w:r>
    </w:p>
    <w:p>
      <w:pPr>
        <w:pStyle w:val="BodyText"/>
      </w:pPr>
      <w:r>
        <w:t xml:space="preserve">A avaliação económico-financeira confirma a</w:t>
      </w:r>
      <w:r>
        <w:t xml:space="preserve"> </w:t>
      </w:r>
      <w:r>
        <w:rPr>
          <w:b/>
          <w:bCs/>
        </w:rPr>
        <w:t xml:space="preserve">viabilidade do projeto</w:t>
      </w:r>
      <w:r>
        <w:t xml:space="preserve">: descontados ao WACC de</w:t>
      </w:r>
      <w:r>
        <w:t xml:space="preserve"> </w:t>
      </w:r>
      <w:r>
        <w:rPr>
          <w:b/>
          <w:bCs/>
        </w:rPr>
        <w:t xml:space="preserve">6,46%</w:t>
      </w:r>
      <w:r>
        <w:t xml:space="preserve">, os</w:t>
      </w:r>
      <w:r>
        <w:t xml:space="preserve"> </w:t>
      </w:r>
      <w:r>
        <w:rPr>
          <w:i/>
          <w:iCs/>
        </w:rPr>
        <w:t xml:space="preserve">cash-flows</w:t>
      </w:r>
      <w:r>
        <w:t xml:space="preserve"> </w:t>
      </w:r>
      <w:r>
        <w:t xml:space="preserve">incrementais geram um</w:t>
      </w:r>
      <w:r>
        <w:t xml:space="preserve"> </w:t>
      </w:r>
      <w:r>
        <w:rPr>
          <w:b/>
          <w:bCs/>
        </w:rPr>
        <w:t xml:space="preserve">VAL de €2,49 M</w:t>
      </w:r>
      <w:r>
        <w:t xml:space="preserve"> </w:t>
      </w:r>
      <w:r>
        <w:t xml:space="preserve">e uma</w:t>
      </w:r>
      <w:r>
        <w:t xml:space="preserve"> </w:t>
      </w:r>
      <w:r>
        <w:rPr>
          <w:b/>
          <w:bCs/>
        </w:rPr>
        <w:t xml:space="preserve">TIR de 17,49%</w:t>
      </w:r>
      <w:r>
        <w:t xml:space="preserve"> </w:t>
      </w:r>
      <w:r>
        <w:t xml:space="preserve">(folga de ~11 p.p. sobre o custo do capital), com índice de rendibilidade de</w:t>
      </w:r>
      <w:r>
        <w:t xml:space="preserve"> </w:t>
      </w:r>
      <w:r>
        <w:rPr>
          <w:b/>
          <w:bCs/>
        </w:rPr>
        <w:t xml:space="preserve">1,42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payback</w:t>
      </w:r>
      <w:r>
        <w:t xml:space="preserve"> </w:t>
      </w:r>
      <w:r>
        <w:t xml:space="preserve">atualizado de</w:t>
      </w:r>
      <w:r>
        <w:t xml:space="preserve"> </w:t>
      </w:r>
      <w:r>
        <w:rPr>
          <w:b/>
          <w:bCs/>
        </w:rPr>
        <w:t xml:space="preserve">7,37 anos</w:t>
      </w:r>
      <w:r>
        <w:t xml:space="preserve">, dentro do horizonte de 10 anos. A avaliação por APV corrobora a conclusão (</w:t>
      </w:r>
      <w:r>
        <w:rPr>
          <w:b/>
          <w:bCs/>
        </w:rPr>
        <w:t xml:space="preserve">VALA de €3,72 M</w:t>
      </w:r>
      <w:r>
        <w:t xml:space="preserve">) e evidencia que</w:t>
      </w:r>
      <w:r>
        <w:t xml:space="preserve"> </w:t>
      </w:r>
      <w:r>
        <w:rPr>
          <w:b/>
          <w:bCs/>
        </w:rPr>
        <w:t xml:space="preserve">o projeto cria valor só pelas operações (€1,21 M ao Ku), antes de qualquer apoio fiscal</w:t>
      </w:r>
      <w:r>
        <w:t xml:space="preserve">, sendo o subsídio PT2030 o principal criador de valor adicional. A análise de sensibilidade mantém o VAL positivo em todas as variáveis (a mais crítica é o CAPEX), e a simulação de Monte Carlo (N = 2.000) estima uma</w:t>
      </w:r>
      <w:r>
        <w:t xml:space="preserve"> </w:t>
      </w:r>
      <w:r>
        <w:rPr>
          <w:b/>
          <w:bCs/>
        </w:rPr>
        <w:t xml:space="preserve">probabilidade de VAL &gt; 0 de 99,95%</w:t>
      </w:r>
      <w:r>
        <w:t xml:space="preserve">.</w:t>
      </w:r>
    </w:p>
    <w:p>
      <w:pPr>
        <w:pStyle w:val="BodyText"/>
      </w:pPr>
      <w:r>
        <w:t xml:space="preserve">No plano estrutural, o Hub reforça a empresa: a margem EBITDA sobe de ~14% para</w:t>
      </w:r>
      <w:r>
        <w:t xml:space="preserve"> </w:t>
      </w:r>
      <w:r>
        <w:rPr>
          <w:b/>
          <w:bCs/>
        </w:rPr>
        <w:t xml:space="preserve">18,8%</w:t>
      </w:r>
      <w:r>
        <w:t xml:space="preserve"> </w:t>
      </w:r>
      <w:r>
        <w:t xml:space="preserve">em regime de cruzeiro (+€2,8 M de EBITDA em 2029), a autonomia financeira evolui de 30,3% para</w:t>
      </w:r>
      <w:r>
        <w:t xml:space="preserve"> </w:t>
      </w:r>
      <w:r>
        <w:rPr>
          <w:b/>
          <w:bCs/>
        </w:rPr>
        <w:t xml:space="preserve">57,7%</w:t>
      </w:r>
      <w:r>
        <w:t xml:space="preserve">, o rácio Dívida Líquida/EBITDA desalavanca de 4,1× para 0,5× e o ROIC (~16%) supera largamente o WACC. O plano sintetiza-se no Business Model Canvas e encerra com um plano de contingência para os riscos críticos, com destaque para a exposição tarifária ao mercado norte-americano — risco que a diversificação geográfica viabilizada pelo Hub contribui para mitigar.</w:t>
      </w:r>
    </w:p>
    <w:bookmarkEnd w:id="13"/>
    <w:bookmarkStart w:id="17" w:name="objetivos-da-empresa-e-ideia-inovadora"/>
    <w:p>
      <w:pPr>
        <w:pStyle w:val="Heading1"/>
      </w:pPr>
      <w:r>
        <w:t xml:space="preserve">1. Objetivos da Empresa e Ideia Inovadora</w:t>
      </w:r>
    </w:p>
    <w:p>
      <w:pPr>
        <w:pStyle w:val="FirstParagraph"/>
      </w:pPr>
      <w:r>
        <w:t xml:space="preserve">Este capítulo apresenta a Grestel — Produtos Cerâmicos, S.A., enquadra os seus objetivos estratégicos para o horizonte de projeção e descreve a ideia inovadora que constitui o núcleo do presente plano de negócios.</w:t>
      </w:r>
    </w:p>
    <w:p>
      <w:r>
        <w:pict>
          <v:rect style="width:0;height:1.5pt" o:hralign="center" o:hrstd="t" o:hr="t"/>
        </w:pict>
      </w:r>
    </w:p>
    <w:bookmarkStart w:id="14" w:name="apresentação-da-empresa"/>
    <w:p>
      <w:pPr>
        <w:pStyle w:val="Heading2"/>
      </w:pPr>
      <w:r>
        <w:t xml:space="preserve">1.1. Apresentação da empresa</w:t>
      </w:r>
    </w:p>
    <w:p>
      <w:pPr>
        <w:pStyle w:val="FirstParagraph"/>
      </w:pPr>
      <w:r>
        <w:t xml:space="preserve">A Grestel — Produtos Cerâmicos, S.A. foi fundada em 1998 e tem sede na Zona Industrial de Vagos, distrito de Aveiro. Dedica-se à produção e distribuição de artigos de mesa, forno e acessórios de servir em grés fino, combinando</w:t>
      </w:r>
      <w:r>
        <w:t xml:space="preserve"> </w:t>
      </w:r>
      <w:r>
        <w:rPr>
          <w:i/>
          <w:iCs/>
        </w:rPr>
        <w:t xml:space="preserve">know-how</w:t>
      </w:r>
      <w:r>
        <w:t xml:space="preserve"> </w:t>
      </w:r>
      <w:r>
        <w:t xml:space="preserve">cerâmico com design exclusivo e tecnologias avançadas de fabricação. Opera sob o CAE 23413 (fabricação de outros artigos cerâmicos para uso doméstico e ornamental) e é a entidade operacional do Grupo COSTA NOVA Indústria, que integra ainda a Ecogrés — Cerâmica Ecológica, Lda., a COSTA NOVA USA, Inc., a Imogrés — Gestão de Imóveis, Lda., e a Grestel COSTA NOVA SL (Espanha, constituída em março de 2025).</w:t>
      </w:r>
    </w:p>
    <w:p>
      <w:pPr>
        <w:pStyle w:val="BodyText"/>
      </w:pPr>
      <w:r>
        <w:t xml:space="preserve">O modelo de negócio assenta em dois eixos complementares: as marcas próprias COSTA NOVA e Casafina (integrada em 2024 sob o conceito «Casafina by Costa Nova»), com presença em mais de 164 mercados, e a produção de</w:t>
      </w:r>
      <w:r>
        <w:t xml:space="preserve"> </w:t>
      </w:r>
      <w:r>
        <w:rPr>
          <w:i/>
          <w:iCs/>
        </w:rPr>
        <w:t xml:space="preserve">private label</w:t>
      </w:r>
      <w:r>
        <w:t xml:space="preserve"> </w:t>
      </w:r>
      <w:r>
        <w:t xml:space="preserve">para marcas de terceiros, com forte concentração no mercado norte-americano. Os Estados Unidos da América constituem o principal mercado do Grupo, com faturação predominantemente em USD, o que confere relevância acrescida à gestão do risco cambial. A empresa exporta para 68 países e participa regularmente em feiras internacionais de referência (Ambiente Frankfurt, Maison &amp; Objet Paris, FHA Singapura, NY Tabletop Show, entre outras).</w:t>
      </w:r>
    </w:p>
    <w:p>
      <w:pPr>
        <w:pStyle w:val="BodyText"/>
      </w:pPr>
      <w:r>
        <w:t xml:space="preserve">A estrutura acionista é maioritariamente detida pela Costa Nova — Indústria Cerâmica, S.A., contando ainda com a participação da C2 Capital Partners – SCR, S.A., sociedade de capital de risco registada na CMVM, o que reforça a disciplina de</w:t>
      </w:r>
      <w:r>
        <w:t xml:space="preserve"> </w:t>
      </w:r>
      <w:r>
        <w:rPr>
          <w:i/>
          <w:iCs/>
        </w:rPr>
        <w:t xml:space="preserve">governance</w:t>
      </w:r>
      <w:r>
        <w:t xml:space="preserve">. A gestão executiva é assegurada pelo CEO Eng. Miguel Casal, pelo COO Jorge Ferreira (MBA INSEAD) e pela CFO Helena Ferreira. Em 31/12/2024, a empresa apresentava um ativo total líquido de €40,26 M, capitais próprios de €12,20 M e um volume de negócios de €37,88 M, com 734 colaboradores.</w:t>
      </w:r>
    </w:p>
    <w:p>
      <w:pPr>
        <w:pStyle w:val="BodyText"/>
      </w:pPr>
      <w:r>
        <w:t xml:space="preserve">O ano histórico de referência para o presente plano de negócios é o exercício de</w:t>
      </w:r>
      <w:r>
        <w:t xml:space="preserve"> </w:t>
      </w:r>
      <w:r>
        <w:rPr>
          <w:b/>
          <w:bCs/>
        </w:rPr>
        <w:t xml:space="preserve">2024</w:t>
      </w:r>
      <w:r>
        <w:t xml:space="preserve">, conforme definido na ficha de lançamento do Momento 6.</w:t>
      </w:r>
    </w:p>
    <w:p>
      <w:r>
        <w:pict>
          <v:rect style="width:0;height:1.5pt" o:hralign="center" o:hrstd="t" o:hr="t"/>
        </w:pict>
      </w:r>
    </w:p>
    <w:bookmarkEnd w:id="14"/>
    <w:bookmarkStart w:id="15" w:name="objetivos-para-os-próximos-anos"/>
    <w:p>
      <w:pPr>
        <w:pStyle w:val="Heading2"/>
      </w:pPr>
      <w:r>
        <w:t xml:space="preserve">1.2. Objetivos para os próximos anos</w:t>
      </w:r>
    </w:p>
    <w:p>
      <w:pPr>
        <w:pStyle w:val="FirstParagraph"/>
      </w:pPr>
      <w:r>
        <w:t xml:space="preserve">A estratégia da Grestel para o horizonte 2025–2029 assenta em quatro eixos complementares, decorrentes do diagnóstico do Momento 1 e da análise de desempenho de 2024. Os objetivos são formulados em termos SMART e quantificados nas projeções do capítulo 7.</w:t>
      </w:r>
    </w:p>
    <w:p>
      <w:pPr>
        <w:pStyle w:val="BodyText"/>
      </w:pPr>
      <w:r>
        <w:rPr>
          <w:b/>
          <w:bCs/>
        </w:rPr>
        <w:t xml:space="preserve">Eixo 1 — Aceleração do crescimento em canais de alto valor acrescentado.</w:t>
      </w:r>
      <w:r>
        <w:t xml:space="preserve"> </w:t>
      </w:r>
      <w:r>
        <w:t xml:space="preserve">O canal digital cresceu mais de 40% em 2024, com duplicação dos utilizadores do</w:t>
      </w:r>
      <w:r>
        <w:t xml:space="preserve"> </w:t>
      </w:r>
      <w:r>
        <w:rPr>
          <w:i/>
          <w:iCs/>
        </w:rPr>
        <w:t xml:space="preserve">website</w:t>
      </w:r>
      <w:r>
        <w:t xml:space="preserve">, e a hotelaria premium tem demonstrado resiliência. O objetivo é reforçar a quota nestes segmentos, sustentando um crescimento do volume de negócios de +4% ao ano em regime base, elevável a +5% com o efeito do Hub.</w:t>
      </w:r>
    </w:p>
    <w:p>
      <w:pPr>
        <w:pStyle w:val="BodyText"/>
      </w:pPr>
      <w:r>
        <w:rPr>
          <w:b/>
          <w:bCs/>
        </w:rPr>
        <w:t xml:space="preserve">Eixo 2 — Diversificação e reequilíbrio geográfico.</w:t>
      </w:r>
      <w:r>
        <w:t xml:space="preserve"> </w:t>
      </w:r>
      <w:r>
        <w:t xml:space="preserve">A concentração no mercado norte-americano, assinalada como risco material pela administração num contexto de potencial agravamento tarifário, determina o objetivo de reforçar a presença europeia — com foco em Espanha (Grestel COSTA NOVA SL) — e em mercados asiáticos emergentes, elevando o peso do mercado interno de ~17% para ~20% em 2029.</w:t>
      </w:r>
    </w:p>
    <w:p>
      <w:pPr>
        <w:pStyle w:val="BodyText"/>
      </w:pPr>
      <w:r>
        <w:rPr>
          <w:b/>
          <w:bCs/>
        </w:rPr>
        <w:t xml:space="preserve">Eixo 3 — Modernização da infraestrutura logística e operacional.</w:t>
      </w:r>
      <w:r>
        <w:t xml:space="preserve"> </w:t>
      </w:r>
      <w:r>
        <w:t xml:space="preserve">O R&amp;C 2024 identifica a logística como «área crítica para a expansão a novos mercados». A resposta estrutural é o projeto Hub Logístico 4.0 (secção 1.3), que visa reduzir o tempo de expedição em ~30% e as quebras em ~2 p.p.</w:t>
      </w:r>
    </w:p>
    <w:p>
      <w:pPr>
        <w:pStyle w:val="BodyText"/>
      </w:pPr>
      <w:r>
        <w:rPr>
          <w:b/>
          <w:bCs/>
        </w:rPr>
        <w:t xml:space="preserve">Eixo 4 — Aprofundamento da agenda de sustentabilidade.</w:t>
      </w:r>
      <w:r>
        <w:t xml:space="preserve"> </w:t>
      </w:r>
      <w:r>
        <w:t xml:space="preserve">Com o estatuto INOVADORA COTEC pelo terceiro ano consecutivo e a certificação ISO 14001:2015, o objetivo é avançar para a certificação B Corp e para a industrialização da mistura gás natural/hidrogénio na cozedura, tecnologia já demonstrada à escala industrial em outubro de 2024 em parceria com a Fusion-Fuel, o HyLab e a Induzir.</w:t>
      </w:r>
    </w:p>
    <w:p>
      <w:r>
        <w:pict>
          <v:rect style="width:0;height:1.5pt" o:hralign="center" o:hrstd="t" o:hr="t"/>
        </w:pict>
      </w:r>
    </w:p>
    <w:bookmarkEnd w:id="15"/>
    <w:bookmarkStart w:id="16" w:name="ideia-inovadora"/>
    <w:p>
      <w:pPr>
        <w:pStyle w:val="Heading2"/>
      </w:pPr>
      <w:r>
        <w:t xml:space="preserve">1.3. Ideia inovadora</w:t>
      </w:r>
    </w:p>
    <w:p>
      <w:pPr>
        <w:pStyle w:val="FirstParagraph"/>
      </w:pPr>
      <w:r>
        <w:t xml:space="preserve">A ideia inovadora que suporta o presente plano é o</w:t>
      </w:r>
      <w:r>
        <w:t xml:space="preserve"> </w:t>
      </w:r>
      <w:r>
        <w:rPr>
          <w:b/>
          <w:bCs/>
        </w:rPr>
        <w:t xml:space="preserve">Hub Logístico 4.0 — Costa Nova</w:t>
      </w:r>
      <w:r>
        <w:t xml:space="preserve">, um projeto de transformação da infraestrutura logística do Grupo através da automação inteligente e da centralização das operações.</w:t>
      </w:r>
    </w:p>
    <w:p>
      <w:pPr>
        <w:pStyle w:val="BodyText"/>
      </w:pPr>
      <w:r>
        <w:t xml:space="preserve">O projeto consiste na reconversão do Lote 29 da Zona Industrial de Vagos — atualmente com utilização fabril residual após a entrada em pleno da Ecogrés em 2023 — numa plataforma logística de nova geração. A solução técnica combina três componentes de automação: (i)</w:t>
      </w:r>
      <w:r>
        <w:t xml:space="preserve"> </w:t>
      </w:r>
      <w:r>
        <w:rPr>
          <w:i/>
          <w:iCs/>
        </w:rPr>
        <w:t xml:space="preserve">Vertical Lift Modules</w:t>
      </w:r>
      <w:r>
        <w:t xml:space="preserve"> </w:t>
      </w:r>
      <w:r>
        <w:t xml:space="preserve">(VLMs), que maximizam a densidade de armazenamento num espaço reduzido; (ii) robôs móveis autónomos (AMRs), que asseguram o transporte interno e a alimentação dos postos de</w:t>
      </w:r>
      <w:r>
        <w:t xml:space="preserve"> </w:t>
      </w:r>
      <w:r>
        <w:rPr>
          <w:i/>
          <w:iCs/>
        </w:rPr>
        <w:t xml:space="preserve">picking</w:t>
      </w:r>
      <w:r>
        <w:t xml:space="preserve"> </w:t>
      </w:r>
      <w:r>
        <w:t xml:space="preserve">sem infraestrutura física fixa; e (iii) braços robóticos com visão assistida por inteligência artificial, responsáveis por tarefas de separação, conferência e embalagem com elevada precisão e cadência.</w:t>
      </w:r>
    </w:p>
    <w:p>
      <w:pPr>
        <w:pStyle w:val="BodyText"/>
      </w:pPr>
      <w:r>
        <w:t xml:space="preserve">O fator inovador reside na aplicação destas tecnologias a um modelo de negócio cerâmico com elevada variabilidade de SKUs, sazonalidade pronunciada e exigências crescentes de prazo de entrega —</w:t>
      </w:r>
      <w:r>
        <w:t xml:space="preserve"> </w:t>
      </w:r>
      <w:r>
        <w:rPr>
          <w:i/>
          <w:iCs/>
        </w:rPr>
        <w:t xml:space="preserve">fulfillment</w:t>
      </w:r>
      <w:r>
        <w:t xml:space="preserve"> </w:t>
      </w:r>
      <w:r>
        <w:t xml:space="preserve">de 24 a 48 horas para os canais DTC e</w:t>
      </w:r>
      <w:r>
        <w:t xml:space="preserve"> </w:t>
      </w:r>
      <w:r>
        <w:rPr>
          <w:i/>
          <w:iCs/>
        </w:rPr>
        <w:t xml:space="preserve">e-commerce</w:t>
      </w:r>
      <w:r>
        <w:t xml:space="preserve">. A solução integra sob uma única infraestrutura a logística da Grestel e da Ecogrés, eliminando duplicações e melhorando a rastreabilidade do produto acabado.</w:t>
      </w:r>
    </w:p>
    <w:p>
      <w:pPr>
        <w:pStyle w:val="BodyText"/>
      </w:pPr>
      <w:r>
        <w:t xml:space="preserve">O contributo inovador é triplo:</w:t>
      </w:r>
      <w:r>
        <w:t xml:space="preserve"> </w:t>
      </w:r>
      <w:r>
        <w:rPr>
          <w:b/>
          <w:bCs/>
        </w:rPr>
        <w:t xml:space="preserve">operacional</w:t>
      </w:r>
      <w:r>
        <w:t xml:space="preserve">, pela redução do tempo de processamento de encomendas e da taxa de erro no</w:t>
      </w:r>
      <w:r>
        <w:t xml:space="preserve"> </w:t>
      </w:r>
      <w:r>
        <w:rPr>
          <w:i/>
          <w:iCs/>
        </w:rPr>
        <w:t xml:space="preserve">picking</w:t>
      </w:r>
      <w:r>
        <w:t xml:space="preserve">;</w:t>
      </w:r>
      <w:r>
        <w:t xml:space="preserve"> </w:t>
      </w:r>
      <w:r>
        <w:rPr>
          <w:b/>
          <w:bCs/>
        </w:rPr>
        <w:t xml:space="preserve">comercial</w:t>
      </w:r>
      <w:r>
        <w:t xml:space="preserve">, pela capacidade de servir canais e segmentos com requisitos de prazo incompatíveis com a logística atual; e</w:t>
      </w:r>
      <w:r>
        <w:t xml:space="preserve"> </w:t>
      </w:r>
      <w:r>
        <w:rPr>
          <w:b/>
          <w:bCs/>
        </w:rPr>
        <w:t xml:space="preserve">financeiro</w:t>
      </w:r>
      <w:r>
        <w:t xml:space="preserve">, pela libertação de capital imobilizado em inventário e pela reafetação do pessoal logístico não especializado a funções de maior valor acrescentado. O projeto está alinhado com a estratégia de Indústria 4.0 declarada no R&amp;C 2024 e com os ODS 8, 9 e 12.</w:t>
      </w:r>
    </w:p>
    <w:bookmarkEnd w:id="16"/>
    <w:bookmarkEnd w:id="17"/>
    <w:bookmarkStart w:id="21" w:name="X8de97a79cd07fba3e7a00b84f855832cee8ec67"/>
    <w:p>
      <w:pPr>
        <w:pStyle w:val="Heading1"/>
      </w:pPr>
      <w:r>
        <w:t xml:space="preserve">2. Posicionamento Estratégico face à Concorrência</w:t>
      </w:r>
    </w:p>
    <w:p>
      <w:pPr>
        <w:pStyle w:val="FirstParagraph"/>
      </w:pPr>
      <w:r>
        <w:t xml:space="preserve">Este capítulo define o posicionamento competitivo da Grestel, caracteriza o panorama concorrencial do setor de cerâmica utilitária em grés fino e enquadra a estratégia de desenvolvimento do Hub Logístico 4.0 na metodologia da matriz de Ansoff.</w:t>
      </w:r>
    </w:p>
    <w:p>
      <w:r>
        <w:pict>
          <v:rect style="width:0;height:1.5pt" o:hralign="center" o:hrstd="t" o:hr="t"/>
        </w:pict>
      </w:r>
    </w:p>
    <w:bookmarkStart w:id="18" w:name="análise-da-concorrência"/>
    <w:p>
      <w:pPr>
        <w:pStyle w:val="Heading2"/>
      </w:pPr>
      <w:r>
        <w:t xml:space="preserve">2.1. Análise da concorrência</w:t>
      </w:r>
    </w:p>
    <w:p>
      <w:pPr>
        <w:pStyle w:val="FirstParagraph"/>
      </w:pPr>
      <w:r>
        <w:t xml:space="preserve">O mercado de cerâmica utilitária e decorativa em grés fino é dominado por um pequeno número de produtores europeus e asiáticos, com modelos de negócio diferenciados. Os concorrentes diretos da Grestel no segmento de</w:t>
      </w:r>
      <w:r>
        <w:t xml:space="preserve"> </w:t>
      </w:r>
      <w:r>
        <w:rPr>
          <w:i/>
          <w:iCs/>
        </w:rPr>
        <w:t xml:space="preserve">tableware</w:t>
      </w:r>
      <w:r>
        <w:t xml:space="preserve"> </w:t>
      </w:r>
      <w:r>
        <w:t xml:space="preserve">premium em grés podem ser agrupados em três categorias.</w:t>
      </w:r>
    </w:p>
    <w:p>
      <w:pPr>
        <w:pStyle w:val="BodyText"/>
      </w:pPr>
      <w:r>
        <w:rPr>
          <w:b/>
          <w:bCs/>
        </w:rPr>
        <w:t xml:space="preserve">Produtores europeus especializados em design e marca:</w:t>
      </w:r>
      <w:r>
        <w:t xml:space="preserve"> </w:t>
      </w:r>
      <w:r>
        <w:t xml:space="preserve">empresas como a Villeroy &amp; Boch (Luxemburgo/Alemanha), a Kahla (Alemanha) e a Iittala (Finlândia/grupo Fiskars) operam no segmento premium com forte identidade de marca e distribuição multicanal. O seu posicionamento é próximo ao da COSTA NOVA em preço e apelo estético, embora com menor foco em grés e maior presença na porcelana. A Grestel diferencia-se pelo caráter artesanal e pela narrativa de sustentabilidade verificável associada à Ecogrés.</w:t>
      </w:r>
    </w:p>
    <w:p>
      <w:pPr>
        <w:pStyle w:val="BodyText"/>
      </w:pPr>
      <w:r>
        <w:rPr>
          <w:b/>
          <w:bCs/>
        </w:rPr>
        <w:t xml:space="preserve">Produtores ibéricos e mediterrânicos:</w:t>
      </w:r>
      <w:r>
        <w:t xml:space="preserve"> </w:t>
      </w:r>
      <w:r>
        <w:t xml:space="preserve">empresas portuguesas e espanholas (como a Vista Alegre, no segmento de porcelana premium) e produtores marroquinos e tunisinos de cerâmica artesanal de menor escala. A Grestel ocupa um espaço diferenciado por combinar escala industrial com acabamento artesanal e sustentabilidade certificada.</w:t>
      </w:r>
    </w:p>
    <w:p>
      <w:pPr>
        <w:pStyle w:val="BodyText"/>
      </w:pPr>
      <w:r>
        <w:rPr>
          <w:b/>
          <w:bCs/>
        </w:rPr>
        <w:t xml:space="preserve">Produtores asiáticos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private label</w:t>
      </w:r>
      <w:r>
        <w:rPr>
          <w:b/>
          <w:bCs/>
        </w:rPr>
        <w:t xml:space="preserve">:</w:t>
      </w:r>
      <w:r>
        <w:t xml:space="preserve"> </w:t>
      </w:r>
      <w:r>
        <w:t xml:space="preserve">fabricantes chineses, vietnamitas e tailandeses com elevada capacidade produtiva e custos unitários baixos, que competem diretamente no segmento de</w:t>
      </w:r>
      <w:r>
        <w:t xml:space="preserve"> </w:t>
      </w:r>
      <w:r>
        <w:rPr>
          <w:i/>
          <w:iCs/>
        </w:rPr>
        <w:t xml:space="preserve">private label</w:t>
      </w:r>
      <w:r>
        <w:t xml:space="preserve">, área em que a Grestel compete pelo fator qualidade-prazo-personalização e não pelo preço. A diversificação de clientes e o desenvolvimento de novos produtos em I&amp;D são a resposta estrutural a esta pressão.</w:t>
      </w:r>
    </w:p>
    <w:p>
      <w:pPr>
        <w:pStyle w:val="BodyText"/>
      </w:pPr>
      <w:r>
        <w:t xml:space="preserve">Os fatores críticos de sucesso no setor são: capacidade de inovação em design e produto, velocidade de resposta (</w:t>
      </w:r>
      <w:r>
        <w:rPr>
          <w:i/>
          <w:iCs/>
        </w:rPr>
        <w:t xml:space="preserve">time-to-market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fulfillment</w:t>
      </w:r>
      <w:r>
        <w:t xml:space="preserve">), sustentabilidade verificável, presença em canais digitais e de hotelaria, e fiabilidade da cadeia de fornecimento. A Grestel posiciona-se favoravelmente em todos estes eixos, com destaque para a sustentabilidade (ISO 14001, Ecogrés, projeto H₂) e para a inovação (estatuto INOVADORA COTEC pelo terceiro ano consecutivo).</w:t>
      </w:r>
    </w:p>
    <w:p>
      <w:r>
        <w:pict>
          <v:rect style="width:0;height:1.5pt" o:hralign="center" o:hrstd="t" o:hr="t"/>
        </w:pict>
      </w:r>
    </w:p>
    <w:bookmarkEnd w:id="18"/>
    <w:bookmarkStart w:id="19" w:name="X0a84b6adb577fb5dd5e31eeb3d8af38387beaeb"/>
    <w:p>
      <w:pPr>
        <w:pStyle w:val="Heading2"/>
      </w:pPr>
      <w:r>
        <w:t xml:space="preserve">2.2. Vantagens competitivas e proposta de valor</w:t>
      </w:r>
    </w:p>
    <w:p>
      <w:pPr>
        <w:pStyle w:val="FirstParagraph"/>
      </w:pPr>
      <w:r>
        <w:t xml:space="preserve">O posicionamento competitivo da Grestel assenta em cinco vantagens estruturais que se reforçam mutuamente.</w:t>
      </w:r>
    </w:p>
    <w:p>
      <w:pPr>
        <w:pStyle w:val="BodyText"/>
      </w:pPr>
      <w:r>
        <w:rPr>
          <w:b/>
          <w:bCs/>
        </w:rPr>
        <w:t xml:space="preserve">1. Ecossistema de circularidade industrial.</w:t>
      </w:r>
      <w:r>
        <w:t xml:space="preserve"> </w:t>
      </w:r>
      <w:r>
        <w:t xml:space="preserve">A integração vertical com a Ecogrés confere ao Grupo uma vantagem de custo de matéria-prima e uma narrativa ESG verificável — a pasta cerâmica com mais de 94% de materiais reciclados é um ativo de diferenciação em mercados com crescentes exigências regulatórias (CSRD) e junto de clientes B2B com políticas de</w:t>
      </w:r>
      <w:r>
        <w:t xml:space="preserve"> </w:t>
      </w:r>
      <w:r>
        <w:rPr>
          <w:i/>
          <w:iCs/>
        </w:rPr>
        <w:t xml:space="preserve">procurement</w:t>
      </w:r>
      <w:r>
        <w:t xml:space="preserve"> </w:t>
      </w:r>
      <w:r>
        <w:t xml:space="preserve">sustentável, dificilmente replicável no curto prazo.</w:t>
      </w:r>
    </w:p>
    <w:p>
      <w:pPr>
        <w:pStyle w:val="BodyText"/>
      </w:pPr>
      <w:r>
        <w:rPr>
          <w:b/>
          <w:bCs/>
        </w:rPr>
        <w:t xml:space="preserve">2. Marca premium com escala industrial.</w:t>
      </w:r>
      <w:r>
        <w:t xml:space="preserve"> </w:t>
      </w:r>
      <w:r>
        <w:t xml:space="preserve">A COSTA NOVA tem reconhecimento global, presença em lojas de referência mundial e canal DTC próprio em crescimento acelerado. A capacidade de produzir a preços competitivos com acabamento artesanal num único</w:t>
      </w:r>
      <w:r>
        <w:t xml:space="preserve"> </w:t>
      </w:r>
      <w:r>
        <w:rPr>
          <w:i/>
          <w:iCs/>
        </w:rPr>
        <w:t xml:space="preserve">cluster</w:t>
      </w:r>
      <w:r>
        <w:t xml:space="preserve"> </w:t>
      </w:r>
      <w:r>
        <w:t xml:space="preserve">geográfico (ZI Vagos) é um ativo operacional difícil de replicar.</w:t>
      </w:r>
    </w:p>
    <w:p>
      <w:pPr>
        <w:pStyle w:val="BodyText"/>
      </w:pPr>
      <w:r>
        <w:rPr>
          <w:b/>
          <w:bCs/>
        </w:rPr>
        <w:t xml:space="preserve">3. Capacidade de inovação técnica e de produto.</w:t>
      </w:r>
      <w:r>
        <w:t xml:space="preserve"> </w:t>
      </w:r>
      <w:r>
        <w:t xml:space="preserve">As parcerias com a Universidade de Aveiro, a Fusion-Fuel e o HyLab, os projetos de I&amp;D em curso (tecnologia laser, novos vidrados, hidrogénio na cozedura) e o estatuto INOVADORA COTEC posicionam a empresa como referência de inovação no setor cerâmico europeu.</w:t>
      </w:r>
    </w:p>
    <w:p>
      <w:pPr>
        <w:pStyle w:val="BodyText"/>
      </w:pPr>
      <w:r>
        <w:rPr>
          <w:b/>
          <w:bCs/>
        </w:rPr>
        <w:t xml:space="preserve">4. Capital humano especializado e Academia COSTA NOVA Indústria.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know-how</w:t>
      </w:r>
      <w:r>
        <w:t xml:space="preserve"> </w:t>
      </w:r>
      <w:r>
        <w:t xml:space="preserve">artesanal de moldar, esponjar, rebarbar e vidrar em grés fino é preservado e transmitido internamente. A academia de formação, com mais de 16.700 horas em 2024, é um mecanismo de retenção e reprodução desta vantagem.</w:t>
      </w:r>
    </w:p>
    <w:p>
      <w:pPr>
        <w:pStyle w:val="BodyText"/>
      </w:pPr>
      <w:r>
        <w:rPr>
          <w:b/>
          <w:bCs/>
        </w:rPr>
        <w:t xml:space="preserve">5. Vantagem logística e de velocidade de resposta (Hub Logístico 4.0).</w:t>
      </w:r>
      <w:r>
        <w:t xml:space="preserve"> </w:t>
      </w:r>
      <w:r>
        <w:t xml:space="preserve">Num mercado onde o</w:t>
      </w:r>
      <w:r>
        <w:t xml:space="preserve"> </w:t>
      </w:r>
      <w:r>
        <w:rPr>
          <w:i/>
          <w:iCs/>
        </w:rPr>
        <w:t xml:space="preserve">fulfillment</w:t>
      </w:r>
      <w:r>
        <w:t xml:space="preserve"> </w:t>
      </w:r>
      <w:r>
        <w:t xml:space="preserve">de 24–48 horas se torna requisito de entrada nos canais de</w:t>
      </w:r>
      <w:r>
        <w:t xml:space="preserve"> </w:t>
      </w:r>
      <w:r>
        <w:rPr>
          <w:i/>
          <w:iCs/>
        </w:rPr>
        <w:t xml:space="preserve">e-commerce</w:t>
      </w:r>
      <w:r>
        <w:t xml:space="preserve"> </w:t>
      </w:r>
      <w:r>
        <w:t xml:space="preserve">e hotelaria premium, a capacidade de processar encomendas complexas de forma rápida e fiável será um diferenciador relevante face a concorrentes com logística convencional.</w:t>
      </w:r>
    </w:p>
    <w:p>
      <w:r>
        <w:pict>
          <v:rect style="width:0;height:1.5pt" o:hralign="center" o:hrstd="t" o:hr="t"/>
        </w:pict>
      </w:r>
    </w:p>
    <w:bookmarkEnd w:id="19"/>
    <w:bookmarkStart w:id="20" w:name="X41f59c86f774d7fee1492cc8822695e49277006"/>
    <w:p>
      <w:pPr>
        <w:pStyle w:val="Heading2"/>
      </w:pPr>
      <w:r>
        <w:t xml:space="preserve">2.3. Estratégia de desenvolvimento — Matriz de Ansoff</w:t>
      </w:r>
    </w:p>
    <w:p>
      <w:pPr>
        <w:pStyle w:val="FirstParagraph"/>
      </w:pPr>
      <w:r>
        <w:t xml:space="preserve">A estratégia de desenvolvimento é enquadrada na matriz de Igor Ansoff (1957), que cruza os eixos produto (existente vs. novo) e mercado (existente vs. novo). O Hub Logístico 4.0 é, na sua essência, um projeto de eficiência e capacidade logística aplicado ao portefólio e aos mercados existentes da Grestel. A sua classificação primária é a</w:t>
      </w:r>
      <w:r>
        <w:t xml:space="preserve"> </w:t>
      </w:r>
      <w:r>
        <w:rPr>
          <w:b/>
          <w:bCs/>
        </w:rPr>
        <w:t xml:space="preserve">penetração de mercado</w:t>
      </w:r>
      <w:r>
        <w:t xml:space="preserve">, complementada, em menor grau, por ações de</w:t>
      </w:r>
      <w:r>
        <w:t xml:space="preserve"> </w:t>
      </w:r>
      <w:r>
        <w:rPr>
          <w:b/>
          <w:bCs/>
        </w:rPr>
        <w:t xml:space="preserve">desenvolvimento de mercado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Quadrante Ansoff</w:t>
            </w:r>
          </w:p>
        </w:tc>
        <w:tc>
          <w:tcPr/>
          <w:p>
            <w:pPr>
              <w:pStyle w:val="Compact"/>
            </w:pPr>
            <w:r>
              <w:t xml:space="preserve">Aplicação à empresa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Penetração de mercado</w:t>
            </w:r>
            <w:r>
              <w:t xml:space="preserve"> </w:t>
            </w:r>
            <w:r>
              <w:rPr>
                <w:i/>
                <w:iCs/>
              </w:rPr>
              <w:t xml:space="preserve">(dominante)</w:t>
            </w:r>
          </w:p>
        </w:tc>
        <w:tc>
          <w:tcPr/>
          <w:p>
            <w:pPr>
              <w:pStyle w:val="Compact"/>
            </w:pPr>
            <w:r>
              <w:t xml:space="preserve">Captura de quota nos canais de maior valor (DTC,</w:t>
            </w:r>
            <w:r>
              <w:t xml:space="preserve"> </w:t>
            </w:r>
            <w:r>
              <w:rPr>
                <w:i/>
                <w:iCs/>
              </w:rPr>
              <w:t xml:space="preserve">e-commerce</w:t>
            </w:r>
            <w:r>
              <w:t xml:space="preserve">, hotelaria premium) com o portefólio e nos mercados existentes, removendo o gargalo logístico que hoje limita a resposta a contratos e plataformas exigentes em prazo.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Desenvolvimento de mercado</w:t>
            </w:r>
            <w:r>
              <w:t xml:space="preserve"> </w:t>
            </w:r>
            <w:r>
              <w:rPr>
                <w:i/>
                <w:iCs/>
              </w:rPr>
              <w:t xml:space="preserve">(complementar)</w:t>
            </w:r>
          </w:p>
        </w:tc>
        <w:tc>
          <w:tcPr/>
          <w:p>
            <w:pPr>
              <w:pStyle w:val="Compact"/>
            </w:pPr>
            <w:r>
              <w:t xml:space="preserve">Expansão geográfica para mercados europeus de presença incipiente (Espanha, Itália, Países Baixos, Alemanha) e asiáticos (Coreia do Sul) com o portefólio atual, viabilizada pelos prazos de entrega competitivos da logística centralizada.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Desenvolvimento de produto</w:t>
            </w:r>
            <w:r>
              <w:t xml:space="preserve"> </w:t>
            </w:r>
            <w:r>
              <w:rPr>
                <w:i/>
                <w:iCs/>
              </w:rPr>
              <w:t xml:space="preserve">(atividade corrente)</w:t>
            </w:r>
          </w:p>
        </w:tc>
        <w:tc>
          <w:tcPr/>
          <w:p>
            <w:pPr>
              <w:pStyle w:val="Compact"/>
            </w:pPr>
            <w:r>
              <w:t xml:space="preserve">Novas coleções em ecogrés (Arenito, Marrakesh,</w:t>
            </w:r>
            <w:r>
              <w:t xml:space="preserve"> </w:t>
            </w:r>
            <w:r>
              <w:rPr>
                <w:i/>
                <w:iCs/>
              </w:rPr>
              <w:t xml:space="preserve">Stacked Organic</w:t>
            </w:r>
            <w:r>
              <w:t xml:space="preserve">) e ecodesign — atividade estruturante do negócio, mas independente do racional de investimento do Hub (ver 3.2 e 3.4).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Diversificação</w:t>
            </w:r>
          </w:p>
        </w:tc>
        <w:tc>
          <w:tcPr/>
          <w:p>
            <w:pPr>
              <w:pStyle w:val="Compact"/>
            </w:pPr>
            <w:r>
              <w:t xml:space="preserve">Fora do âmbito deste plano. O foco é intencional: num contexto de incerteza geopolítica e tarifária, a Grestel opta por aprofundar o que já faz bem em vez de dispersar recursos.</w:t>
            </w:r>
          </w:p>
        </w:tc>
      </w:tr>
    </w:tbl>
    <w:p>
      <w:pPr>
        <w:pStyle w:val="BodyText"/>
      </w:pPr>
      <w:r>
        <w:t xml:space="preserve">A estratégia dominante é, portanto, a</w:t>
      </w:r>
      <w:r>
        <w:t xml:space="preserve"> </w:t>
      </w:r>
      <w:r>
        <w:rPr>
          <w:b/>
          <w:bCs/>
        </w:rPr>
        <w:t xml:space="preserve">penetração de mercado alavancada por uma vantagem logística estrutural</w:t>
      </w:r>
      <w:r>
        <w:t xml:space="preserve">. O Hub não abre novos mercados nem cria novos produtos por si só — converte uma limitação operacional existente numa vantagem competitiva sustentável, permitindo capturar quota nos canais de maior valor onde a Grestel hoje perde negócio por incapacidade de resposta, e não por falta de produto ou de preço.</w:t>
      </w:r>
    </w:p>
    <w:bookmarkEnd w:id="20"/>
    <w:bookmarkEnd w:id="21"/>
    <w:bookmarkStart w:id="29" w:name="plano-de-ação"/>
    <w:p>
      <w:pPr>
        <w:pStyle w:val="Heading1"/>
      </w:pPr>
      <w:r>
        <w:t xml:space="preserve">3. Plano de Ação</w:t>
      </w:r>
    </w:p>
    <w:p>
      <w:pPr>
        <w:pStyle w:val="FirstParagraph"/>
      </w:pPr>
      <w:r>
        <w:t xml:space="preserve">O presente plano de ação operacionaliza a estratégia da Grestel para o horizonte 2025–2029, traduzindo os quatro eixos estratégicos do Capítulo 1 (crescimento em canais de alto valor, diversificação geográfica, modernização logística e sustentabilidade) em ações concretas, mensuráveis e calendarizadas por área funcional.</w:t>
      </w:r>
    </w:p>
    <w:p>
      <w:r>
        <w:pict>
          <v:rect style="width:0;height:1.5pt" o:hralign="center" o:hrstd="t" o:hr="t"/>
        </w:pict>
      </w:r>
    </w:p>
    <w:bookmarkStart w:id="22" w:name="reorganização-e-capital-humano"/>
    <w:p>
      <w:pPr>
        <w:pStyle w:val="Heading2"/>
      </w:pPr>
      <w:r>
        <w:t xml:space="preserve">3.1. Reorganização e capital humano</w:t>
      </w:r>
    </w:p>
    <w:p>
      <w:pPr>
        <w:pStyle w:val="FirstParagraph"/>
      </w:pPr>
      <w:r>
        <w:t xml:space="preserve">A reorganização assenta em dois pilares: (i) a consolidação da</w:t>
      </w:r>
      <w:r>
        <w:t xml:space="preserve"> </w:t>
      </w:r>
      <w:r>
        <w:rPr>
          <w:b/>
          <w:bCs/>
        </w:rPr>
        <w:t xml:space="preserve">Academia COSTA NOVA Indústria</w:t>
      </w:r>
      <w:r>
        <w:t xml:space="preserve"> </w:t>
      </w:r>
      <w:r>
        <w:t xml:space="preserve">como instrumento de formação e desenvolvimento de competências técnicas e comportamentais — em 2024 foram certificadas 16.700 horas de formação, com média de idades de 39 anos e 67% de mulheres na massa salarial; e (ii) a requalificação do quadro produtivo face aos desafios de recrutamento identificados no R&amp;C 2024, com um processo seletivo de mais fases e maior interação com o posto de trabalho. O investimento em recursos humanos inclui formação contínua em competências digitais e de gestão de equipas (prioridade em 2025), mantendo os 12 estágios curriculares e 8 estágios profissionais acolhidos em 2024. Relevante para o projeto, o Hub permitirá</w:t>
      </w:r>
      <w:r>
        <w:t xml:space="preserve"> </w:t>
      </w:r>
      <w:r>
        <w:rPr>
          <w:b/>
          <w:bCs/>
        </w:rPr>
        <w:t xml:space="preserve">reafetar pessoal logístico não especializado a funções de maior valor acrescentado</w:t>
      </w:r>
      <w:r>
        <w:t xml:space="preserve">, sustentando o crescimento do volume processado sem aumento proporcional do quadro.</w:t>
      </w:r>
    </w:p>
    <w:p>
      <w:r>
        <w:pict>
          <v:rect style="width:0;height:1.5pt" o:hralign="center" o:hrstd="t" o:hr="t"/>
        </w:pict>
      </w:r>
    </w:p>
    <w:bookmarkEnd w:id="22"/>
    <w:bookmarkStart w:id="23" w:name="marketing-mix-metodologia-kotler"/>
    <w:p>
      <w:pPr>
        <w:pStyle w:val="Heading2"/>
      </w:pPr>
      <w:r>
        <w:t xml:space="preserve">3.2. Marketing-mix (metodologia Kotler)</w:t>
      </w:r>
    </w:p>
    <w:p>
      <w:pPr>
        <w:pStyle w:val="FirstParagraph"/>
      </w:pPr>
      <w:r>
        <w:t xml:space="preserve">O plano segue a metodologia de Philip Kotler, adaptada ao setor cerâmico de grés fino utilitário.</w:t>
      </w:r>
    </w:p>
    <w:p>
      <w:pPr>
        <w:pStyle w:val="BodyText"/>
      </w:pPr>
      <w:r>
        <w:rPr>
          <w:b/>
          <w:bCs/>
        </w:rPr>
        <w:t xml:space="preserve">Produto:</w:t>
      </w:r>
      <w:r>
        <w:t xml:space="preserve"> </w:t>
      </w:r>
      <w:r>
        <w:t xml:space="preserve">expansão das coleções ecogrés lançadas em 2024 (Arenito, Marrakesh,</w:t>
      </w:r>
      <w:r>
        <w:t xml:space="preserve"> </w:t>
      </w:r>
      <w:r>
        <w:rPr>
          <w:i/>
          <w:iCs/>
        </w:rPr>
        <w:t xml:space="preserve">Stacked Organic</w:t>
      </w:r>
      <w:r>
        <w:t xml:space="preserve">, Scotia,</w:t>
      </w:r>
      <w:r>
        <w:t xml:space="preserve"> </w:t>
      </w:r>
      <w:r>
        <w:rPr>
          <w:i/>
          <w:iCs/>
        </w:rPr>
        <w:t xml:space="preserve">Modern Storage</w:t>
      </w:r>
      <w:r>
        <w:t xml:space="preserve">) com novas referências anuais; desenvolvimento de projetos de customização para hotelaria.</w:t>
      </w:r>
    </w:p>
    <w:p>
      <w:pPr>
        <w:pStyle w:val="BodyText"/>
      </w:pPr>
      <w:r>
        <w:rPr>
          <w:b/>
          <w:bCs/>
        </w:rPr>
        <w:t xml:space="preserve">Preço:</w:t>
      </w:r>
      <w:r>
        <w:t xml:space="preserve"> </w:t>
      </w:r>
      <w:r>
        <w:t xml:space="preserve">política alinhada com o posicionamento premium; indexação ao HICP projetado (~2%/ano); promoções estrategicamente diferenciadas por canal.</w:t>
      </w:r>
    </w:p>
    <w:p>
      <w:pPr>
        <w:pStyle w:val="BodyText"/>
      </w:pPr>
      <w:r>
        <w:rPr>
          <w:b/>
          <w:bCs/>
        </w:rPr>
        <w:t xml:space="preserve">Distribuição (</w:t>
      </w:r>
      <w:r>
        <w:rPr>
          <w:b/>
          <w:bCs/>
          <w:i/>
          <w:iCs/>
        </w:rPr>
        <w:t xml:space="preserve">Place</w:t>
      </w:r>
      <w:r>
        <w:rPr>
          <w:b/>
          <w:bCs/>
        </w:rPr>
        <w:t xml:space="preserve">):</w:t>
      </w:r>
      <w:r>
        <w:t xml:space="preserve"> </w:t>
      </w:r>
      <w:r>
        <w:t xml:space="preserve">presença em feiras internacionais (Ambiente Frankfurt, Maison &amp; Objet Paris, FHA Singapura, NY Tabletop Show); rede de lojas próprias em expansão (Outlet Vagos, Lisboa e Porto operacionais;</w:t>
      </w:r>
      <w:r>
        <w:t xml:space="preserve"> </w:t>
      </w:r>
      <w:r>
        <w:rPr>
          <w:i/>
          <w:iCs/>
        </w:rPr>
        <w:t xml:space="preserve">flagship</w:t>
      </w:r>
      <w:r>
        <w:t xml:space="preserve"> </w:t>
      </w:r>
      <w:r>
        <w:t xml:space="preserve">Madrid prevista para 2025);</w:t>
      </w:r>
      <w:r>
        <w:t xml:space="preserve"> </w:t>
      </w:r>
      <w:r>
        <w:rPr>
          <w:i/>
          <w:iCs/>
        </w:rPr>
        <w:t xml:space="preserve">marketplaces</w:t>
      </w:r>
      <w:r>
        <w:t xml:space="preserve"> </w:t>
      </w:r>
      <w:r>
        <w:t xml:space="preserve">estratégicos em 5 países europeus;</w:t>
      </w:r>
      <w:r>
        <w:t xml:space="preserve"> </w:t>
      </w:r>
      <w:r>
        <w:rPr>
          <w:i/>
          <w:iCs/>
        </w:rPr>
        <w:t xml:space="preserve">e-business</w:t>
      </w:r>
      <w:r>
        <w:t xml:space="preserve"> </w:t>
      </w:r>
      <w:r>
        <w:t xml:space="preserve">com crescimento superior a 40% nas vendas online.</w:t>
      </w:r>
    </w:p>
    <w:p>
      <w:pPr>
        <w:pStyle w:val="BodyText"/>
      </w:pPr>
      <w:r>
        <w:rPr>
          <w:b/>
          <w:bCs/>
        </w:rPr>
        <w:t xml:space="preserve">Comunicação (</w:t>
      </w:r>
      <w:r>
        <w:rPr>
          <w:b/>
          <w:bCs/>
          <w:i/>
          <w:iCs/>
        </w:rPr>
        <w:t xml:space="preserve">Promotion</w:t>
      </w:r>
      <w:r>
        <w:rPr>
          <w:b/>
          <w:bCs/>
        </w:rPr>
        <w:t xml:space="preserve">):</w:t>
      </w:r>
      <w:r>
        <w:t xml:space="preserve"> </w:t>
      </w:r>
      <w:r>
        <w:t xml:space="preserve">investimento em marketing digital (fotografia, design, IA aplicada à publicidade), conteúdos audiovisuais, publicidade B2B/B2C, parcerias estratégicas e presença em eventos setoriais (Paris Design Week, Congresso Nacional AHRESP, Essência Festival).</w:t>
      </w:r>
    </w:p>
    <w:p>
      <w:r>
        <w:pict>
          <v:rect style="width:0;height:1.5pt" o:hralign="center" o:hrstd="t" o:hr="t"/>
        </w:pict>
      </w:r>
    </w:p>
    <w:bookmarkEnd w:id="23"/>
    <w:bookmarkStart w:id="24" w:name="produção"/>
    <w:p>
      <w:pPr>
        <w:pStyle w:val="Heading2"/>
      </w:pPr>
      <w:r>
        <w:t xml:space="preserve">3.3. Produção</w:t>
      </w:r>
    </w:p>
    <w:p>
      <w:pPr>
        <w:pStyle w:val="FirstParagraph"/>
      </w:pPr>
      <w:r>
        <w:t xml:space="preserve">A produção será reorganizada em torno da unidade Ecogrés — Cerâmica Ecológica (em pleno desde 2024), com transferência progressiva do Lote 29 para funções logísticas. O plano assenta em: (i) consolidação da reorganização produtiva iniciada em 2024, com subcontratação do fabrico à Ecogrés (cliente exclusivo), mantendo na Grestel a conceção de moldes, preparação de vidrados, embalagem e expedição; (ii) investimento em</w:t>
      </w:r>
      <w:r>
        <w:t xml:space="preserve"> </w:t>
      </w:r>
      <w:r>
        <w:rPr>
          <w:i/>
          <w:iCs/>
        </w:rPr>
        <w:t xml:space="preserve">lay-out</w:t>
      </w:r>
      <w:r>
        <w:t xml:space="preserve"> </w:t>
      </w:r>
      <w:r>
        <w:t xml:space="preserve">e melhoria contínua, com foco na eficiência energética (substituição de equipamento hidráulico por elétrico, conversão para LED); (iii) controlo de qualidade integrado em todas as fases; e (iv) preparação dos espaços do Lote 29 para receção das funcionalidades logísticas do Hub até 2027. O principal</w:t>
      </w:r>
      <w:r>
        <w:t xml:space="preserve"> </w:t>
      </w:r>
      <w:r>
        <w:rPr>
          <w:i/>
          <w:iCs/>
        </w:rPr>
        <w:t xml:space="preserve">bottleneck</w:t>
      </w:r>
      <w:r>
        <w:t xml:space="preserve"> </w:t>
      </w:r>
      <w:r>
        <w:t xml:space="preserve">atual — a ineficiência do</w:t>
      </w:r>
      <w:r>
        <w:t xml:space="preserve"> </w:t>
      </w:r>
      <w:r>
        <w:rPr>
          <w:i/>
          <w:iCs/>
        </w:rPr>
        <w:t xml:space="preserve">picking</w:t>
      </w:r>
      <w:r>
        <w:t xml:space="preserve"> </w:t>
      </w:r>
      <w:r>
        <w:t xml:space="preserve">e a escassez de espaço de armazenagem — é precisamente o objeto do projeto Hub Logístico 4.0.</w:t>
      </w:r>
    </w:p>
    <w:p>
      <w:r>
        <w:pict>
          <v:rect style="width:0;height:1.5pt" o:hralign="center" o:hrstd="t" o:hr="t"/>
        </w:pict>
      </w:r>
    </w:p>
    <w:bookmarkEnd w:id="24"/>
    <w:bookmarkStart w:id="25" w:name="investigação-e-desenvolvimento"/>
    <w:p>
      <w:pPr>
        <w:pStyle w:val="Heading2"/>
      </w:pPr>
      <w:r>
        <w:t xml:space="preserve">3.4. Investigação e desenvolvimento</w:t>
      </w:r>
    </w:p>
    <w:p>
      <w:pPr>
        <w:pStyle w:val="FirstParagraph"/>
      </w:pPr>
      <w:r>
        <w:t xml:space="preserve">A atividade de I&amp;D concentra-se em três eixos: (i)</w:t>
      </w:r>
      <w:r>
        <w:t xml:space="preserve"> </w:t>
      </w:r>
      <w:r>
        <w:rPr>
          <w:b/>
          <w:bCs/>
        </w:rPr>
        <w:t xml:space="preserve">inovação em produto</w:t>
      </w:r>
      <w:r>
        <w:t xml:space="preserve"> </w:t>
      </w:r>
      <w:r>
        <w:t xml:space="preserve">— continuidade das coleções Arenito, Marrakesh e</w:t>
      </w:r>
      <w:r>
        <w:t xml:space="preserve"> </w:t>
      </w:r>
      <w:r>
        <w:rPr>
          <w:i/>
          <w:iCs/>
        </w:rPr>
        <w:t xml:space="preserve">Modern Storage</w:t>
      </w:r>
      <w:r>
        <w:t xml:space="preserve">, investigação em decorações e vidrados; (ii)</w:t>
      </w:r>
      <w:r>
        <w:t xml:space="preserve"> </w:t>
      </w:r>
      <w:r>
        <w:rPr>
          <w:b/>
          <w:bCs/>
        </w:rPr>
        <w:t xml:space="preserve">inovação em processo</w:t>
      </w:r>
      <w:r>
        <w:t xml:space="preserve"> </w:t>
      </w:r>
      <w:r>
        <w:t xml:space="preserve">— soluções de retoque por tecnologia laser para evitar a segunda cozedura (poupança de gás natural), estudos sobre a mistura gás natural/hidrogénio na cozedura e otimização dos moldes; (iii)</w:t>
      </w:r>
      <w:r>
        <w:t xml:space="preserve"> </w:t>
      </w:r>
      <w:r>
        <w:rPr>
          <w:b/>
          <w:bCs/>
        </w:rPr>
        <w:t xml:space="preserve">parcerias tecnológicas</w:t>
      </w:r>
      <w:r>
        <w:t xml:space="preserve"> </w:t>
      </w:r>
      <w:r>
        <w:t xml:space="preserve">— colaboração com a Universidade de Aveiro, o Centro Qualifica (AIDA) e entidades do COMPETE 2030, mantendo o estatuto INOVADORA COTEC pelo terceiro ano consecutivo. A atividade beneficia de apoios públicos ao investimento — SIFIDE II (I&amp;D), RFAI e o programa PT2030. O projeto ECOGRES 4.0 foi finalista nos Prémios REGIOSTARS 2024 da UE.</w:t>
      </w:r>
    </w:p>
    <w:p>
      <w:r>
        <w:pict>
          <v:rect style="width:0;height:1.5pt" o:hralign="center" o:hrstd="t" o:hr="t"/>
        </w:pict>
      </w:r>
    </w:p>
    <w:bookmarkEnd w:id="25"/>
    <w:bookmarkStart w:id="26" w:name="qualidade"/>
    <w:p>
      <w:pPr>
        <w:pStyle w:val="Heading2"/>
      </w:pPr>
      <w:r>
        <w:t xml:space="preserve">3.5. Qualidade</w:t>
      </w:r>
    </w:p>
    <w:p>
      <w:pPr>
        <w:pStyle w:val="FirstParagraph"/>
      </w:pPr>
      <w:r>
        <w:t xml:space="preserve">A Grestel opera com um Sistema de Gestão Ambiental certificado pela NP ISO 14001:2015 (auditado e confirmado a 27 de fevereiro de 2025), complementado pelo estatuto INOVADORA COTEC. O sistema integra controlo de qualidade em todas as fases (matérias-primas, produção, expedição), gestão documentada de não-conformidades e ações corretivas, auditorias internas semestrais e monitorização de reclamações e devoluções (objetivo: abaixo de 1% do volume faturado). O Grupo comprometeu-se a elaborar o primeiro relatório de sustentabilidade (ESG), em parceria com a Universidade de Coimbra. Para 2025–2029, prevê-se a obtenção de certificações adicionais compatíveis com o hub logístico (extensão</w:t>
      </w:r>
      <w:r>
        <w:t xml:space="preserve"> </w:t>
      </w:r>
      <w:r>
        <w:rPr>
          <w:i/>
          <w:iCs/>
        </w:rPr>
        <w:t xml:space="preserve">warehouse</w:t>
      </w:r>
      <w:r>
        <w:t xml:space="preserve"> </w:t>
      </w:r>
      <w:r>
        <w:t xml:space="preserve">da ISO 9001).</w:t>
      </w:r>
    </w:p>
    <w:p>
      <w:r>
        <w:pict>
          <v:rect style="width:0;height:1.5pt" o:hralign="center" o:hrstd="t" o:hr="t"/>
        </w:pict>
      </w:r>
    </w:p>
    <w:bookmarkEnd w:id="26"/>
    <w:bookmarkStart w:id="27" w:name="desenvolvimento-sustentável-ods"/>
    <w:p>
      <w:pPr>
        <w:pStyle w:val="Heading2"/>
      </w:pPr>
      <w:r>
        <w:t xml:space="preserve">3.6. Desenvolvimento sustentável (ODS)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ODS</w:t>
            </w:r>
          </w:p>
        </w:tc>
        <w:tc>
          <w:tcPr/>
          <w:p>
            <w:pPr>
              <w:pStyle w:val="Compact"/>
            </w:pPr>
            <w:r>
              <w:t xml:space="preserve">Ações previstas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ODS 8</w:t>
            </w:r>
            <w:r>
              <w:t xml:space="preserve"> </w:t>
            </w:r>
            <w:r>
              <w:t xml:space="preserve">— Trabalho Digno e Crescimento Económico</w:t>
            </w:r>
          </w:p>
        </w:tc>
        <w:tc>
          <w:tcPr/>
          <w:p>
            <w:pPr>
              <w:pStyle w:val="Compact"/>
            </w:pPr>
            <w:r>
              <w:t xml:space="preserve">Ambientes de trabalho inclusivos; programa de apoio à qualificação de pessoas com deficiência; apoio a associações sociais e desportivas regionais</w:t>
            </w:r>
          </w:p>
        </w:tc>
        <w:tc>
          <w:tcPr/>
          <w:p>
            <w:pPr>
              <w:pStyle w:val="Compact"/>
            </w:pPr>
            <w:r>
              <w:t xml:space="preserve">Horas de formação (16.700 em 2024); taxa de retenção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ODS 9</w:t>
            </w:r>
            <w:r>
              <w:t xml:space="preserve"> </w:t>
            </w:r>
            <w:r>
              <w:t xml:space="preserve">— Indústria, Inovação e Infraestruturas</w:t>
            </w:r>
          </w:p>
        </w:tc>
        <w:tc>
          <w:tcPr/>
          <w:p>
            <w:pPr>
              <w:pStyle w:val="Compact"/>
            </w:pPr>
            <w:r>
              <w:t xml:space="preserve">Investimento em inovação tecnológica (laser, hidrogénio, ECOGRES 4.0); automatização logística (Hub 4.0); parcerias com universidades</w:t>
            </w:r>
          </w:p>
        </w:tc>
        <w:tc>
          <w:tcPr/>
          <w:p>
            <w:pPr>
              <w:pStyle w:val="Compact"/>
            </w:pPr>
            <w:r>
              <w:t xml:space="preserve">Investimento em I&amp;D; nº de projetos COMPETE 2030/PRR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ODS 12</w:t>
            </w:r>
            <w:r>
              <w:t xml:space="preserve"> </w:t>
            </w:r>
            <w:r>
              <w:t xml:space="preserve">— Produção e Consumo Responsáveis</w:t>
            </w:r>
          </w:p>
        </w:tc>
        <w:tc>
          <w:tcPr/>
          <w:p>
            <w:pPr>
              <w:pStyle w:val="Compact"/>
            </w:pPr>
            <w:r>
              <w:t xml:space="preserve">Alargamento do circuito de água tratada na ETARI; separação de resíduos recicláveis; conversão para LED; substituição de equipamento hidráulico por elétrico; ação «Costa Limpa 24»</w:t>
            </w:r>
          </w:p>
        </w:tc>
        <w:tc>
          <w:tcPr/>
          <w:p>
            <w:pPr>
              <w:pStyle w:val="Compact"/>
            </w:pPr>
            <w:r>
              <w:t xml:space="preserve">% materiais reciclados na pasta (&gt;94%); consumo energético/unidade</w:t>
            </w:r>
          </w:p>
        </w:tc>
      </w:tr>
    </w:tbl>
    <w:p>
      <w:pPr>
        <w:pStyle w:val="BodyText"/>
      </w:pPr>
      <w:r>
        <w:t xml:space="preserve">Em 2024 a empresa não estava sujeita a relatório de sustentabilidade obrigatório, tendo optado por elaborá-lo voluntariamente.</w:t>
      </w:r>
    </w:p>
    <w:p>
      <w:r>
        <w:pict>
          <v:rect style="width:0;height:1.5pt" o:hralign="center" o:hrstd="t" o:hr="t"/>
        </w:pict>
      </w:r>
    </w:p>
    <w:bookmarkEnd w:id="27"/>
    <w:bookmarkStart w:id="28" w:name="eficiência-higiene-e-segurança"/>
    <w:p>
      <w:pPr>
        <w:pStyle w:val="Heading2"/>
      </w:pPr>
      <w:r>
        <w:t xml:space="preserve">3.7. Eficiência, higiene e segurança</w:t>
      </w:r>
    </w:p>
    <w:p>
      <w:pPr>
        <w:pStyle w:val="FirstParagraph"/>
      </w:pPr>
      <w:r>
        <w:t xml:space="preserve">A Grestel promove ativamente a saúde, segurança e bem-estar dos colaboradores, no cumprimento do quadro legal de higiene e segurança no trabalho (Lei n.º 102/2009 e atualizações). Em 2024, as prioridades incluíram a saúde mental como prática de trabalho (</w:t>
      </w:r>
      <w:r>
        <w:rPr>
          <w:i/>
          <w:iCs/>
        </w:rPr>
        <w:t xml:space="preserve">work-life balance</w:t>
      </w:r>
      <w:r>
        <w:t xml:space="preserve">), com nova parceria com a TEAM 24 (serviço de atendimento psicológico gratuito, anónimo e confidencial). O plano para 2025–2029 inclui: (i) continuidade da formação em segurança no trabalho; (ii) investimento em equipamento de segurança e melhoria das condições de trabalho; (iii) manutenção dos programas de prevenção de acidentes e vigilância da saúde ocupacional; e (iv) extensão das práticas de segurança aos espaços logísticos do Hub após a sua implementação. As medidas de eficiência energética e hídrica (LED, equipamento elétrico, reutilização de água da ETARI) reforçam simultaneamente os objetivos ambientais e de redução de custos operacionais.</w:t>
      </w:r>
    </w:p>
    <w:bookmarkEnd w:id="28"/>
    <w:bookmarkEnd w:id="29"/>
    <w:bookmarkStart w:id="33" w:name="gestão-e-controlo-do-negócio"/>
    <w:p>
      <w:pPr>
        <w:pStyle w:val="Heading1"/>
      </w:pPr>
      <w:r>
        <w:t xml:space="preserve">4. Gestão e Controlo do Negócio</w:t>
      </w:r>
    </w:p>
    <w:p>
      <w:r>
        <w:pict>
          <v:rect style="width:0;height:1.5pt" o:hralign="center" o:hrstd="t" o:hr="t"/>
        </w:pict>
      </w:r>
    </w:p>
    <w:bookmarkStart w:id="30" w:name="funções-de-gestão"/>
    <w:p>
      <w:pPr>
        <w:pStyle w:val="Heading2"/>
      </w:pPr>
      <w:r>
        <w:t xml:space="preserve">4.1. Funções de gestão</w:t>
      </w:r>
    </w:p>
    <w:p>
      <w:pPr>
        <w:pStyle w:val="FirstParagraph"/>
      </w:pPr>
      <w:r>
        <w:rPr>
          <w:b/>
          <w:bCs/>
        </w:rPr>
        <w:t xml:space="preserve">Planeamento:</w:t>
      </w:r>
      <w:r>
        <w:t xml:space="preserve"> </w:t>
      </w:r>
      <w:r>
        <w:t xml:space="preserve">o Conselho de Administração (Eng. Miguel Casal — Presidente; Jorge Ferreira e Helena Ferreira — Administradores) define a estratégia plurianual e as políticas de gestão de risco, traduzidas em orçamentos anuais e no plano de investimentos 2025–2029 que inclui o Hub Logístico 4.0. O planeamento assenta nos quatro eixos estratégicos do Capítulo 1 e em pressupostos macroeconómicos, comerciais e operacionais revistos anualmente.</w:t>
      </w:r>
    </w:p>
    <w:p>
      <w:pPr>
        <w:pStyle w:val="BodyText"/>
      </w:pPr>
      <w:r>
        <w:rPr>
          <w:b/>
          <w:bCs/>
        </w:rPr>
        <w:t xml:space="preserve">Organização:</w:t>
      </w:r>
      <w:r>
        <w:t xml:space="preserve"> </w:t>
      </w:r>
      <w:r>
        <w:t xml:space="preserve">a estrutura funcional reparte responsabilidades pela Direção Financeira (risco de câmbio, crédito, liquidez e taxa de juro), Direção de Operações (produção subcontratada à Ecogrés, logística e qualidade), Direção Comercial (marcas próprias e</w:t>
      </w:r>
      <w:r>
        <w:t xml:space="preserve"> </w:t>
      </w:r>
      <w:r>
        <w:rPr>
          <w:i/>
          <w:iCs/>
        </w:rPr>
        <w:t xml:space="preserve">private label</w:t>
      </w:r>
      <w:r>
        <w:t xml:space="preserve">, por mercado geográfico) e Direção de Recursos Humanos (Academia COSTA NOVA Indústria). A entrada em operação do Hub agrega sob uma direção logística única as operações da Grestel e da Ecogrés.</w:t>
      </w:r>
    </w:p>
    <w:p>
      <w:pPr>
        <w:pStyle w:val="BodyText"/>
      </w:pPr>
      <w:r>
        <w:rPr>
          <w:b/>
          <w:bCs/>
        </w:rPr>
        <w:t xml:space="preserve">Direção:</w:t>
      </w:r>
      <w:r>
        <w:t xml:space="preserve"> </w:t>
      </w:r>
      <w:r>
        <w:t xml:space="preserve">a gestão executiva é assegurada pelo CEO, COO e CFO, com delegação efetiva por mercado e por função. O modelo de liderança valoriza a formação interna, a retenção de</w:t>
      </w:r>
      <w:r>
        <w:t xml:space="preserve"> </w:t>
      </w:r>
      <w:r>
        <w:rPr>
          <w:i/>
          <w:iCs/>
        </w:rPr>
        <w:t xml:space="preserve">know-how</w:t>
      </w:r>
      <w:r>
        <w:t xml:space="preserve"> </w:t>
      </w:r>
      <w:r>
        <w:t xml:space="preserve">artesanal e a orientação para a criação de valor a médio prazo, reforçada pela presença da C2 Capital Partners no capital.</w:t>
      </w:r>
    </w:p>
    <w:p>
      <w:pPr>
        <w:pStyle w:val="BodyText"/>
      </w:pPr>
      <w:r>
        <w:rPr>
          <w:b/>
          <w:bCs/>
        </w:rPr>
        <w:t xml:space="preserve">Controlo:</w:t>
      </w:r>
      <w:r>
        <w:t xml:space="preserve"> </w:t>
      </w:r>
      <w:r>
        <w:t xml:space="preserve">comparação sistemática entre orçamento e realizado, com periodicidade mensal (volume de negócios, margens, custos operacionais), trimestral (custos de estrutura, resultados) e anual (cash-flow, rácios e covenants). Os mecanismos de controlo interno são detalhados na secção 4.3.</w:t>
      </w:r>
    </w:p>
    <w:p>
      <w:r>
        <w:pict>
          <v:rect style="width:0;height:1.5pt" o:hralign="center" o:hrstd="t" o:hr="t"/>
        </w:pict>
      </w:r>
    </w:p>
    <w:bookmarkEnd w:id="30"/>
    <w:bookmarkStart w:id="31" w:name="estrutura-organizacional"/>
    <w:p>
      <w:pPr>
        <w:pStyle w:val="Heading2"/>
      </w:pPr>
      <w:r>
        <w:t xml:space="preserve">4.2. Estrutura organizacional</w:t>
      </w:r>
    </w:p>
    <w:p>
      <w:pPr>
        <w:pStyle w:val="FirstParagraph"/>
      </w:pPr>
      <w:r>
        <w:t xml:space="preserve">A estrutura do Grupo COSTA NOVA Indústria assenta numa hierarquia em que a Costa Nova — Indústria Cerâmica, S.A. detém 95% do capital da Grestel — Produtos Cerâmicos, S.A., controlada em última instância pela Springocean, Lda. A Grestel controla a subsidiária Costa Nova USA, Inc. (integrada em 2024 sob a marca «Casafina by Costa Nova») e opera em estreita articulação com a Ecogrés — Cerâmica Ecológica, Lda. (cliente único e exclusivo do fabrico subcontratado). O organograma futuro reflete a entrada da Grestel COSTA NOVA SL (constituída em março de 2025, Espanha) como entidade operativa da</w:t>
      </w:r>
      <w:r>
        <w:t xml:space="preserve"> </w:t>
      </w:r>
      <w:r>
        <w:rPr>
          <w:i/>
          <w:iCs/>
        </w:rPr>
        <w:t xml:space="preserve">flagship store</w:t>
      </w:r>
      <w:r>
        <w:t xml:space="preserve"> </w:t>
      </w:r>
      <w:r>
        <w:t xml:space="preserve">de Madrid.</w:t>
      </w:r>
    </w:p>
    <w:p>
      <w:pPr>
        <w:pStyle w:val="BodyText"/>
      </w:pPr>
      <w:r>
        <w:t xml:space="preserve">A tipologia adotada é</w:t>
      </w:r>
      <w:r>
        <w:t xml:space="preserve"> </w:t>
      </w:r>
      <w:r>
        <w:rPr>
          <w:b/>
          <w:bCs/>
        </w:rPr>
        <w:t xml:space="preserve">funcional</w:t>
      </w:r>
      <w:r>
        <w:t xml:space="preserve">, limitada a 2–3 níveis hierárquicos na empresa-mãe, com delegação por mercado e por função. Esta opção é coerente com a dimensão da empresa (734 colaboradores em 2024) e com a estratégia de eficiência e de proximidade operacional ao</w:t>
      </w:r>
      <w:r>
        <w:t xml:space="preserve"> </w:t>
      </w:r>
      <w:r>
        <w:rPr>
          <w:i/>
          <w:iCs/>
        </w:rPr>
        <w:t xml:space="preserve">cluster</w:t>
      </w:r>
      <w:r>
        <w:t xml:space="preserve"> </w:t>
      </w:r>
      <w:r>
        <w:t xml:space="preserve">produtivo de Vagos.</w:t>
      </w:r>
    </w:p>
    <w:p>
      <w:r>
        <w:pict>
          <v:rect style="width:0;height:1.5pt" o:hralign="center" o:hrstd="t" o:hr="t"/>
        </w:pict>
      </w:r>
    </w:p>
    <w:bookmarkEnd w:id="31"/>
    <w:bookmarkStart w:id="32" w:name="sistema-de-controlo-interno"/>
    <w:p>
      <w:pPr>
        <w:pStyle w:val="Heading2"/>
      </w:pPr>
      <w:r>
        <w:t xml:space="preserve">4.3. Sistema de controlo interno</w:t>
      </w:r>
    </w:p>
    <w:p>
      <w:pPr>
        <w:pStyle w:val="FirstParagraph"/>
      </w:pPr>
      <w:r>
        <w:t xml:space="preserve">O sistema de controlo interno assenta em três camadas:</w:t>
      </w:r>
      <w:r>
        <w:t xml:space="preserve"> </w:t>
      </w:r>
      <w:r>
        <w:rPr>
          <w:b/>
          <w:bCs/>
        </w:rPr>
        <w:t xml:space="preserve">financeira</w:t>
      </w:r>
      <w:r>
        <w:t xml:space="preserve"> </w:t>
      </w:r>
      <w:r>
        <w:t xml:space="preserve">(políticas escritas de gestão de risco aprovadas pelo Conselho de Administração e monitorização trimestral;</w:t>
      </w:r>
      <w:r>
        <w:t xml:space="preserve"> </w:t>
      </w:r>
      <w:r>
        <w:rPr>
          <w:i/>
          <w:iCs/>
        </w:rPr>
        <w:t xml:space="preserve">covenants</w:t>
      </w:r>
      <w:r>
        <w:t xml:space="preserve"> </w:t>
      </w:r>
      <w:r>
        <w:t xml:space="preserve">contratuais Net Debt/EBITDA ≤ 3,5× e Autonomia Financeira ≥ 30%, cumpridos em 2024),</w:t>
      </w:r>
      <w:r>
        <w:t xml:space="preserve"> </w:t>
      </w:r>
      <w:r>
        <w:rPr>
          <w:b/>
          <w:bCs/>
        </w:rPr>
        <w:t xml:space="preserve">operacional</w:t>
      </w:r>
      <w:r>
        <w:t xml:space="preserve"> </w:t>
      </w:r>
      <w:r>
        <w:t xml:space="preserve">(sistema de gestão de stock com criação e ordenação de pedidos de separação e acompanhamento do ciclo de vida da encomenda, implementado em 2024) e</w:t>
      </w:r>
      <w: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compliance</w:t>
      </w:r>
      <w:r>
        <w:t xml:space="preserve"> </w:t>
      </w:r>
      <w:r>
        <w:t xml:space="preserve">(auditoria de acompanhamento ISO 14001:2015 e revisão oficial de contas pelo Fiscal Único, CFA — Cravo Fortes Antão &amp; Associados, SROC).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Periodicidade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Debt/EBITDA</w:t>
            </w:r>
          </w:p>
        </w:tc>
        <w:tc>
          <w:tcPr/>
          <w:p>
            <w:pPr>
              <w:pStyle w:val="Compact"/>
            </w:pPr>
            <w:r>
              <w:t xml:space="preserve">≤ 3,5×</w:t>
            </w:r>
            <w:r>
              <w:t xml:space="preserve"> </w:t>
            </w:r>
            <w:r>
              <w:rPr>
                <w:i/>
                <w:iCs/>
              </w:rPr>
              <w:t xml:space="preserve">(projetado: 1× em 2029)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Direção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Autonomia financeira</w:t>
            </w:r>
          </w:p>
        </w:tc>
        <w:tc>
          <w:tcPr/>
          <w:p>
            <w:pPr>
              <w:pStyle w:val="Compact"/>
            </w:pPr>
            <w:r>
              <w:t xml:space="preserve">≥ 30%</w:t>
            </w:r>
            <w:r>
              <w:t xml:space="preserve"> </w:t>
            </w:r>
            <w:r>
              <w:rPr>
                <w:i/>
                <w:iCs/>
              </w:rPr>
              <w:t xml:space="preserve">(projetado: 57,7% em 2029)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Direção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Margem bruta por canal/mercado</w:t>
            </w:r>
          </w:p>
        </w:tc>
        <w:tc>
          <w:tcPr/>
          <w:p>
            <w:pPr>
              <w:pStyle w:val="Compact"/>
            </w:pPr>
            <w:r>
              <w:t xml:space="preserve">≥ orçamento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Direção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Reclamações e devoluções</w:t>
            </w:r>
          </w:p>
        </w:tc>
        <w:tc>
          <w:tcPr/>
          <w:p>
            <w:pPr>
              <w:pStyle w:val="Compact"/>
            </w:pPr>
            <w:r>
              <w:t xml:space="preserve">&lt; 1% do volume faturado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Direção de Operações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Ciclo de conversão de caixa (PMR/PMP/DMI)</w:t>
            </w:r>
          </w:p>
        </w:tc>
        <w:tc>
          <w:tcPr/>
          <w:p>
            <w:pPr>
              <w:pStyle w:val="Compact"/>
            </w:pPr>
            <w:r>
              <w:t xml:space="preserve">Redução face a 2024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Direção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Progresso do investimento Hub</w:t>
            </w:r>
          </w:p>
        </w:tc>
        <w:tc>
          <w:tcPr/>
          <w:p>
            <w:pPr>
              <w:pStyle w:val="Compact"/>
            </w:pPr>
            <w:r>
              <w:t xml:space="preserve">Conforme cronograma e orçamento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Direção de Operações</w:t>
            </w:r>
          </w:p>
        </w:tc>
      </w:tr>
    </w:tbl>
    <w:p>
      <w:pPr>
        <w:pStyle w:val="BodyText"/>
      </w:pPr>
      <w:r>
        <w:t xml:space="preserve">O sistema de controlo articula-se diretamente com os objetivos estratégicos: a monitorização de</w:t>
      </w:r>
      <w:r>
        <w:t xml:space="preserve"> </w:t>
      </w:r>
      <w:r>
        <w:rPr>
          <w:i/>
          <w:iCs/>
        </w:rPr>
        <w:t xml:space="preserve">covenants</w:t>
      </w:r>
      <w:r>
        <w:t xml:space="preserve"> </w:t>
      </w:r>
      <w:r>
        <w:t xml:space="preserve">protege a capacidade de endividamento necessária ao Hub, enquanto os indicadores de ciclo de caixa medem o benefício financeiro esperado da libertação de inventário e da eficiência logística.</w:t>
      </w:r>
    </w:p>
    <w:bookmarkEnd w:id="32"/>
    <w:bookmarkEnd w:id="33"/>
    <w:bookmarkStart w:id="37" w:name="plano-de-investimentos"/>
    <w:p>
      <w:pPr>
        <w:pStyle w:val="Heading1"/>
      </w:pPr>
      <w:r>
        <w:t xml:space="preserve">5. Plano de Investimentos</w:t>
      </w:r>
    </w:p>
    <w:p>
      <w:pPr>
        <w:pStyle w:val="FirstParagraph"/>
      </w:pPr>
      <w:r>
        <w:t xml:space="preserve">O plano de investimentos 2025–2029 estrutura-se em torno do projeto</w:t>
      </w:r>
      <w:r>
        <w:t xml:space="preserve"> </w:t>
      </w:r>
      <w:r>
        <w:rPr>
          <w:b/>
          <w:bCs/>
        </w:rPr>
        <w:t xml:space="preserve">Hub Logístico 4.0 — Costa Nova</w:t>
      </w:r>
      <w:r>
        <w:t xml:space="preserve">, complementado pelo investimento corrente de manutenção e modernização do ativo produtivo e da rede de lojas. O investimento bruto em ativos não correntes associado ao Hub ascende a</w:t>
      </w:r>
      <w:r>
        <w:t xml:space="preserve"> </w:t>
      </w:r>
      <w:r>
        <w:rPr>
          <w:b/>
          <w:bCs/>
        </w:rPr>
        <w:t xml:space="preserve">€6.045.000</w:t>
      </w:r>
      <w:r>
        <w:t xml:space="preserve"> </w:t>
      </w:r>
      <w:r>
        <w:t xml:space="preserve">(capitalizável), repartido por 2025 (€2.850.000) e 2026 (€3.150.000), a que acrescem juros capitalizados ao abrigo da NCRF 10 (período de construção 2025–2026). Este montante corresponde a</w:t>
      </w:r>
      <w:r>
        <w:t xml:space="preserve"> </w:t>
      </w:r>
      <w:r>
        <w:rPr>
          <w:b/>
          <w:bCs/>
        </w:rPr>
        <w:t xml:space="preserve">≈15,0% do ativo total líquido de 2024 (€40.258.766)</w:t>
      </w:r>
      <w:r>
        <w:t xml:space="preserve">, situando-se dentro do intervalo de 15%–30% exigido pela ficha do Momento 6.</w:t>
      </w:r>
    </w:p>
    <w:p>
      <w:r>
        <w:pict>
          <v:rect style="width:0;height:1.5pt" o:hralign="center" o:hrstd="t" o:hr="t"/>
        </w:pict>
      </w:r>
    </w:p>
    <w:bookmarkStart w:id="34" w:name="investimentos-em-ativos-não-correntes"/>
    <w:p>
      <w:pPr>
        <w:pStyle w:val="Heading2"/>
      </w:pPr>
      <w:r>
        <w:t xml:space="preserve">5.1. Investimentos em ativos não correntes</w:t>
      </w:r>
    </w:p>
    <w:p>
      <w:pPr>
        <w:pStyle w:val="FirstParagraph"/>
      </w:pPr>
      <w:r>
        <w:t xml:space="preserve">O CAPEX do Hub distribui-se por nove</w:t>
      </w:r>
      <w:r>
        <w:t xml:space="preserve"> </w:t>
      </w:r>
      <w:r>
        <w:rPr>
          <w:i/>
          <w:iCs/>
        </w:rPr>
        <w:t xml:space="preserve">pools</w:t>
      </w:r>
      <w:r>
        <w:t xml:space="preserve"> </w:t>
      </w:r>
      <w:r>
        <w:t xml:space="preserve">de depreciação, com vidas úteis diferenciadas por natureza do ativo (construção a 25 anos; equipamento de automação a 5–8 anos; software a 3–4 anos):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80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Ativo (</w:t>
            </w:r>
            <w:r>
              <w:rPr>
                <w:i/>
                <w:iCs/>
              </w:rPr>
              <w:t xml:space="preserve">pool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total (€)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Ano início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Vida útil (anos)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Taxa amort.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Construção civil (reabilitação G1, estrutura, cais de carga)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Honorários futuros (arquitetura, engenharia, licenças)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de integração (WMS/MES — configuração)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VLM — 6 módulos de armazenagem vertical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Robótica AMR — 5 robôs + estações</w:t>
            </w:r>
            <w:r>
              <w:t xml:space="preserve"> </w:t>
            </w:r>
            <w:r>
              <w:rPr>
                <w:i/>
                <w:iCs/>
              </w:rPr>
              <w:t xml:space="preserve">pick-and-pack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 + MES</w:t>
            </w:r>
            <w:r>
              <w:t xml:space="preserve"> </w:t>
            </w:r>
            <w:r>
              <w:rPr>
                <w:i/>
                <w:iCs/>
              </w:rPr>
              <w:t xml:space="preserve">analytics</w:t>
            </w:r>
            <w:r>
              <w:t xml:space="preserve"> </w:t>
            </w:r>
            <w:r>
              <w:t xml:space="preserve">+ módulos preditivos (visão 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</w:t>
            </w:r>
            <w:r>
              <w:t xml:space="preserve"> </w:t>
            </w:r>
            <w:r>
              <w:rPr>
                <w:i/>
                <w:iCs/>
              </w:rPr>
              <w:t xml:space="preserve">Box-on-Demand</w:t>
            </w:r>
            <w:r>
              <w:t xml:space="preserve"> </w:t>
            </w:r>
            <w:r>
              <w:t xml:space="preserve">(corte e embalagem automatizada)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Energia solar (painéis fotovoltaicos)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Honorários afundados (estudos pré-decisão —</w:t>
            </w:r>
            <w:r>
              <w:t xml:space="preserve"> </w:t>
            </w:r>
            <w:r>
              <w:rPr>
                <w:i/>
                <w:iCs/>
              </w:rPr>
              <w:t xml:space="preserve">sunk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ANC (bruto)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6.045.000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A análise de viabilidade incremental (Cap. 9) usa uma base de CAPEX de</w:t>
      </w:r>
      <w:r>
        <w:t xml:space="preserve"> </w:t>
      </w:r>
      <w:r>
        <w:rPr>
          <w:b/>
          <w:bCs/>
        </w:rPr>
        <w:t xml:space="preserve">€6.000.000</w:t>
      </w:r>
      <w:r>
        <w:t xml:space="preserve">, excluindo os €45.000 de custos afundados (já incorridos, irrelevantes para a decisão). A taxa média de depreciação ponderada reflete o peso elevado da construção civil (25 anos). A receção do subsídio PT2030 (€2.700.000) reduz o valor depreciável dos ativos pelo método da dedução à depreciação (NCRF 22), conforme o Cap. 6.</w:t>
      </w:r>
    </w:p>
    <w:p>
      <w:pPr>
        <w:pStyle w:val="FirstParagraph"/>
      </w:pPr>
      <w:r>
        <w:t xml:space="preserve">Para além do Hub, mantém-se o investimento corrente de manutenção e modernização (substituição de equipamento hidráulico por elétrico, sistemas de informação ~€70.000/ano, lojas Outlet Lisboa e</w:t>
      </w:r>
      <w:r>
        <w:t xml:space="preserve"> </w:t>
      </w:r>
      <w:r>
        <w:rPr>
          <w:i/>
          <w:iCs/>
        </w:rPr>
        <w:t xml:space="preserve">flagship</w:t>
      </w:r>
      <w:r>
        <w:t xml:space="preserve"> </w:t>
      </w:r>
      <w:r>
        <w:t xml:space="preserve">Madrid), com adições de AFT projetadas de €1.500.000 (2025), €1.500.000 (2026), €1.200.000 (2027), €1.000.000 (2028) e €800.000 (2029).</w:t>
      </w:r>
    </w:p>
    <w:p>
      <w:r>
        <w:pict>
          <v:rect style="width:0;height:1.5pt" o:hralign="center" o:hrstd="t" o:hr="t"/>
        </w:pict>
      </w:r>
    </w:p>
    <w:bookmarkEnd w:id="34"/>
    <w:bookmarkStart w:id="35" w:name="X934414eaab148f1df35d86fd3c2892a40acba59"/>
    <w:p>
      <w:pPr>
        <w:pStyle w:val="Heading2"/>
      </w:pPr>
      <w:r>
        <w:t xml:space="preserve">5.2. Investimentos em fundo de maneio e contingências</w:t>
      </w:r>
    </w:p>
    <w:p>
      <w:pPr>
        <w:pStyle w:val="FirstParagraph"/>
      </w:pPr>
      <w:r>
        <w:t xml:space="preserve">O Hub tem um</w:t>
      </w:r>
      <w:r>
        <w:t xml:space="preserve"> </w:t>
      </w:r>
      <w:r>
        <w:rPr>
          <w:b/>
          <w:bCs/>
        </w:rPr>
        <w:t xml:space="preserve">efeito líquido favorável</w:t>
      </w:r>
      <w:r>
        <w:t xml:space="preserve"> </w:t>
      </w:r>
      <w:r>
        <w:t xml:space="preserve">sobre o fundo de maneio: a maior densidade de armazenagem e a redução dos dias de inventário (DMI) libertam capital imobilizado em existências, estimando-se uma libertação faseada de</w:t>
      </w:r>
      <w:r>
        <w:t xml:space="preserve"> </w:t>
      </w:r>
      <w:r>
        <w:rPr>
          <w:b/>
          <w:bCs/>
        </w:rPr>
        <w:t xml:space="preserve">≈€1,73 M</w:t>
      </w:r>
      <w:r>
        <w:t xml:space="preserve"> </w:t>
      </w:r>
      <w:r>
        <w:t xml:space="preserve">(essencialmente em 2026). As necessidades incrementais de fundo de maneio decorrem apenas da nova atividade de serviços logísticos a terceiros (3PL), de dimensão modesta.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(€)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de manutenção inicial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46.000</w:t>
            </w:r>
          </w:p>
        </w:tc>
        <w:tc>
          <w:tcPr/>
          <w:p>
            <w:pPr>
              <w:pStyle w:val="Compact"/>
            </w:pPr>
            <w:r>
              <w:t xml:space="preserve">Peças e consumíveis dos sistemas VLM/AMR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Consumíveis de arranque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</w:pPr>
            <w:r>
              <w:t xml:space="preserve">Materiais de embalagem</w:t>
            </w:r>
            <w:r>
              <w:t xml:space="preserve"> </w:t>
            </w:r>
            <w:r>
              <w:rPr>
                <w:i/>
                <w:iCs/>
              </w:rPr>
              <w:t xml:space="preserve">Box-on-Demand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Crédito a clientes (serviços externos)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PMR 45 dias</w:t>
            </w:r>
          </w:p>
        </w:tc>
        <w:tc>
          <w:tcPr/>
          <w:p>
            <w:pPr>
              <w:pStyle w:val="Compact"/>
            </w:pPr>
            <w:r>
              <w:t xml:space="preserve">Receita de serviços 3PL desde 2028 (€300k, +25%/ano)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Crédito de fornecedores (manutenção)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PMP 30 dias</w:t>
            </w:r>
          </w:p>
        </w:tc>
        <w:tc>
          <w:tcPr/>
          <w:p>
            <w:pPr>
              <w:pStyle w:val="Compact"/>
            </w:pPr>
            <w:r>
              <w:t xml:space="preserve">Compras de manutenção ~€90.000/ano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Libertação de inventário (efeito favorável)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(1.727.156)</w:t>
            </w:r>
          </w:p>
        </w:tc>
        <w:tc>
          <w:tcPr/>
          <w:p>
            <w:pPr>
              <w:pStyle w:val="Compact"/>
            </w:pPr>
            <w:r>
              <w:t xml:space="preserve">Redução de DMI por eficiência logística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de contingência (10% do CAPEX)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600.000</w:t>
            </w:r>
          </w:p>
        </w:tc>
        <w:tc>
          <w:tcPr/>
          <w:p>
            <w:pPr>
              <w:pStyle w:val="Compact"/>
            </w:pPr>
            <w:r>
              <w:t xml:space="preserve">Risco de execução de obra e derrapagem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de tesouraria recomendada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500.000</w:t>
            </w:r>
          </w:p>
        </w:tc>
        <w:tc>
          <w:tcPr/>
          <w:p>
            <w:pPr>
              <w:pStyle w:val="Compact"/>
            </w:pPr>
            <w:r>
              <w:t xml:space="preserve">Buffer de liquidez do projeto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ronologia-de-execução"/>
    <w:p>
      <w:pPr>
        <w:pStyle w:val="Heading2"/>
      </w:pPr>
      <w:r>
        <w:t xml:space="preserve">5.3. Cronologia de execução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Estudos, projeto e licenciamento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Construção civil / reabilitação 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Software de integração (WMS/MES)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Equipamento de automação (VLM, AMR,</w:t>
            </w:r>
            <w:r>
              <w:t xml:space="preserve"> </w:t>
            </w:r>
            <w:r>
              <w:rPr>
                <w:i/>
                <w:iCs/>
              </w:rPr>
              <w:t xml:space="preserve">Box-on-Demand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WMS + MES</w:t>
            </w:r>
            <w:r>
              <w:t xml:space="preserve"> </w:t>
            </w:r>
            <w:r>
              <w:rPr>
                <w:i/>
                <w:iCs/>
              </w:rPr>
              <w:t xml:space="preserve">analytics</w:t>
            </w:r>
            <w:r>
              <w:t xml:space="preserve"> </w:t>
            </w:r>
            <w:r>
              <w:t xml:space="preserve">+ energia solar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Comissionamento e testes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Entrada em operação (T4)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Receção do subsídio PT2030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€2.700k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Operação plena / serviços 3PL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 Hub do ano (€)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caminho crítico</w:t>
      </w:r>
      <w:r>
        <w:t xml:space="preserve"> </w:t>
      </w:r>
      <w:r>
        <w:t xml:space="preserve">é a conclusão da construção civil (G1) em 2026, condição para a instalação do equipamento de automação e para a entrada em operação no 4.º trimestre de 2027. A carência de capital da dívida (2025–2027) está sincronizada com este período de investimento e</w:t>
      </w:r>
      <w:r>
        <w:t xml:space="preserve"> </w:t>
      </w:r>
      <w:r>
        <w:rPr>
          <w:i/>
          <w:iCs/>
        </w:rPr>
        <w:t xml:space="preserve">ramp-up</w:t>
      </w:r>
      <w:r>
        <w:t xml:space="preserve">, evitando pressão de tesouraria antes de o Hub gerar retorno.</w:t>
      </w:r>
    </w:p>
    <w:bookmarkEnd w:id="36"/>
    <w:bookmarkEnd w:id="37"/>
    <w:bookmarkStart w:id="41" w:name="plano-de-financiamento"/>
    <w:p>
      <w:pPr>
        <w:pStyle w:val="Heading1"/>
      </w:pPr>
      <w:r>
        <w:t xml:space="preserve">6. Plano de Financiamento</w:t>
      </w:r>
    </w:p>
    <w:p>
      <w:pPr>
        <w:pStyle w:val="FirstParagraph"/>
      </w:pPr>
      <w:r>
        <w:t xml:space="preserve">O financiamento do Hub Logístico 4.0 combina</w:t>
      </w:r>
      <w:r>
        <w:t xml:space="preserve"> </w:t>
      </w:r>
      <w:r>
        <w:rPr>
          <w:b/>
          <w:bCs/>
        </w:rPr>
        <w:t xml:space="preserve">duas fontes de capitais alheios</w:t>
      </w:r>
      <w:r>
        <w:t xml:space="preserve"> </w:t>
      </w:r>
      <w:r>
        <w:t xml:space="preserve">(€4.500.000), capitais próprios da Grestel (€1.500.000), um</w:t>
      </w:r>
      <w:r>
        <w:t xml:space="preserve"> </w:t>
      </w:r>
      <w:r>
        <w:rPr>
          <w:b/>
          <w:bCs/>
        </w:rPr>
        <w:t xml:space="preserve">subsídio a fundo perdido PT2030</w:t>
      </w:r>
      <w:r>
        <w:t xml:space="preserve"> </w:t>
      </w:r>
      <w:r>
        <w:t xml:space="preserve">(€2.700.000) e um</w:t>
      </w:r>
      <w:r>
        <w:t xml:space="preserve"> </w:t>
      </w:r>
      <w:r>
        <w:rPr>
          <w:b/>
          <w:bCs/>
        </w:rPr>
        <w:t xml:space="preserve">crédito fiscal RFAI</w:t>
      </w:r>
      <w:r>
        <w:t xml:space="preserve"> </w:t>
      </w:r>
      <w:r>
        <w:t xml:space="preserve">(€600.000). As duas tranches de dívida bancária satisfazem o requisito de, pelo menos, duas fontes de capitais alheios distintas. O subsídio PT2030 e o crédito RFAI não constituem dívida — são tratados, respetivamente, pelo método da dedução à depreciação (NCRF 22) e como crédito fiscal por dedução à coleta (CFI).</w:t>
      </w:r>
    </w:p>
    <w:p>
      <w:pPr>
        <w:pStyle w:val="BlockText"/>
      </w:pPr>
      <w:r>
        <w:rPr>
          <w:b/>
          <w:bCs/>
        </w:rPr>
        <w:t xml:space="preserve">Nota de coerência:</w:t>
      </w:r>
      <w:r>
        <w:t xml:space="preserve"> </w:t>
      </w:r>
      <w:r>
        <w:t xml:space="preserve">o financiamento do Hub é autónomo do empréstimo histórico do Grupo junto do BPI (€10,7 M, Nota 21 do R&amp;C 2024), que respeita a operações anteriores e não a este projeto.</w:t>
      </w:r>
    </w:p>
    <w:p>
      <w:r>
        <w:pict>
          <v:rect style="width:0;height:1.5pt" o:hralign="center" o:hrstd="t" o:hr="t"/>
        </w:pict>
      </w:r>
    </w:p>
    <w:bookmarkStart w:id="38" w:name="fontes-de-capitais-alheios"/>
    <w:p>
      <w:pPr>
        <w:pStyle w:val="Heading2"/>
      </w:pPr>
      <w:r>
        <w:t xml:space="preserve">6.1. Fontes de capitais alheios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267"/>
        <w:gridCol w:w="1584"/>
        <w:gridCol w:w="1584"/>
        <w:gridCol w:w="1584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Montante (€)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Taxa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Prazo (anos)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Carência</w:t>
            </w:r>
          </w:p>
        </w:tc>
        <w:tc>
          <w:tcPr/>
          <w:p>
            <w:pPr>
              <w:pStyle w:val="Compact"/>
            </w:pPr>
            <w:r>
              <w:t xml:space="preserve">Garantias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Tranche bancária CGD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4,15% fixa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2025–2027</w:t>
            </w:r>
          </w:p>
        </w:tc>
        <w:tc>
          <w:tcPr/>
          <w:p>
            <w:pPr>
              <w:pStyle w:val="Compact"/>
            </w:pPr>
            <w:r>
              <w:t xml:space="preserve">Penhor de equipamentos VLM/AMR + hipoteca do imóvel 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Linha BEI/PME (via IFD)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3,75% fixa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2025–2027</w:t>
            </w:r>
          </w:p>
        </w:tc>
        <w:tc>
          <w:tcPr/>
          <w:p>
            <w:pPr>
              <w:pStyle w:val="Compact"/>
            </w:pPr>
            <w:r>
              <w:t xml:space="preserve">Garantia mútua; elegibilidade verde/digital BEI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capitais alheios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4.500.000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4,02%</w:t>
            </w:r>
            <w:r>
              <w:t xml:space="preserve"> </w:t>
            </w:r>
            <w:r>
              <w:rPr>
                <w:i/>
                <w:iCs/>
              </w:rPr>
              <w:t xml:space="preserve">(médio)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 tranche</w:t>
      </w:r>
      <w:r>
        <w:t xml:space="preserve"> </w:t>
      </w:r>
      <w:r>
        <w:rPr>
          <w:b/>
          <w:bCs/>
        </w:rPr>
        <w:t xml:space="preserve">CGD</w:t>
      </w:r>
      <w:r>
        <w:t xml:space="preserve"> </w:t>
      </w:r>
      <w:r>
        <w:t xml:space="preserve">(€3.000k @ 4,15%) reflete uma Euribor 6M de referência (~3,5%) acrescida de um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de ~65 bp, com colateral imobiliário e cessão parcial do subsídio PT2030. A</w:t>
      </w:r>
      <w:r>
        <w:t xml:space="preserve"> </w:t>
      </w:r>
      <w:r>
        <w:rPr>
          <w:b/>
          <w:bCs/>
        </w:rPr>
        <w:t xml:space="preserve">Linha BEI/PME</w:t>
      </w:r>
      <w:r>
        <w:t xml:space="preserve"> </w:t>
      </w:r>
      <w:r>
        <w:t xml:space="preserve">(€1.500k @ 3,75%), intermediada pelo IFD, beneficia de bonificação de ~40 bp por elegibilidade nos pilares Clima e Social do BEI (energia solar, robótica AMR,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de analítica). Ambas têm carência de capital de 3 anos (2025–2027), sincronizada com o investimento e o</w:t>
      </w:r>
      <w:r>
        <w:t xml:space="preserve"> </w:t>
      </w:r>
      <w:r>
        <w:rPr>
          <w:i/>
          <w:iCs/>
        </w:rPr>
        <w:t xml:space="preserve">ramp-up</w:t>
      </w:r>
      <w:r>
        <w:t xml:space="preserve">, e amortização constante entre 2028 e 2037.</w:t>
      </w:r>
    </w:p>
    <w:p>
      <w:pPr>
        <w:pStyle w:val="BodyText"/>
      </w:pPr>
      <w:r>
        <w:rPr>
          <w:b/>
          <w:bCs/>
        </w:rPr>
        <w:t xml:space="preserve">Custo médio ponderado da dívida (Kd):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3.000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1.500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%</m:t>
              </m:r>
            </m:num>
            <m:den>
              <m:r>
                <m:t>4.500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02</m:t>
          </m:r>
          <m:r>
            <m:rPr>
              <m:sty m:val="p"/>
            </m:rPr>
            <m:t>%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t>d</m:t>
              </m:r>
            </m:sub>
            <m:sup>
              <m:r>
                <m:rPr>
                  <m:nor/>
                  <m:sty m:val="p"/>
                </m:rPr>
                <m:t>after-tax</m:t>
              </m:r>
            </m:sup>
          </m:sSub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02</m:t>
          </m:r>
          <m:r>
            <m:rPr>
              <m:sty m:val="p"/>
            </m:rPr>
            <m:t>%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235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,</m:t>
          </m:r>
          <m:r>
            <m:t>08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Apoios públicos complementares (não constituem capital alheio):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Subsídio PT2030 — FEDER (€2.700.000):</w:t>
      </w:r>
      <w:r>
        <w:t xml:space="preserve"> </w:t>
      </w:r>
      <w:r>
        <w:t xml:space="preserve">45% do CAPEX elegível de €6.000k, ao abrigo do Sistema de Incentivos à Qualificação das PME (região assistida Centro/Aveiro). Reconhecido pela NCRF 22 (dedução à depreciação), com entrada de caixa esperada em</w:t>
      </w:r>
      <w:r>
        <w:t xml:space="preserve"> </w:t>
      </w:r>
      <w:r>
        <w:rPr>
          <w:b/>
          <w:bCs/>
        </w:rPr>
        <w:t xml:space="preserve">2027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Crédito fiscal RFAI (€600.000):</w:t>
      </w:r>
      <w:r>
        <w:t xml:space="preserve"> </w:t>
      </w:r>
      <w:r>
        <w:t xml:space="preserve">10% do CAPEX elegível (CFI, região assistida), dedutível até 50% da coleta de IRC por ano, com</w:t>
      </w:r>
      <w:r>
        <w:t xml:space="preserve"> </w:t>
      </w:r>
      <w:r>
        <w:rPr>
          <w:i/>
          <w:iCs/>
        </w:rPr>
        <w:t xml:space="preserve">carry-forward</w:t>
      </w:r>
      <w:r>
        <w:t xml:space="preserve"> </w:t>
      </w:r>
      <w:r>
        <w:t xml:space="preserve">de 10 anos a partir de 2028.</w:t>
      </w:r>
    </w:p>
    <w:p>
      <w:r>
        <w:pict>
          <v:rect style="width:0;height:1.5pt" o:hralign="center" o:hrstd="t" o:hr="t"/>
        </w:pict>
      </w:r>
    </w:p>
    <w:bookmarkEnd w:id="38"/>
    <w:bookmarkStart w:id="39" w:name="capitais-próprios"/>
    <w:p>
      <w:pPr>
        <w:pStyle w:val="Heading2"/>
      </w:pPr>
      <w:r>
        <w:t xml:space="preserve">6.2. Capitais próprios</w:t>
      </w:r>
    </w:p>
    <w:p>
      <w:pPr>
        <w:pStyle w:val="FirstParagraph"/>
      </w:pPr>
      <w:r>
        <w:t xml:space="preserve">O capital próprio do projeto é integralmente fornecido pela Grestel (empresa-mãe), sem recurso a investidores externos, suportado pela capacidade de autofinanciamento (resultado líquido retido e reservas). A estrutura de financiamento do CAPEX é de</w:t>
      </w:r>
      <w:r>
        <w:t xml:space="preserve"> </w:t>
      </w:r>
      <w:r>
        <w:rPr>
          <w:b/>
          <w:bCs/>
        </w:rPr>
        <w:t xml:space="preserve">75% dívida / 25% capital próprio</w:t>
      </w:r>
      <w:r>
        <w:t xml:space="preserve"> </w:t>
      </w:r>
      <w:r>
        <w:t xml:space="preserve">(D/E = 3,0).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Montante (€)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do CAPEX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próprio (</w:t>
            </w:r>
            <w:r>
              <w:rPr>
                <w:i/>
                <w:iCs/>
              </w:rPr>
              <w:t xml:space="preserve">equity</w:t>
            </w:r>
            <w:r>
              <w:t xml:space="preserve"> </w:t>
            </w:r>
            <w:r>
              <w:t xml:space="preserve">Grestel)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Dívida bancária (CGD + BEI)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financiamento (CAPEX)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6.000.000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 do capital próprio (Ke) e WACC.</w:t>
      </w:r>
      <w:r>
        <w:t xml:space="preserve"> </w:t>
      </w:r>
      <w:r>
        <w:t xml:space="preserve">O custo do capital próprio do projeto foi estimado pelo CAPM, com</w:t>
      </w:r>
      <w:r>
        <w:t xml:space="preserve"> </w:t>
      </w:r>
      <w:r>
        <w:rPr>
          <w:i/>
          <w:iCs/>
        </w:rPr>
        <w:t xml:space="preserve">beta</w:t>
      </w:r>
      <w:r>
        <w:t xml:space="preserve"> </w:t>
      </w:r>
      <w:r>
        <w:t xml:space="preserve">realavancado para a estrutura de 75% de dívida (Rf ≈ 3,1%; prémio de risco de mercado ≈ 5,78%; βL ≈ 2,34), resultando num</w:t>
      </w:r>
      <w:r>
        <w:t xml:space="preserve"> </w:t>
      </w:r>
      <w:r>
        <w:rPr>
          <w:b/>
          <w:bCs/>
        </w:rPr>
        <w:t xml:space="preserve">Ke ≈ 16,6%</w:t>
      </w:r>
      <w:r>
        <w:t xml:space="preserve">. Combinando Ke (25%) e Kd</w:t>
      </w:r>
      <w:r>
        <w:t xml:space="preserve"> </w:t>
      </w:r>
      <w:r>
        <w:rPr>
          <w:i/>
          <w:iCs/>
        </w:rPr>
        <w:t xml:space="preserve">after-tax</w:t>
      </w:r>
      <w:r>
        <w:t xml:space="preserve"> </w:t>
      </w:r>
      <w:r>
        <w:t xml:space="preserve">≈ 3,1% (75%), obtém-se um</w:t>
      </w:r>
      <w:r>
        <w:t xml:space="preserve"> </w:t>
      </w:r>
      <w:r>
        <w:rPr>
          <w:b/>
          <w:bCs/>
        </w:rPr>
        <w:t xml:space="preserve">WACC ≈ 6,46%</w:t>
      </w:r>
      <w:r>
        <w:t xml:space="preserve">, taxa de desconto aplicada aos</w:t>
      </w:r>
      <w:r>
        <w:t xml:space="preserve"> </w:t>
      </w:r>
      <w:r>
        <w:rPr>
          <w:i/>
          <w:iCs/>
        </w:rPr>
        <w:t xml:space="preserve">cash-flows</w:t>
      </w:r>
      <w:r>
        <w:t xml:space="preserve"> </w:t>
      </w:r>
      <w:r>
        <w:t xml:space="preserve">do Hub no cenário base. O modelo utiliza ainda um</w:t>
      </w:r>
      <w:r>
        <w:t xml:space="preserve"> </w:t>
      </w:r>
      <w:r>
        <w:rPr>
          <w:b/>
          <w:bCs/>
        </w:rPr>
        <w:t xml:space="preserve">WACC dinâmico (Miles-Ezzell)</w:t>
      </w:r>
      <w:r>
        <w:t xml:space="preserve">, crescente à medida que a dívida é amortizada e o peso do capital próprio aumenta, penalizando os fluxos mais tardios (ver Cap. 9).</w:t>
      </w:r>
    </w:p>
    <w:p>
      <w:r>
        <w:pict>
          <v:rect style="width:0;height:1.5pt" o:hralign="center" o:hrstd="t" o:hr="t"/>
        </w:pict>
      </w:r>
    </w:p>
    <w:bookmarkEnd w:id="39"/>
    <w:bookmarkStart w:id="40" w:name="mapa-de-serviço-da-dívida"/>
    <w:p>
      <w:pPr>
        <w:pStyle w:val="Heading2"/>
      </w:pPr>
      <w:r>
        <w:t xml:space="preserve">6.3. Mapa de serviço da dívida</w:t>
      </w:r>
    </w:p>
    <w:p>
      <w:pPr>
        <w:pStyle w:val="FirstParagraph"/>
      </w:pPr>
      <w:r>
        <w:t xml:space="preserve">Mapa consolidado das duas tranches para o horizonte de projeção (valores em €; detalhe completo 2025–2037 no Anexo III):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Capital em dívida (€)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Amortização (€)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Juros (€)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Prestação total (€)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630.750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612.700</w:t>
            </w:r>
          </w:p>
        </w:tc>
      </w:tr>
    </w:tbl>
    <w:p>
      <w:pPr>
        <w:pStyle w:val="BodyText"/>
      </w:pPr>
      <w:r>
        <w:t xml:space="preserve">Durante a carência (2025–2027), o serviço limita-se aos juros (€180.750/ano). O</w:t>
      </w:r>
      <w:r>
        <w:t xml:space="preserve"> </w:t>
      </w:r>
      <w:r>
        <w:rPr>
          <w:b/>
          <w:bCs/>
        </w:rPr>
        <w:t xml:space="preserve">pico do serviço da dívida ocorre em 2028</w:t>
      </w:r>
      <w:r>
        <w:t xml:space="preserve"> </w:t>
      </w:r>
      <w:r>
        <w:t xml:space="preserve">(€630.750), primeiro ano de amortização de capital, decrescendo progressivamente. A dívida extingue-se em 2037, três anos após o horizonte de avaliação. O</w:t>
      </w:r>
      <w:r>
        <w:t xml:space="preserve"> </w:t>
      </w:r>
      <w:r>
        <w:rPr>
          <w:i/>
          <w:iCs/>
        </w:rPr>
        <w:t xml:space="preserve">Debt Service Coverage Ratio</w:t>
      </w:r>
      <w:r>
        <w:t xml:space="preserve"> </w:t>
      </w:r>
      <w:r>
        <w:t xml:space="preserve">(DSCR) mantém-se acima de 1,0× mesmo no pior ano (2028 ≈ 1,1×), suportado pelo EBITDA incremental do Hub, pela reserva de caixa do subsídio PT2030 recebido em 2027 e pelo crédito RFAI. Esta capacidade de serviço é coerente com os</w:t>
      </w:r>
      <w:r>
        <w:t xml:space="preserve"> </w:t>
      </w:r>
      <w:r>
        <w:rPr>
          <w:i/>
          <w:iCs/>
        </w:rPr>
        <w:t xml:space="preserve">cash-flows</w:t>
      </w:r>
      <w:r>
        <w:t xml:space="preserve"> </w:t>
      </w:r>
      <w:r>
        <w:t xml:space="preserve">operacionais projetados no Cap. 7 (fluxo operacional de €4,97 M em 2025, crescente para €6,67 M em 2029) e com a desalavancagem do rácio Dívida Líquida/EBITDA de 4× (2024) para 1× (2029).</w:t>
      </w:r>
    </w:p>
    <w:bookmarkEnd w:id="40"/>
    <w:bookmarkEnd w:id="41"/>
    <w:bookmarkStart w:id="55" w:name="projeções-económicas-e-financeiras"/>
    <w:p>
      <w:pPr>
        <w:pStyle w:val="Heading1"/>
      </w:pPr>
      <w:r>
        <w:t xml:space="preserve">7. Projeções Económicas e Financeiras</w:t>
      </w:r>
    </w:p>
    <w:p>
      <w:pPr>
        <w:pStyle w:val="FirstParagraph"/>
      </w:pPr>
      <w:r>
        <w:t xml:space="preserve">As projeções para 2025–2029 resultam do modelo financeiro do Grupo, que articula os pressupostos das secções 7.1.1–7.1.9 com o plano de investimentos (Cap. 5), o plano de financiamento (Cap. 6) e o mapa de serviço da dívida. Salvo indicação em contrário, os valores apresentados correspondem ao</w:t>
      </w:r>
      <w:r>
        <w:t xml:space="preserve"> </w:t>
      </w:r>
      <w:r>
        <w:rPr>
          <w:b/>
          <w:bCs/>
        </w:rPr>
        <w:t xml:space="preserve">cenário COM Hub</w:t>
      </w:r>
      <w:r>
        <w:t xml:space="preserve">. O ano-base (Ano 0) é o exercício histórico de 2024. Os mapas completos constam dos Anexos II–IV.</w:t>
      </w:r>
    </w:p>
    <w:p>
      <w:r>
        <w:pict>
          <v:rect style="width:0;height:1.5pt" o:hralign="center" o:hrstd="t" o:hr="t"/>
        </w:pict>
      </w:r>
    </w:p>
    <w:bookmarkStart w:id="51" w:name="pressupostos-das-projeções"/>
    <w:p>
      <w:pPr>
        <w:pStyle w:val="Heading2"/>
      </w:pPr>
      <w:r>
        <w:t xml:space="preserve">7.1. Pressupostos das projeções</w:t>
      </w:r>
    </w:p>
    <w:bookmarkStart w:id="42" w:name="pressupostos-macroeconómicos-e-setoriais"/>
    <w:p>
      <w:pPr>
        <w:pStyle w:val="Heading3"/>
      </w:pPr>
      <w:r>
        <w:t xml:space="preserve">7.1.1. Pressupostos macroeconómicos e setoriais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277"/>
        <w:gridCol w:w="1277"/>
        <w:gridCol w:w="1277"/>
        <w:gridCol w:w="1277"/>
        <w:gridCol w:w="1277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Inflação HICP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  <w:r>
              <w:t xml:space="preserve">BCE / Banco de Portugal (2024 real: 2,1%)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Crescimento do PIB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</w:pPr>
            <w:r>
              <w:t xml:space="preserve">Banco de Portugal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Euribor 12M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BCE — taxa indicativa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Câmbio EUR/USD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1,05</w:t>
            </w:r>
          </w:p>
        </w:tc>
        <w:tc>
          <w:tcPr/>
          <w:p>
            <w:pPr>
              <w:pStyle w:val="Compact"/>
            </w:pPr>
            <w:r>
              <w:t xml:space="preserve">BCE — Nota 5 R&amp;C24 (60% vendas em USD)</w:t>
            </w:r>
          </w:p>
        </w:tc>
      </w:tr>
    </w:tbl>
    <w:bookmarkEnd w:id="42"/>
    <w:bookmarkStart w:id="43" w:name="X5e65039b7750e368928240b238fee9239a1885b"/>
    <w:p>
      <w:pPr>
        <w:pStyle w:val="Heading3"/>
      </w:pPr>
      <w:r>
        <w:t xml:space="preserve">7.1.2. Pressupostos de vendas — desagregação por produtos (OE2)</w:t>
      </w:r>
    </w:p>
    <w:p>
      <w:pPr>
        <w:pStyle w:val="FirstParagraph"/>
      </w:pPr>
      <w:r>
        <w:t xml:space="preserve">O volume de negócios desagrega-se em</w:t>
      </w:r>
      <w:r>
        <w:t xml:space="preserve"> </w:t>
      </w:r>
      <w:r>
        <w:rPr>
          <w:b/>
          <w:bCs/>
        </w:rPr>
        <w:t xml:space="preserve">3 famílias de produto (PAIC)</w:t>
      </w:r>
      <w:r>
        <w:t xml:space="preserve">: COSTA NOVA (~50%), Casafina (~30%) e</w:t>
      </w:r>
      <w:r>
        <w:t xml:space="preserve"> </w:t>
      </w:r>
      <w:r>
        <w:rPr>
          <w:i/>
          <w:iCs/>
        </w:rPr>
        <w:t xml:space="preserve">Private Label</w:t>
      </w:r>
      <w:r>
        <w:t xml:space="preserve"> </w:t>
      </w:r>
      <w:r>
        <w:t xml:space="preserve">(~20%). O crescimento das quantidades assume +4%/ano em base, elevável até +5% com o efeito do Hub na capacidade de servir os canais digital e de hotelaria; os preços médios são indexados ao HICP (~+2%/ano). A repartição geográfica evolui de ~17% mercado interno / ~83% externo (2024) para ~20% / ~80% em 2029 (objetivo de diversificação). O volume de negócios projetado cresce de</w:t>
      </w:r>
      <w:r>
        <w:t xml:space="preserve"> </w:t>
      </w:r>
      <w:r>
        <w:rPr>
          <w:b/>
          <w:bCs/>
        </w:rPr>
        <w:t xml:space="preserve">€37,88 M (2024) para €53,82 M (2029)</w:t>
      </w:r>
      <w:r>
        <w:t xml:space="preserve"> </w:t>
      </w:r>
      <w:r>
        <w:t xml:space="preserve">— ver 7.2 e Anexo II.</w:t>
      </w:r>
    </w:p>
    <w:bookmarkEnd w:id="43"/>
    <w:bookmarkStart w:id="44" w:name="Xfaacd47ba58f945ead4bf6c38492de21b26080e"/>
    <w:p>
      <w:pPr>
        <w:pStyle w:val="Heading3"/>
      </w:pPr>
      <w:r>
        <w:t xml:space="preserve">7.1.3. Pressupostos de consumos de matérias e custo industrial (OE2)</w:t>
      </w:r>
    </w:p>
    <w:p>
      <w:pPr>
        <w:pStyle w:val="FirstParagraph"/>
      </w:pPr>
      <w:r>
        <w:t xml:space="preserve">O CMVMC de 2024 (€15.298.208) desagrega-se em</w:t>
      </w:r>
      <w:r>
        <w:t xml:space="preserve"> </w:t>
      </w:r>
      <w:r>
        <w:rPr>
          <w:b/>
          <w:bCs/>
        </w:rPr>
        <w:t xml:space="preserve">4 categorias de matérias (MPSC)</w:t>
      </w:r>
      <w:r>
        <w:t xml:space="preserve">: grés branco e matérias cerâmicas de base (~55%), vidrados e decoração (~20%), moldes/ferramentas e consumíveis (~15%) e embalagens (~10%). O CMVMC evolui com o crescimento das quantidades acrescido de uma componente de preço (HICP + ~1%), mantendo uma margem bruta estável em torno de 60% do volume de negócios. O DMI de referência situa-se em ~90 dias para os produtos.</w:t>
      </w:r>
    </w:p>
    <w:bookmarkEnd w:id="44"/>
    <w:bookmarkStart w:id="45" w:name="pressupostos-de-gastos-operacionais"/>
    <w:p>
      <w:pPr>
        <w:pStyle w:val="Heading3"/>
      </w:pPr>
      <w:r>
        <w:t xml:space="preserve">7.1.4. Pressupostos de gastos operacionais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 (€)</w:t>
            </w:r>
          </w:p>
        </w:tc>
        <w:tc>
          <w:tcPr/>
          <w:p>
            <w:pPr>
              <w:pStyle w:val="Compact"/>
            </w:pPr>
            <w:r>
              <w:t xml:space="preserve">Critério de evolução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7.463.107</w:t>
            </w:r>
          </w:p>
        </w:tc>
        <w:tc>
          <w:tcPr/>
          <w:p>
            <w:pPr>
              <w:pStyle w:val="Compact"/>
            </w:pPr>
            <w:r>
              <w:t xml:space="preserve">Crescimento real ~0% (ganhos de eficiência compensam a inflação); ajuste líquido do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Gastos com pessoal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14.371.358</w:t>
            </w:r>
          </w:p>
        </w:tc>
        <w:tc>
          <w:tcPr/>
          <w:p>
            <w:pPr>
              <w:pStyle w:val="Compact"/>
            </w:pPr>
            <w:r>
              <w:t xml:space="preserve">+2%/ano (2025–2027) e +1,5%/ano (2028–2029), CCT do setor cerâmico; quadro estável (automação)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Outros gastos operacionais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Indexados à atividade;</w:t>
            </w:r>
            <w:r>
              <w:t xml:space="preserve"> </w:t>
            </w:r>
            <w:r>
              <w:rPr>
                <w:i/>
                <w:iCs/>
              </w:rPr>
              <w:t xml:space="preserve">opex</w:t>
            </w:r>
            <w:r>
              <w:t xml:space="preserve"> </w:t>
            </w:r>
            <w:r>
              <w:t xml:space="preserve">incremental do Hub ~€225.000/ano</w:t>
            </w:r>
          </w:p>
        </w:tc>
      </w:tr>
    </w:tbl>
    <w:bookmarkEnd w:id="45"/>
    <w:bookmarkStart w:id="46" w:name="Xebfcc891fb8377dbe6c0726bfbb04637278a221"/>
    <w:p>
      <w:pPr>
        <w:pStyle w:val="Heading3"/>
      </w:pPr>
      <w:r>
        <w:t xml:space="preserve">7.1.5. Pressupostos de financiamento e custo do capital (OE1)</w:t>
      </w:r>
    </w:p>
    <w:p>
      <w:pPr>
        <w:pStyle w:val="FirstParagraph"/>
      </w:pPr>
      <w:r>
        <w:t xml:space="preserve">O projeto Hub é avaliado a um</w:t>
      </w:r>
      <w:r>
        <w:t xml:space="preserve"> </w:t>
      </w:r>
      <w:r>
        <w:rPr>
          <w:b/>
          <w:bCs/>
        </w:rPr>
        <w:t xml:space="preserve">WACC de 6,46%</w:t>
      </w:r>
      <w:r>
        <w:t xml:space="preserve"> </w:t>
      </w:r>
      <w:r>
        <w:t xml:space="preserve">(taxa de desconto dos</w:t>
      </w:r>
      <w:r>
        <w:t xml:space="preserve"> </w:t>
      </w:r>
      <w:r>
        <w:rPr>
          <w:i/>
          <w:iCs/>
        </w:rPr>
        <w:t xml:space="preserve">cash-flows</w:t>
      </w:r>
      <w:r>
        <w:t xml:space="preserve"> </w:t>
      </w:r>
      <w:r>
        <w:t xml:space="preserve">no cenário base), resultante de Ke ≈ 16,6% (CAPM,</w:t>
      </w:r>
      <w:r>
        <w:t xml:space="preserve"> </w:t>
      </w:r>
      <w:r>
        <w:rPr>
          <w:i/>
          <w:iCs/>
        </w:rPr>
        <w:t xml:space="preserve">beta</w:t>
      </w:r>
      <w:r>
        <w:t xml:space="preserve"> </w:t>
      </w:r>
      <w:r>
        <w:t xml:space="preserve">realavancado para a estrutura de 75% de dívida; Rf ≈ 3,1%, prémio de risco ≈ 5,78%) e de Kd</w:t>
      </w:r>
      <w:r>
        <w:t xml:space="preserve"> </w:t>
      </w:r>
      <w:r>
        <w:rPr>
          <w:i/>
          <w:iCs/>
        </w:rPr>
        <w:t xml:space="preserve">after-tax</w:t>
      </w:r>
      <w:r>
        <w:t xml:space="preserve"> </w:t>
      </w:r>
      <w:r>
        <w:t xml:space="preserve">≈ 3,1% (custo médio das duas tranches de 4,02%, líquido de imposto). A estrutura de financiamento do CAPEX é 75% dívida / 25% capital próprio (ver Cap. 6). É aplicado adicionalmente um WACC dinâmico (Miles-Ezzell) na análise de sensibilidade.</w:t>
      </w:r>
    </w:p>
    <w:bookmarkEnd w:id="46"/>
    <w:bookmarkStart w:id="47" w:name="pressupostos-fiscais"/>
    <w:p>
      <w:pPr>
        <w:pStyle w:val="Heading3"/>
      </w:pPr>
      <w:r>
        <w:t xml:space="preserve">7.1.6. Pressupostos fiscais</w:t>
      </w:r>
    </w:p>
    <w:p>
      <w:pPr>
        <w:pStyle w:val="FirstParagraph"/>
      </w:pPr>
      <w:r>
        <w:t xml:space="preserve">A taxa nominal de IRC é de 21%, acrescida de derrama municipal de 1,5% (Vagos) e, para lucros superiores a €1,5 M, de derrama estadual. O</w:t>
      </w:r>
      <w:r>
        <w:t xml:space="preserve"> </w:t>
      </w:r>
      <w:r>
        <w:rPr>
          <w:b/>
          <w:bCs/>
        </w:rPr>
        <w:t xml:space="preserve">projeto Hub é avaliado a uma taxa marginal combinada de 23,5%</w:t>
      </w:r>
      <w:r>
        <w:t xml:space="preserve">. A taxa efetiva consolidada evolui de 8,4% (2024, beneficiando de rendimentos não tributáveis e incentivos) para ~20,2% (2029), à medida que se normaliza a tributação. Os benefícios fiscais ao investimento incluem</w:t>
      </w:r>
      <w:r>
        <w:t xml:space="preserve"> </w:t>
      </w:r>
      <w:r>
        <w:rPr>
          <w:b/>
          <w:bCs/>
        </w:rPr>
        <w:t xml:space="preserve">SIFIDE II</w:t>
      </w:r>
      <w:r>
        <w:t xml:space="preserve"> </w:t>
      </w:r>
      <w:r>
        <w:t xml:space="preserve">(I&amp;D),</w:t>
      </w:r>
      <w:r>
        <w:t xml:space="preserve"> </w:t>
      </w:r>
      <w:r>
        <w:rPr>
          <w:b/>
          <w:bCs/>
        </w:rPr>
        <w:t xml:space="preserve">RFAI</w:t>
      </w:r>
      <w:r>
        <w:t xml:space="preserve"> </w:t>
      </w:r>
      <w:r>
        <w:t xml:space="preserve">(€600k associado ao Hub), DLRR e o Incentivo à Capitalização das Empresas.</w:t>
      </w:r>
    </w:p>
    <w:bookmarkEnd w:id="47"/>
    <w:bookmarkStart w:id="48" w:name="pressupostos-do-plano-de-investimentos"/>
    <w:p>
      <w:pPr>
        <w:pStyle w:val="Heading3"/>
      </w:pPr>
      <w:r>
        <w:t xml:space="preserve">7.1.7. Pressupostos do plano de investimentos</w:t>
      </w:r>
    </w:p>
    <w:p>
      <w:pPr>
        <w:pStyle w:val="FirstParagraph"/>
      </w:pPr>
      <w:r>
        <w:t xml:space="preserve">Remete-se para o Cap. 5: CAPEX do Hub de €6,0 M (base de análise), repartido por 2025 (€2.850k) e 2026 (€3.150k), com nove</w:t>
      </w:r>
      <w:r>
        <w:t xml:space="preserve"> </w:t>
      </w:r>
      <w:r>
        <w:rPr>
          <w:i/>
          <w:iCs/>
        </w:rPr>
        <w:t xml:space="preserve">pools</w:t>
      </w:r>
      <w:r>
        <w:t xml:space="preserve"> </w:t>
      </w:r>
      <w:r>
        <w:t xml:space="preserve">de depreciação (construção 25 anos; automação 5–8 anos;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3–4 anos) e juros capitalizados (NCRF 10). O subsídio PT2030 reduz o valor depreciável (NCRF 22). As depreciações projetadas (€2,11 M–€2,83 M/ano) são coerentes com estas vidas úteis.</w:t>
      </w:r>
    </w:p>
    <w:bookmarkEnd w:id="48"/>
    <w:bookmarkStart w:id="49" w:name="Xcf4224dd9a5a8ba6544b7d054baee2605038371"/>
    <w:p>
      <w:pPr>
        <w:pStyle w:val="Heading3"/>
      </w:pPr>
      <w:r>
        <w:t xml:space="preserve">7.1.8. Pressupostos do modelo de controlo de gestão (OE3)</w:t>
      </w:r>
    </w:p>
    <w:p>
      <w:pPr>
        <w:pStyle w:val="FirstParagraph"/>
      </w:pPr>
      <w:r>
        <w:t xml:space="preserve">O controlo de gestão assenta na comparação orçamento</w:t>
      </w:r>
      <w:r>
        <w:t xml:space="preserve"> </w:t>
      </w:r>
      <w:r>
        <w:rPr>
          <w:i/>
          <w:iCs/>
        </w:rPr>
        <w:t xml:space="preserve">vs.</w:t>
      </w:r>
      <w:r>
        <w:t xml:space="preserve"> </w:t>
      </w:r>
      <w:r>
        <w:t xml:space="preserve">realizado (mensal para volume de negócios e margens; trimestral para custos de estrutura; anual para</w:t>
      </w:r>
      <w:r>
        <w:t xml:space="preserve"> </w:t>
      </w:r>
      <w:r>
        <w:rPr>
          <w:i/>
          <w:iCs/>
        </w:rPr>
        <w:t xml:space="preserve">cash-flow</w:t>
      </w:r>
      <w:r>
        <w:t xml:space="preserve"> </w:t>
      </w:r>
      <w:r>
        <w:t xml:space="preserve">e rácios), com centros de custo por área funcional e imputação de custos indiretos por canal e mercado. Os cenários de teste (Cap. 9.4) contemplam variações de ±10% nas vendas externas, ±5% nas quantidades e −3 p.p. na margem bruta.</w:t>
      </w:r>
    </w:p>
    <w:bookmarkEnd w:id="49"/>
    <w:bookmarkStart w:id="50" w:name="X96b99b773dae06050c44d93e4022a76821318e2"/>
    <w:p>
      <w:pPr>
        <w:pStyle w:val="Heading3"/>
      </w:pPr>
      <w:r>
        <w:t xml:space="preserve">7.1.9. Pressupostos específicos da ideia inovadora (M1/M6)</w:t>
      </w:r>
    </w:p>
    <w:p>
      <w:pPr>
        <w:pStyle w:val="FirstParagraph"/>
      </w:pPr>
      <w:r>
        <w:t xml:space="preserve">O Hub assume uma</w:t>
      </w:r>
      <w:r>
        <w:t xml:space="preserve"> </w:t>
      </w:r>
      <w:r>
        <w:rPr>
          <w:b/>
          <w:bCs/>
        </w:rPr>
        <w:t xml:space="preserve">curva de adoção (</w:t>
      </w:r>
      <w:r>
        <w:rPr>
          <w:b/>
          <w:bCs/>
          <w:i/>
          <w:iCs/>
        </w:rPr>
        <w:t xml:space="preserve">ramp-up</w:t>
      </w:r>
      <w:r>
        <w:rPr>
          <w:b/>
          <w:bCs/>
        </w:rPr>
        <w:t xml:space="preserve">)</w:t>
      </w:r>
      <w:r>
        <w:t xml:space="preserve"> </w:t>
      </w:r>
      <w:r>
        <w:t xml:space="preserve">de 20% (2027), 40% (2028) e 70%→100% (2029+), benefícios operacionais recorrentes de ~€280k/ano (poupança operacional ~€440k −</w:t>
      </w:r>
      <w:r>
        <w:t xml:space="preserve"> </w:t>
      </w:r>
      <w:r>
        <w:rPr>
          <w:i/>
          <w:iCs/>
        </w:rPr>
        <w:t xml:space="preserve">opex</w:t>
      </w:r>
      <w:r>
        <w:t xml:space="preserve"> </w:t>
      </w:r>
      <w:r>
        <w:t xml:space="preserve">incremental ~€225k + redução de quebras ~€65k), libertação de inventário de ~€1,73 M (2026) por redução do DMI, e receitas incrementais B2C/3PL com margem premium. A quota-alvo é de 3–5% do mercado logístico/</w:t>
      </w:r>
      <w:r>
        <w:rPr>
          <w:i/>
          <w:iCs/>
        </w:rPr>
        <w:t xml:space="preserve">hospitality</w:t>
      </w:r>
      <w:r>
        <w:t xml:space="preserve"> </w:t>
      </w:r>
      <w:r>
        <w:t xml:space="preserve">nacional e europeu.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emonstração-dos-resultados-comparativa"/>
    <w:p>
      <w:pPr>
        <w:pStyle w:val="Heading2"/>
      </w:pPr>
      <w:r>
        <w:t xml:space="preserve">7.2. Demonstração dos resultados comparativa</w:t>
      </w:r>
    </w:p>
    <w:p>
      <w:pPr>
        <w:pStyle w:val="FirstParagraph"/>
      </w:pPr>
      <w:r>
        <w:t xml:space="preserve">Demonstração de resultados projetada — cenário COM Hub (valores em €):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de negócios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37.884.116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42.051.023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44.816.425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47.676.576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50.834.140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53.815.242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CMVMC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(15.298.208)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(16.393.138)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(17.636.903)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(18.869.948)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(20.113.362)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(21.371.169)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(7.463.107)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(8.159.176)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(8.489.783)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(8.746.713)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(9.178.793)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(9.632.089)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Gastos com pessoal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(14.371.358)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(15.077.003)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(15.439.924)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(16.121.065)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(16.761.782)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(17.744.310)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4.149.679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5.918.940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7.270.495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8.733.609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9.716.153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10.126.617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Depreciações/amortizações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(2.168.715)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(2.108.251)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(2.827.337)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(2.741.674)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(2.614.381)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(2.405.268)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1.980.964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3.810.689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4.443.158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5.991.935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7.101.773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7.721.349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Juros e gastos financeiros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(528.161)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(468.191)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(448.391)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(440.458)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(388.317)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(320.073)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antes de impostos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1.517.481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3.407.176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4.061.062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5.619.428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6.834.408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7.603.050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(127.272)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(345.528)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(712.146)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(1.074.972)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(1.358.856)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(1.537.809)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líquido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1.390.209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3.061.648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3.348.915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4.544.456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5.475.552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6.065.240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Impacto diferencial do Hub (COM − SEM Hub):</w:t>
      </w:r>
      <w:r>
        <w:t xml:space="preserve"> </w:t>
      </w:r>
      <w:r>
        <w:t xml:space="preserve">o efeito é ligeiramente negativo no EBIT de 2026 (−€144k, depreciação que precede os benefícios), tornando-se fortemente positivo a partir de 2027. Em 2029 o Hub adiciona</w:t>
      </w:r>
      <w:r>
        <w:t xml:space="preserve"> </w:t>
      </w:r>
      <w:r>
        <w:rPr>
          <w:b/>
          <w:bCs/>
        </w:rPr>
        <w:t xml:space="preserve">+€2,82 M de EBITDA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+€1,69 M de resultado líquido</w:t>
      </w:r>
      <w:r>
        <w:t xml:space="preserve"> </w:t>
      </w:r>
      <w:r>
        <w:t xml:space="preserve">(≈ +39% face ao cenário sem Hub). A margem EBITDA sobe de ~14% (sem Hub) para</w:t>
      </w:r>
      <w:r>
        <w:t xml:space="preserve"> </w:t>
      </w:r>
      <w:r>
        <w:rPr>
          <w:b/>
          <w:bCs/>
        </w:rPr>
        <w:t xml:space="preserve">18,8% (com Hub)</w:t>
      </w:r>
      <w:r>
        <w:t xml:space="preserve"> </w:t>
      </w:r>
      <w:r>
        <w:t xml:space="preserve">em regime de cruzeiro.</w:t>
      </w:r>
    </w:p>
    <w:p>
      <w:r>
        <w:pict>
          <v:rect style="width:0;height:1.5pt" o:hralign="center" o:hrstd="t" o:hr="t"/>
        </w:pict>
      </w:r>
    </w:p>
    <w:bookmarkEnd w:id="52"/>
    <w:bookmarkStart w:id="53" w:name="Xd46574d1ab0704ba8ba91e8ff6d9a585fe99639"/>
    <w:p>
      <w:pPr>
        <w:pStyle w:val="Heading2"/>
      </w:pPr>
      <w:r>
        <w:t xml:space="preserve">7.3. Balanços comparativos e balanço funcional</w:t>
      </w:r>
    </w:p>
    <w:p>
      <w:pPr>
        <w:pStyle w:val="FirstParagraph"/>
      </w:pPr>
      <w:r>
        <w:t xml:space="preserve">Balanço projetado — cenário COM Hub (valores em €):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 não corrente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17.812.238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20.520.048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22.804.226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21.528.308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20.164.866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18.795.853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</w:t>
            </w:r>
            <w:r>
              <w:rPr>
                <w:i/>
                <w:iCs/>
              </w:rPr>
              <w:t xml:space="preserve">do qual AFT líquido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12.466.455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14.864.058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16.921.418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15.446.901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13.906.246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12.375.959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 corrente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22.446.527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22.903.470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22.612.578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26.838.634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30.981.711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35.646.216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</w:t>
            </w:r>
            <w:r>
              <w:rPr>
                <w:i/>
                <w:iCs/>
              </w:rPr>
              <w:t xml:space="preserve">do qual inventários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13.061.556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13.180.157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12.367.913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13.182.084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14.046.031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14.962.824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</w:t>
            </w:r>
            <w:r>
              <w:rPr>
                <w:i/>
                <w:iCs/>
              </w:rPr>
              <w:t xml:space="preserve">do qual caixa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1.907.063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2.033.366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2.152.610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do ativo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40.258.766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43.423.519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45.416.804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48.366.942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51.146.577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54.442.069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próprio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12.199.666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15.261.314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17.997.900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21.872.573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26.439.234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31.409.364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Empréstimos (NC + 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17.733.814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16.336.588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13.372.852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11.499.319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9.325.407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7.312.500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Subsídio PT2030 diferido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2.388.229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2.076.458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Restante passivo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10.325.286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11.825.617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14.046.052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12.606.821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13.305.478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13.926.269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CP + passivo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40.258.766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43.423.519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45.416.804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48.366.942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51.146.577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54.442.069</w:t>
            </w:r>
          </w:p>
        </w:tc>
      </w:tr>
    </w:tbl>
    <w:p>
      <w:pPr>
        <w:pStyle w:val="BodyText"/>
      </w:pPr>
      <w:r>
        <w:rPr>
          <w:b/>
          <w:bCs/>
        </w:rPr>
        <w:t xml:space="preserve">Balanço funcional.</w:t>
      </w:r>
      <w:r>
        <w:t xml:space="preserve"> </w:t>
      </w:r>
      <w:r>
        <w:t xml:space="preserve">O fundo de maneio mantém-se estruturalmente positivo e reforça-se ao longo do horizonte: os capitais permanentes (capital próprio + dívida de médio-longo prazo) cobrem largamente o ativo fixo, e a tesouraria líquida torna-se positiva a partir de 2027 com a receção do subsídio PT2030. O ciclo de exploração melhora — o</w:t>
      </w:r>
      <w:r>
        <w:t xml:space="preserve"> </w:t>
      </w:r>
      <w:r>
        <w:rPr>
          <w:b/>
          <w:bCs/>
        </w:rPr>
        <w:t xml:space="preserve">ciclo de conversão de caixa reduz-se de 143 dias (2024) para 117 dias (2029)</w:t>
      </w:r>
      <w:r>
        <w:t xml:space="preserve">, com o DMI a descer de 173 para ~149 dias, o PMR estável em ~43–45 dias e o PMP em ~75–78 dias.</w:t>
      </w:r>
    </w:p>
    <w:p>
      <w:r>
        <w:pict>
          <v:rect style="width:0;height:1.5pt" o:hralign="center" o:hrstd="t" o:hr="t"/>
        </w:pict>
      </w:r>
    </w:p>
    <w:bookmarkEnd w:id="53"/>
    <w:bookmarkStart w:id="54" w:name="análise-integrada-de-rácios"/>
    <w:p>
      <w:pPr>
        <w:pStyle w:val="Heading2"/>
      </w:pPr>
      <w:r>
        <w:t xml:space="preserve">7.4. Análise integrada de rácios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1100"/>
        <w:gridCol w:w="1100"/>
        <w:gridCol w:w="1100"/>
        <w:gridCol w:w="110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Rácio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Liquidez geral</w:t>
            </w:r>
          </w:p>
        </w:tc>
        <w:tc>
          <w:tcPr/>
          <w:p>
            <w:pPr>
              <w:pStyle w:val="Compact"/>
            </w:pPr>
            <w:r>
              <w:t xml:space="preserve">AC/PC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Liquidez reduzida</w:t>
            </w:r>
          </w:p>
        </w:tc>
        <w:tc>
          <w:tcPr/>
          <w:p>
            <w:pPr>
              <w:pStyle w:val="Compact"/>
            </w:pPr>
            <w:r>
              <w:t xml:space="preserve">(AC−Inv)/PC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Autonomia financeira</w:t>
            </w:r>
          </w:p>
        </w:tc>
        <w:tc>
          <w:tcPr/>
          <w:p>
            <w:pPr>
              <w:pStyle w:val="Compact"/>
            </w:pPr>
            <w:r>
              <w:t xml:space="preserve">CP/AT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51,7%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Solvabilidade</w:t>
            </w:r>
          </w:p>
        </w:tc>
        <w:tc>
          <w:tcPr/>
          <w:p>
            <w:pPr>
              <w:pStyle w:val="Compact"/>
            </w:pPr>
            <w:r>
              <w:t xml:space="preserve">CP/Passivo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Dívida líquida/EBITDA</w:t>
            </w:r>
          </w:p>
        </w:tc>
        <w:tc>
          <w:tcPr/>
          <w:p>
            <w:pPr>
              <w:pStyle w:val="Compact"/>
            </w:pPr>
            <w:r>
              <w:t xml:space="preserve">DL/EBITDA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4,1×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RL/CP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</w:t>
            </w:r>
          </w:p>
        </w:tc>
        <w:tc>
          <w:tcPr/>
          <w:p>
            <w:pPr>
              <w:pStyle w:val="Compact"/>
            </w:pPr>
            <w:r>
              <w:t xml:space="preserve">RL/AT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ROIC</w:t>
            </w:r>
          </w:p>
        </w:tc>
        <w:tc>
          <w:tcPr/>
          <w:p>
            <w:pPr>
              <w:pStyle w:val="Compact"/>
            </w:pPr>
            <w:r>
              <w:t xml:space="preserve">RO líquido/capital investido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Rotação do ativo</w:t>
            </w:r>
          </w:p>
        </w:tc>
        <w:tc>
          <w:tcPr/>
          <w:p>
            <w:pPr>
              <w:pStyle w:val="Compact"/>
            </w:pPr>
            <w:r>
              <w:t xml:space="preserve">VN/AT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0,99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Comentário integrado.</w:t>
      </w:r>
      <w:r>
        <w:t xml:space="preserve"> </w:t>
      </w:r>
      <w:r>
        <w:t xml:space="preserve">O perfil financeiro melhora de forma consistente: a autonomia financeira quase duplica (30,3% → 57,7%), o rácio Dívida Líquida/EBITDA desalavanca de 4,1× para 0,5×, e a rendibilidade reforça-se (ROE estabiliza em ~19–21%; ROIC sobe para ~16%, claramente acima do WACC de 6,46%, evidenciando criação de valor). A liquidez geral mantém-se confortável (&gt;1,4 em todos os anos, exceto o ponto baixo de 1,38 em 2026, ano de maior esforço de investimento). De notar que,</w:t>
      </w:r>
      <w:r>
        <w:t xml:space="preserve"> </w:t>
      </w:r>
      <w:r>
        <w:rPr>
          <w:b/>
          <w:bCs/>
        </w:rPr>
        <w:t xml:space="preserve">sem o Hub</w:t>
      </w:r>
      <w:r>
        <w:t xml:space="preserve">, a autonomia financeira atingiria 62,0% em 2029 com ROE a descer para 15,6%: o projeto utiliza o capital de forma mais eficiente, mantendo solidez financeira e elevando a rendibilidade dos capitais próprios.</w:t>
      </w:r>
    </w:p>
    <w:bookmarkEnd w:id="54"/>
    <w:bookmarkEnd w:id="55"/>
    <w:bookmarkStart w:id="58" w:name="análise-de-riscos"/>
    <w:p>
      <w:pPr>
        <w:pStyle w:val="Heading1"/>
      </w:pPr>
      <w:r>
        <w:t xml:space="preserve">8. Análise de Riscos</w:t>
      </w:r>
    </w:p>
    <w:p>
      <w:pPr>
        <w:pStyle w:val="FirstParagraph"/>
      </w:pPr>
      <w:r>
        <w:t xml:space="preserve">A análise de riscos identifica, classifica (probabilidade × impacto) e mitiga os principais riscos externos e internos do projeto e da atividade da Grestel. Os riscos críticos são retomados no Plano de Contingência (Cap. 12).</w:t>
      </w:r>
    </w:p>
    <w:p>
      <w:r>
        <w:pict>
          <v:rect style="width:0;height:1.5pt" o:hralign="center" o:hrstd="t" o:hr="t"/>
        </w:pict>
      </w:r>
    </w:p>
    <w:bookmarkStart w:id="56" w:name="riscos-externos"/>
    <w:p>
      <w:pPr>
        <w:pStyle w:val="Heading2"/>
      </w:pPr>
      <w:r>
        <w:t xml:space="preserve">8.1. Riscos externos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2084"/>
        <w:gridCol w:w="2084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Medida de 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Geopolítico/cambial</w:t>
            </w:r>
          </w:p>
        </w:tc>
        <w:tc>
          <w:tcPr/>
          <w:p>
            <w:pPr>
              <w:pStyle w:val="Compact"/>
            </w:pPr>
            <w:r>
              <w:t xml:space="preserve">Agravamento de tarifas dos EUA sobre cerâmica (≈60% das vendas em USD) e volatilidade EUR/USD; sensibilidade de ±€133k/−€163k a ±10% no câmbio (Nota 5 R&amp;C24)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Diversificação geográfica (Espanha, Europa, Ásia); retenção de USD até câmbio favorável; renegociação de condições com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Conjuntural/macroeconómico</w:t>
            </w:r>
          </w:p>
        </w:tc>
        <w:tc>
          <w:tcPr/>
          <w:p>
            <w:pPr>
              <w:pStyle w:val="Compact"/>
            </w:pPr>
            <w:r>
              <w:t xml:space="preserve">Inflação de energia (gás, eletricidade) e matérias-primas cerâmicas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Eficiência energética (LED, equipamento elétrico, solar); projeto H₂;</w:t>
            </w:r>
            <w:r>
              <w:t xml:space="preserve"> </w:t>
            </w:r>
            <w:r>
              <w:rPr>
                <w:i/>
                <w:iCs/>
              </w:rPr>
              <w:t xml:space="preserve">hedging</w:t>
            </w:r>
            <w:r>
              <w:t xml:space="preserve"> </w:t>
            </w:r>
            <w:r>
              <w:t xml:space="preserve">de energia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</w:pPr>
            <w:r>
              <w:t xml:space="preserve">Pressão de preço dos produtores asiáticos (</w:t>
            </w:r>
            <w:r>
              <w:rPr>
                <w:i/>
                <w:iCs/>
              </w:rPr>
              <w:t xml:space="preserve">private label</w:t>
            </w:r>
            <w:r>
              <w:t xml:space="preserve">) e dos europeus premium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Diferenciação por qualidade-prazo-sustentabilidade; marca premium; vantagem logística do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Regulatório/legal</w:t>
            </w:r>
          </w:p>
        </w:tc>
        <w:tc>
          <w:tcPr/>
          <w:p>
            <w:pPr>
              <w:pStyle w:val="Compact"/>
            </w:pPr>
            <w:r>
              <w:t xml:space="preserve">Exigências ESG/CSRD e ambientais crescentes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Baixo-Médio</w:t>
            </w:r>
          </w:p>
        </w:tc>
        <w:tc>
          <w:tcPr/>
          <w:p>
            <w:pPr>
              <w:pStyle w:val="Compact"/>
            </w:pPr>
            <w:r>
              <w:t xml:space="preserve">Certificação ISO 14001; relatório ESG voluntário; &gt;94% de materiais reciclados (Ecogrés)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Tecnológico</w:t>
            </w:r>
          </w:p>
        </w:tc>
        <w:tc>
          <w:tcPr/>
          <w:p>
            <w:pPr>
              <w:pStyle w:val="Compact"/>
            </w:pPr>
            <w:r>
              <w:t xml:space="preserve">Obsolescência da automação/</w:t>
            </w:r>
            <w:r>
              <w:rPr>
                <w:i/>
                <w:iCs/>
              </w:rPr>
              <w:t xml:space="preserve">software</w:t>
            </w:r>
            <w:r>
              <w:t xml:space="preserve"> </w:t>
            </w:r>
            <w:r>
              <w:t xml:space="preserve">logístico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Vidas úteis curtas (</w:t>
            </w:r>
            <w:r>
              <w:rPr>
                <w:i/>
                <w:iCs/>
              </w:rPr>
              <w:t xml:space="preserve">software</w:t>
            </w:r>
            <w:r>
              <w:t xml:space="preserve"> </w:t>
            </w:r>
            <w:r>
              <w:t xml:space="preserve">3–4 anos); contratos de manutenção; parceiros tecnológicos</w:t>
            </w:r>
          </w:p>
        </w:tc>
      </w:tr>
    </w:tbl>
    <w:p>
      <w:pPr>
        <w:pStyle w:val="BodyText"/>
      </w:pPr>
      <w:r>
        <w:t xml:space="preserve">O risco mais crítico (probabilidade × impacto) é a</w:t>
      </w:r>
      <w:r>
        <w:t xml:space="preserve"> </w:t>
      </w:r>
      <w:r>
        <w:rPr>
          <w:b/>
          <w:bCs/>
        </w:rPr>
        <w:t xml:space="preserve">exposição tarifária e cambial ao mercado norte-americano</w:t>
      </w:r>
      <w:r>
        <w:t xml:space="preserve">, assinalada pela própria administração como risco material em aberto no R&amp;C 2024. É precisamente o motor da estratégia de diversificação geográfica que o Hub viabiliza (desenvolvimento de mercado).</w:t>
      </w:r>
    </w:p>
    <w:p>
      <w:r>
        <w:pict>
          <v:rect style="width:0;height:1.5pt" o:hralign="center" o:hrstd="t" o:hr="t"/>
        </w:pict>
      </w:r>
    </w:p>
    <w:bookmarkEnd w:id="56"/>
    <w:bookmarkStart w:id="57" w:name="riscos-internos"/>
    <w:p>
      <w:pPr>
        <w:pStyle w:val="Heading2"/>
      </w:pPr>
      <w:r>
        <w:t xml:space="preserve">8.2. Riscos internos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2084"/>
        <w:gridCol w:w="2084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Medida de 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Execução do projeto</w:t>
            </w:r>
          </w:p>
        </w:tc>
        <w:tc>
          <w:tcPr/>
          <w:p>
            <w:pPr>
              <w:pStyle w:val="Compact"/>
            </w:pPr>
            <w:r>
              <w:t xml:space="preserve">Atraso na obra do Hub e/ou derrapagem do CAPEX (CAPEX é o driver nº 1 do VAL — ver 9.3)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Reserva de contingência de 10% (€600k); inspeção trimestral de progresso; fornecedores certificados; carência de dívida sincronizada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Dependência de gás/eletricidade; subcontratação à Ecogrés; acidentes em ambiente fabril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Programa H&amp;S; eficiência energética; projeto H₂; redundância de fornecimento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Financeiro/liquidez</w:t>
            </w:r>
          </w:p>
        </w:tc>
        <w:tc>
          <w:tcPr/>
          <w:p>
            <w:pPr>
              <w:pStyle w:val="Compact"/>
            </w:pPr>
            <w:r>
              <w:t xml:space="preserve">Pico do serviço da dívida em 2028 (€631k); cumprimento de</w:t>
            </w:r>
            <w:r>
              <w:t xml:space="preserve"> </w:t>
            </w:r>
            <w:r>
              <w:rPr>
                <w:i/>
                <w:iCs/>
              </w:rPr>
              <w:t xml:space="preserve">covenants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Carência de 3 anos; reserva de tesouraria €500k; subsídio PT2030 recebido em 2027; crédito RFAI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humanos</w:t>
            </w:r>
          </w:p>
        </w:tc>
        <w:tc>
          <w:tcPr/>
          <w:p>
            <w:pPr>
              <w:pStyle w:val="Compact"/>
            </w:pPr>
            <w:r>
              <w:t xml:space="preserve">Dificuldade em contratar e reter perfis produtivos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Academia COSTA NOVA Indústria; novos processos seletivos; reafetação de pessoal pelo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Tecnológico/TI</w:t>
            </w:r>
          </w:p>
        </w:tc>
        <w:tc>
          <w:tcPr/>
          <w:p>
            <w:pPr>
              <w:pStyle w:val="Compact"/>
            </w:pPr>
            <w:r>
              <w:t xml:space="preserve">Integração WMS/MES e cibersegurança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Baixa-Média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Testes e</w:t>
            </w:r>
            <w:r>
              <w:t xml:space="preserve"> </w:t>
            </w:r>
            <w:r>
              <w:rPr>
                <w:i/>
                <w:iCs/>
              </w:rPr>
              <w:t xml:space="preserve">commissioning</w:t>
            </w:r>
            <w:r>
              <w:t xml:space="preserve">; parceiros tecnológicos; faseamento da implementação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Matriz de risco global.</w:t>
      </w:r>
      <w:r>
        <w:t xml:space="preserve"> </w:t>
      </w:r>
      <w:r>
        <w:t xml:space="preserve">Cruzando probabilidade e impacto, destacam-se dois riscos de prioridade máxima: o</w:t>
      </w:r>
      <w:r>
        <w:t xml:space="preserve"> </w:t>
      </w:r>
      <w:r>
        <w:rPr>
          <w:b/>
          <w:bCs/>
        </w:rPr>
        <w:t xml:space="preserve">risco geopolítico/cambial</w:t>
      </w:r>
      <w:r>
        <w:t xml:space="preserve"> </w:t>
      </w:r>
      <w:r>
        <w:t xml:space="preserve">(externo) e o</w:t>
      </w:r>
      <w:r>
        <w:t xml:space="preserve"> </w:t>
      </w:r>
      <w:r>
        <w:rPr>
          <w:b/>
          <w:bCs/>
        </w:rPr>
        <w:t xml:space="preserve">risco de execução do projeto/derrapagem do CAPEX</w:t>
      </w:r>
      <w:r>
        <w:t xml:space="preserve"> </w:t>
      </w:r>
      <w:r>
        <w:t xml:space="preserve">(interno) — este último confirmado pela análise de sensibilidade (Cap. 9.3), em que o CAPEX é a variável de maior elasticidade sobre o VAL. Ambos têm resposta dedicada no Plano de Contingência (Cap. 12). A robustez do projeto perante estes riscos é quantificada na simulação de Monte Carlo (Cap. 9.4), que mantém P(VAL&gt;0) ≈ 99,95% mesmo amostrando simultaneamente todos os fatores de risco.</w:t>
      </w:r>
    </w:p>
    <w:bookmarkEnd w:id="57"/>
    <w:bookmarkEnd w:id="58"/>
    <w:bookmarkStart w:id="63" w:name="cash-flows-e-viabilidade-do-projeto"/>
    <w:p>
      <w:pPr>
        <w:pStyle w:val="Heading1"/>
      </w:pPr>
      <w:r>
        <w:t xml:space="preserve">9. Cash-flows e Viabilidade do Projeto</w:t>
      </w:r>
    </w:p>
    <w:p>
      <w:pPr>
        <w:pStyle w:val="FirstParagraph"/>
      </w:pPr>
      <w:r>
        <w:t xml:space="preserve">A viabilidade do Hub Logístico 4.0 é aferida sobre os</w:t>
      </w:r>
      <w:r>
        <w:t xml:space="preserve"> </w:t>
      </w:r>
      <w:r>
        <w:rPr>
          <w:i/>
          <w:iCs/>
        </w:rPr>
        <w:t xml:space="preserve">cash-flows</w:t>
      </w:r>
      <w:r>
        <w:t xml:space="preserve"> </w:t>
      </w:r>
      <w:r>
        <w:t xml:space="preserve">incrementais do projeto (diferença entre os cenários com e sem Hub), num horizonte de</w:t>
      </w:r>
      <w:r>
        <w:t xml:space="preserve"> </w:t>
      </w:r>
      <w:r>
        <w:rPr>
          <w:b/>
          <w:bCs/>
        </w:rPr>
        <w:t xml:space="preserve">10 anos (2025–2034)</w:t>
      </w:r>
      <w:r>
        <w:t xml:space="preserve">, complementada por uma avaliação por APV (</w:t>
      </w:r>
      <w:r>
        <w:rPr>
          <w:i/>
          <w:iCs/>
        </w:rPr>
        <w:t xml:space="preserve">Adjusted Present Value</w:t>
      </w:r>
      <w:r>
        <w:t xml:space="preserve">), análise de sensibilidade (Tornado), análise de cenários e simulação de Monte Carlo.</w:t>
      </w:r>
    </w:p>
    <w:p>
      <w:r>
        <w:pict>
          <v:rect style="width:0;height:1.5pt" o:hralign="center" o:hrstd="t" o:hr="t"/>
        </w:pict>
      </w:r>
    </w:p>
    <w:bookmarkStart w:id="59" w:name="cálculo-dos-cash-flows"/>
    <w:p>
      <w:pPr>
        <w:pStyle w:val="Heading2"/>
      </w:pPr>
      <w:r>
        <w:t xml:space="preserve">9.1. Cálculo dos cash-flows</w:t>
      </w:r>
    </w:p>
    <w:p>
      <w:pPr>
        <w:pStyle w:val="FirstParagraph"/>
      </w:pPr>
      <w:r>
        <w:rPr>
          <w:i/>
          <w:iCs/>
        </w:rPr>
        <w:t xml:space="preserve">Cash-flows</w:t>
      </w:r>
      <w:r>
        <w:t xml:space="preserve"> </w:t>
      </w:r>
      <w:r>
        <w:t xml:space="preserve">livres incrementais do projeto (FCFF), em €. A taxa de desconto é o WACC de 6,46% (Cap. 6); o valor terminal de 2034 corresponde ao valor residual dos ativos não correntes (VLC) acrescido da recuperação das necessidades de fundo de maneio,</w:t>
      </w:r>
      <w:r>
        <w:t xml:space="preserve"> </w:t>
      </w:r>
      <w:r>
        <w:rPr>
          <w:b/>
          <w:bCs/>
        </w:rPr>
        <w:t xml:space="preserve">sem perpetuidade</w:t>
      </w:r>
      <w:r>
        <w:t xml:space="preserve"> </w:t>
      </w:r>
      <w:r>
        <w:t xml:space="preserve">(critério conservador).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EBITDA incremental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NOPAT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(+) Depreciações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(−) CAPEX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(±) FM + inventário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(=) FCFF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CF p/ 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(105.000)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(105.000)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(2.850.000)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(150.000)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(3.105.000)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(3.105.000)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(3.150.000)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1.683.656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(727.468)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(727.468)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47.452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897.100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897.100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939.110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975.120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978.790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921.361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921.361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917.772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844.600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945.439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869.017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869.017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974.075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894.288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894.288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930.307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672.198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804.108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3.087.543</w:t>
            </w:r>
          </w:p>
        </w:tc>
      </w:tr>
    </w:tbl>
    <w:p>
      <w:pPr>
        <w:pStyle w:val="BlockText"/>
      </w:pPr>
      <w:r>
        <w:t xml:space="preserve">O</w:t>
      </w:r>
      <w:r>
        <w:t xml:space="preserve"> </w:t>
      </w:r>
      <w:r>
        <w:rPr>
          <w:i/>
          <w:iCs/>
        </w:rPr>
        <w:t xml:space="preserve">cash-flow</w:t>
      </w:r>
      <w:r>
        <w:t xml:space="preserve"> </w:t>
      </w:r>
      <w:r>
        <w:t xml:space="preserve">de 2034 inclui o</w:t>
      </w:r>
      <w:r>
        <w:t xml:space="preserve"> </w:t>
      </w:r>
      <w:r>
        <w:rPr>
          <w:b/>
          <w:bCs/>
        </w:rPr>
        <w:t xml:space="preserve">valor terminal de €2.283.435</w:t>
      </w:r>
      <w:r>
        <w:t xml:space="preserve"> </w:t>
      </w:r>
      <w:r>
        <w:t xml:space="preserve">(valor residual líquido dos ativos €2.193.060 + recuperação de NFM €90.375). A libertação de inventário de €1,73 M em 2026 (redução do DMI) é o principal contributo do fundo de maneio. O subsídio PT2030 e o crédito RFAI são tratados explicitamente na avaliação por APV (9.2).</w:t>
      </w:r>
    </w:p>
    <w:p>
      <w:r>
        <w:pict>
          <v:rect style="width:0;height:1.5pt" o:hralign="center" o:hrstd="t" o:hr="t"/>
        </w:pict>
      </w:r>
    </w:p>
    <w:bookmarkEnd w:id="59"/>
    <w:bookmarkStart w:id="60" w:name="indicadores-de-viabilidade"/>
    <w:p>
      <w:pPr>
        <w:pStyle w:val="Heading2"/>
      </w:pPr>
      <w:r>
        <w:t xml:space="preserve">9.2. Indicadores de viabilidade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</w:t>
            </w:r>
            <w:r>
              <w:t xml:space="preserve"> </w:t>
            </w:r>
            <w:r>
              <w:t xml:space="preserve">(FCFF @ WACC 6,46%)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€2.493.769</w:t>
            </w:r>
          </w:p>
        </w:tc>
        <w:tc>
          <w:tcPr/>
          <w:p>
            <w:pPr>
              <w:pStyle w:val="Compact"/>
            </w:pPr>
            <w:r>
              <w:t xml:space="preserve">Positivo → o projeto cria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17,49%</w:t>
            </w:r>
          </w:p>
        </w:tc>
        <w:tc>
          <w:tcPr/>
          <w:p>
            <w:pPr>
              <w:pStyle w:val="Compact"/>
            </w:pPr>
            <w:r>
              <w:t xml:space="preserve">Muito superior ao WACC (6,46%)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simples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6,12 anos</w:t>
            </w:r>
          </w:p>
        </w:tc>
        <w:tc>
          <w:tcPr/>
          <w:p>
            <w:pPr>
              <w:pStyle w:val="Compact"/>
            </w:pPr>
            <w:r>
              <w:t xml:space="preserve">Inferior ao horizonte de 10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atualizado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7,37 anos</w:t>
            </w:r>
          </w:p>
        </w:tc>
        <w:tc>
          <w:tcPr/>
          <w:p>
            <w:pPr>
              <w:pStyle w:val="Compact"/>
            </w:pPr>
            <w:r>
              <w:t xml:space="preserve">Inferior ao horizonte de 10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de rendibilidade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</w:t>
            </w:r>
          </w:p>
        </w:tc>
        <w:tc>
          <w:tcPr/>
          <w:p>
            <w:pPr>
              <w:pStyle w:val="Compact"/>
            </w:pPr>
            <w:r>
              <w:t xml:space="preserve">&gt; 1 → cada € investido gera €1,42 atualizados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6,46%</w:t>
            </w:r>
          </w:p>
        </w:tc>
        <w:tc>
          <w:tcPr/>
          <w:p>
            <w:pPr>
              <w:pStyle w:val="Compact"/>
            </w:pPr>
            <w:r>
              <w:t xml:space="preserve">Taxa de desconto (cenário 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 &gt; WACC?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Sim</w:t>
            </w:r>
            <w:r>
              <w:t xml:space="preserve"> </w:t>
            </w:r>
            <w:r>
              <w:t xml:space="preserve">(17,49% &gt; 6,46%)</w:t>
            </w:r>
          </w:p>
        </w:tc>
        <w:tc>
          <w:tcPr/>
          <w:p>
            <w:pPr>
              <w:pStyle w:val="Compact"/>
            </w:pPr>
            <w:r>
              <w:t xml:space="preserve">Folga de ~11 p.p.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 @ WACC dinâmico (Miles-Ezzell)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€1.638.783</w:t>
            </w:r>
          </w:p>
        </w:tc>
        <w:tc>
          <w:tcPr/>
          <w:p>
            <w:pPr>
              <w:pStyle w:val="Compact"/>
            </w:pPr>
            <w:r>
              <w:t xml:space="preserve">Permanece positivo mesmo penalizando os fluxos tardios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Avaliação complementar por APV (VALA).</w:t>
      </w:r>
      <w:r>
        <w:t xml:space="preserve"> </w:t>
      </w:r>
      <w:r>
        <w:t xml:space="preserve">O método do valor atual ajustado (Myers, 1974) separa o valor das operações do valor dos efeitos de financiamento. As operações são descontadas ao</w:t>
      </w:r>
      <w:r>
        <w:t xml:space="preserve"> </w:t>
      </w:r>
      <w:r>
        <w:rPr>
          <w:b/>
          <w:bCs/>
        </w:rPr>
        <w:t xml:space="preserve">custo de capital desalavancado (Ku ≈ 7,20%)</w:t>
      </w:r>
      <w:r>
        <w:t xml:space="preserve"> </w:t>
      </w:r>
      <w:r>
        <w:t xml:space="preserve">— que reflete apenas o risco do negócio, sem o risco financeiro — e os componentes de financiamento são adicionados, cada um ao seu próprio risco: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(€)</w:t>
            </w:r>
          </w:p>
        </w:tc>
        <w:tc>
          <w:tcPr/>
          <w:p>
            <w:pPr>
              <w:pStyle w:val="Compact"/>
            </w:pPr>
            <w:r>
              <w:t xml:space="preserve">Metodologia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 base das operações (@ Ku 7,20%)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1.209.734</w:t>
            </w:r>
          </w:p>
        </w:tc>
        <w:tc>
          <w:tcPr/>
          <w:p>
            <w:pPr>
              <w:pStyle w:val="Compact"/>
            </w:pPr>
            <w:r>
              <w:t xml:space="preserve">FCFF operacional unlevered, sem benefícios fiscais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(+) Escudo fiscal da dívida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199.700</w:t>
            </w:r>
          </w:p>
        </w:tc>
        <w:tc>
          <w:tcPr/>
          <w:p>
            <w:pPr>
              <w:pStyle w:val="Compact"/>
            </w:pPr>
            <w:r>
              <w:t xml:space="preserve">Miles-Ezzell, por tranche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(+) PT2030 líquido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2.084.376</w:t>
            </w:r>
          </w:p>
        </w:tc>
        <w:tc>
          <w:tcPr/>
          <w:p>
            <w:pPr>
              <w:pStyle w:val="Compact"/>
            </w:pPr>
            <w:r>
              <w:t xml:space="preserve">NCRF 22, descontado à taxa sem risco (rf ≈ 3,1%)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(+) RFAI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224.734</w:t>
            </w:r>
          </w:p>
        </w:tc>
        <w:tc>
          <w:tcPr/>
          <w:p>
            <w:pPr>
              <w:pStyle w:val="Compact"/>
            </w:pPr>
            <w:r>
              <w:t xml:space="preserve">Crédito fiscal, descontado a 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VALA (APV)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3.718.544</w:t>
            </w:r>
          </w:p>
        </w:tc>
        <w:tc>
          <w:tcPr/>
          <w:p>
            <w:pPr>
              <w:pStyle w:val="Compact"/>
            </w:pPr>
            <w:r>
              <w:t xml:space="preserve">Myers (1974); Miles-Ezzell (1980)</w:t>
            </w:r>
          </w:p>
        </w:tc>
      </w:tr>
    </w:tbl>
    <w:p>
      <w:pPr>
        <w:pStyle w:val="BodyText"/>
      </w:pPr>
      <w:r>
        <w:t xml:space="preserve">Os dois métodos confirmam a viabilidade. O ponto mais relevante é que</w:t>
      </w:r>
      <w:r>
        <w:t xml:space="preserve"> </w:t>
      </w:r>
      <w:r>
        <w:rPr>
          <w:b/>
          <w:bCs/>
        </w:rPr>
        <w:t xml:space="preserve">o projeto cria valor só pelas operações (€1,21 M atualizados ao Ku), antes de qualquer apoio público ou fiscal</w:t>
      </w:r>
      <w:r>
        <w:t xml:space="preserve"> </w:t>
      </w:r>
      <w:r>
        <w:t xml:space="preserve">— os benefícios fiscais reforçam, não sustentam, a viabilidade. O VALA (€3,72 M) é superior ao VAL por FCFF ao WACC (€2,49 M) porque adiciona, de forma explícita e ao risco adequado, o</w:t>
      </w:r>
      <w:r>
        <w:t xml:space="preserve"> </w:t>
      </w:r>
      <w:r>
        <w:rPr>
          <w:b/>
          <w:bCs/>
        </w:rPr>
        <w:t xml:space="preserve">subsídio PT2030 (€2,08 M atualizados — o principal criador de valor)</w:t>
      </w:r>
      <w:r>
        <w:t xml:space="preserve"> </w:t>
      </w:r>
      <w:r>
        <w:t xml:space="preserve">e o crédito</w:t>
      </w:r>
      <w:r>
        <w:t xml:space="preserve"> </w:t>
      </w:r>
      <w:r>
        <w:rPr>
          <w:b/>
          <w:bCs/>
        </w:rPr>
        <w:t xml:space="preserve">RFAI (€0,22 M)</w:t>
      </w:r>
      <w:r>
        <w:t xml:space="preserve">, que a abordagem WACC sobre o FCFF operacional não capta.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o projeto é</w:t>
      </w:r>
      <w:r>
        <w:t xml:space="preserve"> </w:t>
      </w:r>
      <w:r>
        <w:rPr>
          <w:b/>
          <w:bCs/>
        </w:rPr>
        <w:t xml:space="preserve">economicamente viável</w:t>
      </w:r>
      <w:r>
        <w:t xml:space="preserve"> </w:t>
      </w:r>
      <w:r>
        <w:t xml:space="preserve">— VAL positivo, TIR (17,49%) muito acima do WACC (6,46%), índice de rendibilidade de 1,42 e</w:t>
      </w:r>
      <w:r>
        <w:t xml:space="preserve"> </w:t>
      </w:r>
      <w:r>
        <w:rPr>
          <w:i/>
          <w:iCs/>
        </w:rPr>
        <w:t xml:space="preserve">payback</w:t>
      </w:r>
      <w:r>
        <w:t xml:space="preserve"> </w:t>
      </w:r>
      <w:r>
        <w:t xml:space="preserve">atualizado (7,37 anos) confortavelmente dentro do horizonte de 10 anos.</w:t>
      </w:r>
    </w:p>
    <w:p>
      <w:r>
        <w:pict>
          <v:rect style="width:0;height:1.5pt" o:hralign="center" o:hrstd="t" o:hr="t"/>
        </w:pict>
      </w:r>
    </w:p>
    <w:bookmarkEnd w:id="60"/>
    <w:bookmarkStart w:id="61" w:name="análise-de-sensibilidade"/>
    <w:p>
      <w:pPr>
        <w:pStyle w:val="Heading2"/>
      </w:pPr>
      <w:r>
        <w:t xml:space="preserve">9.3. Análise de sensibilidade</w:t>
      </w:r>
    </w:p>
    <w:p>
      <w:pPr>
        <w:pStyle w:val="FirstParagraph"/>
      </w:pPr>
      <w:r>
        <w:t xml:space="preserve">Análise de sensibilidade univariada (diagrama de Tornado) sobre o VAL base de €2.493.769, ordenada por amplitude de impacto: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Variação testada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 pessimista (€)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 otimista (€)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Amplitude (€)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+15% / −15% (€6,9 M / €5,1 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1.547.581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3.473.942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1.926.360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Crescimento B2C/</w:t>
            </w:r>
            <w:r>
              <w:rPr>
                <w:i/>
                <w:iCs/>
              </w:rP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×0,5 / ×1,5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1.490.323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3.388.537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1.898.213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Poupança operacional</w:t>
            </w:r>
          </w:p>
        </w:tc>
        <w:tc>
          <w:tcPr/>
          <w:p>
            <w:pPr>
              <w:pStyle w:val="Compact"/>
            </w:pPr>
            <w:r>
              <w:t xml:space="preserve">€200k / €500k por 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2.807.354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1.759.441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10% / 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1.425.508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2.658.920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1.233.412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de DMI</w:t>
            </w:r>
          </w:p>
        </w:tc>
        <w:tc>
          <w:tcPr/>
          <w:p>
            <w:pPr>
              <w:pStyle w:val="Compact"/>
            </w:pPr>
            <w:r>
              <w:t xml:space="preserve">10 / 28 dias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2.092.518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2.814.770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PT2030</w:t>
            </w:r>
          </w:p>
        </w:tc>
        <w:tc>
          <w:tcPr/>
          <w:p>
            <w:pPr>
              <w:pStyle w:val="Compact"/>
            </w:pPr>
            <w:r>
              <w:t xml:space="preserve">20% / 45% do CAPEX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1.866.536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2.493.769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627.233</w:t>
            </w:r>
          </w:p>
        </w:tc>
      </w:tr>
    </w:tbl>
    <w:p>
      <w:pPr>
        <w:pStyle w:val="BodyText"/>
      </w:pPr>
      <w:r>
        <w:t xml:space="preserve">A variável de</w:t>
      </w:r>
      <w:r>
        <w:t xml:space="preserve"> </w:t>
      </w:r>
      <w:r>
        <w:rPr>
          <w:b/>
          <w:bCs/>
        </w:rPr>
        <w:t xml:space="preserve">maior elasticidade é o CAPEX</w:t>
      </w:r>
      <w:r>
        <w:t xml:space="preserve"> </w:t>
      </w:r>
      <w:r>
        <w:t xml:space="preserve">(risco de execução/derrapagem da obra), seguida do crescimento dos canais B2C/</w:t>
      </w:r>
      <w:r>
        <w:rPr>
          <w:i/>
          <w:iCs/>
        </w:rPr>
        <w:t xml:space="preserve">e-commerce</w:t>
      </w:r>
      <w:r>
        <w:t xml:space="preserve"> </w:t>
      </w:r>
      <w:r>
        <w:t xml:space="preserve">e da poupança operacional recorrente.</w:t>
      </w:r>
      <w:r>
        <w:t xml:space="preserve"> </w:t>
      </w:r>
      <w:r>
        <w:rPr>
          <w:b/>
          <w:bCs/>
        </w:rPr>
        <w:t xml:space="preserve">Em todos os cenários testados o VAL permanece positivo</w:t>
      </w:r>
      <w:r>
        <w:t xml:space="preserve">, o que evidencia a robustez do projeto: mesmo com uma derrapagem do CAPEX de +15% e simultaneamente um WACC de 10%, o VAL não se anula. Esta conclusão fundamenta a priorização do risco de execução no Plano de Contingência (Cap. 12).</w:t>
      </w:r>
    </w:p>
    <w:p>
      <w:r>
        <w:pict>
          <v:rect style="width:0;height:1.5pt" o:hralign="center" o:hrstd="t" o:hr="t"/>
        </w:pict>
      </w:r>
    </w:p>
    <w:bookmarkEnd w:id="61"/>
    <w:bookmarkStart w:id="62" w:name="análise-de-cenários"/>
    <w:p>
      <w:pPr>
        <w:pStyle w:val="Heading2"/>
      </w:pPr>
      <w:r>
        <w:t xml:space="preserve">9.4. Análise de cenários</w:t>
      </w:r>
    </w:p>
    <w:p>
      <w:pPr>
        <w:pStyle w:val="FirstParagraph"/>
      </w:pPr>
      <w:r>
        <w:t xml:space="preserve">A análise de cenários combina os pressupostos numa simulação de</w:t>
      </w:r>
      <w:r>
        <w:t xml:space="preserve"> </w:t>
      </w:r>
      <w:r>
        <w:rPr>
          <w:b/>
          <w:bCs/>
        </w:rPr>
        <w:t xml:space="preserve">Monte Carlo</w:t>
      </w:r>
      <w:r>
        <w:t xml:space="preserve"> </w:t>
      </w:r>
      <w:r>
        <w:t xml:space="preserve">(N = 2.000 iterações,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42), que amostra simultaneamente nove fatores de risco a partir de distribuições calibradas (triangulares para os</w:t>
      </w:r>
      <w:r>
        <w:t xml:space="preserve"> </w:t>
      </w:r>
      <w:r>
        <w:rPr>
          <w:i/>
          <w:iCs/>
        </w:rPr>
        <w:t xml:space="preserve">drivers</w:t>
      </w:r>
      <w:r>
        <w:t xml:space="preserve"> </w:t>
      </w:r>
      <w:r>
        <w:t xml:space="preserve">operacionais; log-normais para câmbio EUR/USD e preço da energia). Os percentis P5 e P95 da distribuição definem os cenários pessimista e otimista: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Pressupostos principais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 (€)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TIR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Pessimista (P5)</w:t>
            </w:r>
          </w:p>
        </w:tc>
        <w:tc>
          <w:tcPr/>
          <w:p>
            <w:pPr>
              <w:pStyle w:val="Compact"/>
            </w:pPr>
            <w:r>
              <w:t xml:space="preserve">Combinação adversa de CAPEX, B2C, pessoal e 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Pressupostos centrais do plano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2.493.769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Otimista (P95)</w:t>
            </w:r>
          </w:p>
        </w:tc>
        <w:tc>
          <w:tcPr/>
          <w:p>
            <w:pPr>
              <w:pStyle w:val="Compact"/>
            </w:pPr>
            <w:r>
              <w:t xml:space="preserve">Combinação favorável dos</w:t>
            </w:r>
            <w:r>
              <w:t xml:space="preserve"> </w:t>
            </w:r>
            <w:r>
              <w:rPr>
                <w:i/>
                <w:iCs/>
              </w:rPr>
              <w:t xml:space="preserve">drivers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3.743.315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 esperado (média MC)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rPr>
                <w:i/>
                <w:iCs/>
              </w:rPr>
              <w:t xml:space="preserve">drivers</w:t>
            </w:r>
            <w:r>
              <w:t xml:space="preserve"> </w:t>
            </w:r>
            <w:r>
              <w:t xml:space="preserve">estocásticos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2.585.064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17,96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Resultados-chave da simulação:</w:t>
      </w:r>
      <w:r>
        <w:t xml:space="preserve"> </w:t>
      </w:r>
      <w:r>
        <w:t xml:space="preserve">VAL médio de €2,59 M (desvio-padrão €726k); intervalo de confiança a 90% de</w:t>
      </w:r>
      <w:r>
        <w:t xml:space="preserve"> </w:t>
      </w:r>
      <w:r>
        <w:rPr>
          <w:b/>
          <w:bCs/>
        </w:rPr>
        <w:t xml:space="preserve">€1,37 M a €3,74 M</w:t>
      </w:r>
      <w:r>
        <w:t xml:space="preserve">;</w:t>
      </w:r>
      <w:r>
        <w:t xml:space="preserve"> </w:t>
      </w:r>
      <w:r>
        <w:rPr>
          <w:b/>
          <w:bCs/>
        </w:rPr>
        <w:t xml:space="preserve">P(VAL &gt; 0) = 99,95%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P(TIR &gt; WACC) = 99,95%</w:t>
      </w:r>
      <w:r>
        <w:t xml:space="preserve">. Os</w:t>
      </w:r>
      <w:r>
        <w:t xml:space="preserve"> </w:t>
      </w:r>
      <w:r>
        <w:rPr>
          <w:i/>
          <w:iCs/>
        </w:rPr>
        <w:t xml:space="preserve">drivers</w:t>
      </w:r>
      <w:r>
        <w:t xml:space="preserve"> </w:t>
      </w:r>
      <w:r>
        <w:t xml:space="preserve">com maior correlação de Pearson com o VAL são o crescimento B2C (+0,55), o CAPEX (−0,49), a poupança com pessoal (+0,43) e o WACC (−0,41) — perfeitamente consistente com o diagrama de Tornado.</w:t>
      </w:r>
    </w:p>
    <w:p>
      <w:pPr>
        <w:pStyle w:val="BodyText"/>
      </w:pPr>
      <w:r>
        <w:t xml:space="preserve">A simulação assume independência entre</w:t>
      </w:r>
      <w:r>
        <w:t xml:space="preserve"> </w:t>
      </w:r>
      <w:r>
        <w:rPr>
          <w:i/>
          <w:iCs/>
        </w:rPr>
        <w:t xml:space="preserve">drivers</w:t>
      </w:r>
      <w:r>
        <w:t xml:space="preserve"> </w:t>
      </w:r>
      <w:r>
        <w:t xml:space="preserve">(não modela correlações entre, p. ex., câmbio e energia). Ainda assim, o resultado é inequívoco:</w:t>
      </w:r>
      <w:r>
        <w:t xml:space="preserve"> </w:t>
      </w:r>
      <w:r>
        <w:rPr>
          <w:b/>
          <w:bCs/>
        </w:rPr>
        <w:t xml:space="preserve">o projeto é viável com probabilidade praticamente certa</w:t>
      </w:r>
      <w:r>
        <w:t xml:space="preserve">, e o VAL mantém-se positivo mesmo no extremo inferior da distribuição (P5 ≈ €1,37 M). A robustez confirma-se igualmente perante o WACC dinâmico (Miles-Ezzell), que preserva um VAL de €1,64 M.</w:t>
      </w:r>
    </w:p>
    <w:bookmarkEnd w:id="62"/>
    <w:bookmarkEnd w:id="63"/>
    <w:bookmarkStart w:id="74" w:name="X57456ec84ab55f1bcdd11b744a4aa53f7c26b91"/>
    <w:p>
      <w:pPr>
        <w:pStyle w:val="Heading1"/>
      </w:pPr>
      <w:r>
        <w:t xml:space="preserve">10. Síntese do Plano de Negócios — Business Model Canvas</w:t>
      </w:r>
    </w:p>
    <w:p>
      <w:pPr>
        <w:pStyle w:val="FirstParagraph"/>
      </w:pPr>
      <w:r>
        <w:t xml:space="preserve">Este capítulo sintetiza, no formato Canvas (Osterwalder &amp; Pigneur, 2010), a lógica de criação de valor do Hub Logístico 4.0, em coerência com os capítulos anteriores. O Hub transforma a capacidade logística da Grestel numa vantagem competitiva sustentável, alavancando automação e digitalização para servir melhor os canais de maior valor.</w:t>
      </w:r>
    </w:p>
    <w:p>
      <w:r>
        <w:pict>
          <v:rect style="width:0;height:1.5pt" o:hralign="center" o:hrstd="t" o:hr="t"/>
        </w:pict>
      </w:r>
    </w:p>
    <w:bookmarkStart w:id="64" w:name="segmentos-de-clientes"/>
    <w:p>
      <w:pPr>
        <w:pStyle w:val="Heading2"/>
      </w:pPr>
      <w:r>
        <w:t xml:space="preserve">10.1. Segmentos de clientes</w:t>
      </w:r>
    </w:p>
    <w:p>
      <w:pPr>
        <w:pStyle w:val="Compact"/>
        <w:numPr>
          <w:ilvl w:val="0"/>
          <w:numId w:val="1017"/>
        </w:numPr>
      </w:pPr>
      <w:r>
        <w:t xml:space="preserve">Retalho especializado de mesa e uso doméstico na Europa (grandes superfícies e lojas independentes); (ii) hotelaria nacional e europeia (hotéis, restaurantes, cruzeiros); (iii) empresas de distribuição internacional de cerâmica em grés fino; e (iv) canal digital (</w:t>
      </w:r>
      <w:r>
        <w:rPr>
          <w:i/>
          <w:iCs/>
        </w:rPr>
        <w:t xml:space="preserve">marketplaces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e-commerce</w:t>
      </w:r>
      <w:r>
        <w:t xml:space="preserve"> </w:t>
      </w:r>
      <w:r>
        <w:t xml:space="preserve">próprio). Segmentação geográfica prioritária: Portugal, Espanha, França, Alemanha e Estados Unidos.</w:t>
      </w:r>
    </w:p>
    <w:bookmarkEnd w:id="64"/>
    <w:bookmarkStart w:id="65" w:name="proposta-de-valor"/>
    <w:p>
      <w:pPr>
        <w:pStyle w:val="Heading2"/>
      </w:pPr>
      <w:r>
        <w:t xml:space="preserve">10.2. Proposta de valor</w:t>
      </w:r>
    </w:p>
    <w:p>
      <w:pPr>
        <w:pStyle w:val="FirstParagraph"/>
      </w:pPr>
      <w:r>
        <w:t xml:space="preserve">Proposta tripla (articulada com 2.2):</w:t>
      </w:r>
      <w:r>
        <w:t xml:space="preserve"> </w:t>
      </w:r>
      <w:r>
        <w:rPr>
          <w:b/>
          <w:bCs/>
        </w:rPr>
        <w:t xml:space="preserve">operacional</w:t>
      </w:r>
      <w:r>
        <w:t xml:space="preserve"> </w:t>
      </w:r>
      <w:r>
        <w:t xml:space="preserve">— redução do tempo de processamento de encomendas em ~30% e das quebras em ~2 p.p. por rastreabilidade digital;</w:t>
      </w:r>
      <w:r>
        <w:t xml:space="preserve"> </w:t>
      </w:r>
      <w:r>
        <w:rPr>
          <w:b/>
          <w:bCs/>
        </w:rPr>
        <w:t xml:space="preserve">comercial</w:t>
      </w:r>
      <w:r>
        <w:t xml:space="preserve"> </w:t>
      </w:r>
      <w:r>
        <w:t xml:space="preserve">— entrega mais rápida (</w:t>
      </w:r>
      <w:r>
        <w:rPr>
          <w:i/>
          <w:iCs/>
        </w:rPr>
        <w:t xml:space="preserve">fulfillment</w:t>
      </w:r>
      <w:r>
        <w:t xml:space="preserve"> </w:t>
      </w:r>
      <w:r>
        <w:t xml:space="preserve">24–48h), menor taxa de devolução e capacidade de customização para hotelaria; e</w:t>
      </w:r>
      <w:r>
        <w:t xml:space="preserve"> </w:t>
      </w:r>
      <w:r>
        <w:rPr>
          <w:b/>
          <w:bCs/>
        </w:rPr>
        <w:t xml:space="preserve">de sustentabilidade</w:t>
      </w:r>
      <w:r>
        <w:t xml:space="preserve"> </w:t>
      </w:r>
      <w:r>
        <w:t xml:space="preserve">— centro logístico com certificação ambiental, energia solar e reduções de consumo.</w:t>
      </w:r>
    </w:p>
    <w:bookmarkEnd w:id="65"/>
    <w:bookmarkStart w:id="66" w:name="canais"/>
    <w:p>
      <w:pPr>
        <w:pStyle w:val="Heading2"/>
      </w:pPr>
      <w:r>
        <w:t xml:space="preserve">10.3. Canais</w:t>
      </w:r>
    </w:p>
    <w:p>
      <w:pPr>
        <w:pStyle w:val="FirstParagraph"/>
      </w:pPr>
      <w:r>
        <w:t xml:space="preserve">Canais próprios: lojas físicas (</w:t>
      </w:r>
      <w:r>
        <w:rPr>
          <w:i/>
          <w:iCs/>
        </w:rPr>
        <w:t xml:space="preserve">flagship</w:t>
      </w:r>
      <w:r>
        <w:t xml:space="preserve"> </w:t>
      </w:r>
      <w:r>
        <w:t xml:space="preserve">Madrid, Outlet Lisboa, Vagos, Porto, Nova Iorque, Atlanta),</w:t>
      </w:r>
      <w:r>
        <w:t xml:space="preserve"> </w:t>
      </w:r>
      <w:r>
        <w:rPr>
          <w:i/>
          <w:iCs/>
        </w:rPr>
        <w:t xml:space="preserve">website</w:t>
      </w:r>
      <w:r>
        <w:t xml:space="preserve"> </w:t>
      </w:r>
      <w:r>
        <w:t xml:space="preserve">COSTA NOVA/Casafina e canal DTC. Canais de parceiros:</w:t>
      </w:r>
      <w:r>
        <w:t xml:space="preserve"> </w:t>
      </w:r>
      <w:r>
        <w:rPr>
          <w:i/>
          <w:iCs/>
        </w:rPr>
        <w:t xml:space="preserve">marketplaces</w:t>
      </w:r>
      <w:r>
        <w:t xml:space="preserve"> </w:t>
      </w:r>
      <w:r>
        <w:t xml:space="preserve">digitais em 5 países europeus, distribuidores locais por mercado e participação em feiras internacionais.</w:t>
      </w:r>
    </w:p>
    <w:bookmarkEnd w:id="66"/>
    <w:bookmarkStart w:id="67" w:name="relações-com-clientes"/>
    <w:p>
      <w:pPr>
        <w:pStyle w:val="Heading2"/>
      </w:pPr>
      <w:r>
        <w:t xml:space="preserve">10.4. Relações com clientes</w:t>
      </w:r>
    </w:p>
    <w:p>
      <w:pPr>
        <w:pStyle w:val="FirstParagraph"/>
      </w:pPr>
      <w:r>
        <w:t xml:space="preserve">Assistência pessoal dedicada B2B por mercado; formação e suporte técnico à hotelaria (programas de customização);</w:t>
      </w:r>
      <w:r>
        <w:t xml:space="preserve"> </w:t>
      </w:r>
      <w:r>
        <w:rPr>
          <w:i/>
          <w:iCs/>
        </w:rPr>
        <w:t xml:space="preserve">self-service</w:t>
      </w:r>
      <w:r>
        <w:t xml:space="preserve"> </w:t>
      </w:r>
      <w:r>
        <w:t xml:space="preserve">e comunicação digital regular no canal DTC (</w:t>
      </w:r>
      <w:r>
        <w:rPr>
          <w:i/>
          <w:iCs/>
        </w:rPr>
        <w:t xml:space="preserve">email marketing</w:t>
      </w:r>
      <w:r>
        <w:t xml:space="preserve">,</w:t>
      </w:r>
      <w:r>
        <w:t xml:space="preserve"> </w:t>
      </w:r>
      <w:r>
        <w:rPr>
          <w:i/>
          <w:iCs/>
        </w:rPr>
        <w:t xml:space="preserve">newsletters</w:t>
      </w:r>
      <w:r>
        <w:t xml:space="preserve">,</w:t>
      </w:r>
      <w:r>
        <w:t xml:space="preserve"> </w:t>
      </w:r>
      <w:r>
        <w:rPr>
          <w:i/>
          <w:iCs/>
        </w:rPr>
        <w:t xml:space="preserve">lookbooks</w:t>
      </w:r>
      <w:r>
        <w:t xml:space="preserve">); programa de fidelização no retalho.</w:t>
      </w:r>
    </w:p>
    <w:bookmarkEnd w:id="67"/>
    <w:bookmarkStart w:id="68" w:name="fluxos-de-rendimentos"/>
    <w:p>
      <w:pPr>
        <w:pStyle w:val="Heading2"/>
      </w:pPr>
      <w:r>
        <w:t xml:space="preserve">10.5. Fluxos de rendimentos</w:t>
      </w:r>
    </w:p>
    <w:p>
      <w:pPr>
        <w:pStyle w:val="FirstParagraph"/>
      </w:pPr>
      <w:r>
        <w:t xml:space="preserve">Venda de produtos das marcas próprias COSTA NOVA e Casafina (peso dominante, ~80%); produção de</w:t>
      </w:r>
      <w:r>
        <w:t xml:space="preserve"> </w:t>
      </w:r>
      <w:r>
        <w:rPr>
          <w:i/>
          <w:iCs/>
        </w:rPr>
        <w:t xml:space="preserve">Private Label</w:t>
      </w:r>
      <w:r>
        <w:t xml:space="preserve"> </w:t>
      </w:r>
      <w:r>
        <w:t xml:space="preserve">por encomenda (~20%); e a nova</w:t>
      </w:r>
      <w:r>
        <w:t xml:space="preserve"> </w:t>
      </w:r>
      <w:r>
        <w:rPr>
          <w:b/>
          <w:bCs/>
        </w:rPr>
        <w:t xml:space="preserve">prestação de serviços logísticos a terceiros (3PL)</w:t>
      </w:r>
      <w:r>
        <w:t xml:space="preserve">, fluxo incremental viabilizado pelo Hub (receita de ~€300k em 2028, +25%/ano). Acrescem comissões de</w:t>
      </w:r>
      <w:r>
        <w:t xml:space="preserve"> </w:t>
      </w:r>
      <w:r>
        <w:rPr>
          <w:i/>
          <w:iCs/>
        </w:rPr>
        <w:t xml:space="preserve">marketplace</w:t>
      </w:r>
      <w:r>
        <w:t xml:space="preserve">.</w:t>
      </w:r>
    </w:p>
    <w:bookmarkEnd w:id="68"/>
    <w:bookmarkStart w:id="69" w:name="recursos-chave"/>
    <w:p>
      <w:pPr>
        <w:pStyle w:val="Heading2"/>
      </w:pPr>
      <w:r>
        <w:t xml:space="preserve">10.6. Recursos-chave</w:t>
      </w:r>
    </w:p>
    <w:p>
      <w:pPr>
        <w:pStyle w:val="FirstParagraph"/>
      </w:pPr>
      <w:r>
        <w:rPr>
          <w:b/>
          <w:bCs/>
        </w:rPr>
        <w:t xml:space="preserve">Físicos:</w:t>
      </w:r>
      <w:r>
        <w:t xml:space="preserve"> </w:t>
      </w:r>
      <w:r>
        <w:t xml:space="preserve">Lote 29 reabilitado, equipamento de automação (VLM, AMR,</w:t>
      </w:r>
      <w:r>
        <w:t xml:space="preserve"> </w:t>
      </w:r>
      <w:r>
        <w:rPr>
          <w:i/>
          <w:iCs/>
        </w:rPr>
        <w:t xml:space="preserve">Box-on-Demand</w:t>
      </w:r>
      <w:r>
        <w:t xml:space="preserve">), rede de lojas.</w:t>
      </w:r>
      <w:r>
        <w:t xml:space="preserve"> </w:t>
      </w:r>
      <w:r>
        <w:rPr>
          <w:b/>
          <w:bCs/>
        </w:rPr>
        <w:t xml:space="preserve">Intelectuais:</w:t>
      </w:r>
      <w:r>
        <w:t xml:space="preserve"> </w:t>
      </w:r>
      <w:r>
        <w:t xml:space="preserve">marca COSTA NOVA,</w:t>
      </w:r>
      <w:r>
        <w:t xml:space="preserve"> </w:t>
      </w:r>
      <w:r>
        <w:rPr>
          <w:i/>
          <w:iCs/>
        </w:rPr>
        <w:t xml:space="preserve">know-how</w:t>
      </w:r>
      <w:r>
        <w:t xml:space="preserve"> </w:t>
      </w:r>
      <w:r>
        <w:t xml:space="preserve">artesanal em grés, certificações (ISO 14001, INOVADORA COTEC).</w:t>
      </w:r>
      <w:r>
        <w:t xml:space="preserve"> </w:t>
      </w:r>
      <w:r>
        <w:rPr>
          <w:b/>
          <w:bCs/>
        </w:rPr>
        <w:t xml:space="preserve">Humanos:</w:t>
      </w:r>
      <w:r>
        <w:t xml:space="preserve"> </w:t>
      </w:r>
      <w:r>
        <w:t xml:space="preserve">equipas de Operações e Comercial especializadas, Academia COSTA NOVA Indústria.</w:t>
      </w:r>
      <w:r>
        <w:t xml:space="preserve"> </w:t>
      </w:r>
      <w:r>
        <w:rPr>
          <w:b/>
          <w:bCs/>
        </w:rPr>
        <w:t xml:space="preserve">Financeiros:</w:t>
      </w:r>
      <w:r>
        <w:t xml:space="preserve"> </w:t>
      </w:r>
      <w:r>
        <w:t xml:space="preserve">capacidade de autofinanciamento, dívida CGD/BEI, subsídio PT2030 e crédito RFAI.</w:t>
      </w:r>
    </w:p>
    <w:bookmarkEnd w:id="69"/>
    <w:bookmarkStart w:id="70" w:name="atividades-chave"/>
    <w:p>
      <w:pPr>
        <w:pStyle w:val="Heading2"/>
      </w:pPr>
      <w:r>
        <w:t xml:space="preserve">10.7. Atividades-chave</w:t>
      </w:r>
    </w:p>
    <w:p>
      <w:pPr>
        <w:pStyle w:val="FirstParagraph"/>
      </w:pPr>
      <w:r>
        <w:t xml:space="preserve">Receção e armazenagem automatizada,</w:t>
      </w:r>
      <w:r>
        <w:t xml:space="preserve"> </w:t>
      </w:r>
      <w:r>
        <w:rPr>
          <w:i/>
          <w:iCs/>
        </w:rPr>
        <w:t xml:space="preserve">picking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packing</w:t>
      </w:r>
      <w:r>
        <w:t xml:space="preserve">, expedição, gestão de devoluções, customização para hotelaria e digitalização do ciclo de encomenda (Indústria 4.0), a par da conceção de moldes, preparação de vidrados e controlo de qualidade.</w:t>
      </w:r>
    </w:p>
    <w:bookmarkEnd w:id="70"/>
    <w:bookmarkStart w:id="71" w:name="parcerias-chave"/>
    <w:p>
      <w:pPr>
        <w:pStyle w:val="Heading2"/>
      </w:pPr>
      <w:r>
        <w:t xml:space="preserve">10.8. Parcerias-chave</w:t>
      </w:r>
    </w:p>
    <w:p>
      <w:pPr>
        <w:pStyle w:val="FirstParagraph"/>
      </w:pPr>
      <w:r>
        <w:t xml:space="preserve">Ecogrés (manufatura subcontratada e logística consolidada); universidades e centros de investigação (UA, AIDA — I&amp;D); transportadoras certificadas; parceiros tecnológicos de</w:t>
      </w:r>
      <w:r>
        <w:t xml:space="preserve"> </w:t>
      </w:r>
      <w:r>
        <w:rPr>
          <w:i/>
          <w:iCs/>
        </w:rPr>
        <w:t xml:space="preserve">warehousing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(WMS/MES); instituições financeiras (CGD, BEI/IFD) e o programa PT2030; clientes hoteleiros estratégicos (co-criação/customização).</w:t>
      </w:r>
    </w:p>
    <w:bookmarkEnd w:id="71"/>
    <w:bookmarkStart w:id="72" w:name="estrutura-de-custos"/>
    <w:p>
      <w:pPr>
        <w:pStyle w:val="Heading2"/>
      </w:pPr>
      <w:r>
        <w:t xml:space="preserve">10.9. Estrutura de custos</w:t>
      </w:r>
    </w:p>
    <w:p>
      <w:pPr>
        <w:pStyle w:val="FirstParagraph"/>
      </w:pPr>
      <w:r>
        <w:t xml:space="preserve">Modelo</w:t>
      </w:r>
      <w:r>
        <w:t xml:space="preserve"> </w:t>
      </w:r>
      <w:r>
        <w:rPr>
          <w:b/>
          <w:bCs/>
        </w:rPr>
        <w:t xml:space="preserve">orientado ao valor</w:t>
      </w:r>
      <w:r>
        <w:t xml:space="preserve">. Custos fixos: armazenagem (depreciação do Hub, manutenção, seguros), pessoal estrutural (~€15–18 M/ano) e serviço da dívida. Custos variáveis:</w:t>
      </w:r>
      <w:r>
        <w:t xml:space="preserve"> </w:t>
      </w:r>
      <w:r>
        <w:rPr>
          <w:i/>
          <w:iCs/>
        </w:rPr>
        <w:t xml:space="preserve">handling</w:t>
      </w:r>
      <w:r>
        <w:t xml:space="preserve"> </w:t>
      </w:r>
      <w:r>
        <w:t xml:space="preserve">e expedição (proporcionais ao volume), energia e consumíveis. O Hub gera</w:t>
      </w:r>
      <w:r>
        <w:t xml:space="preserve"> </w:t>
      </w:r>
      <w:r>
        <w:rPr>
          <w:b/>
          <w:bCs/>
        </w:rPr>
        <w:t xml:space="preserve">economias de escala e de eficiência</w:t>
      </w:r>
      <w:r>
        <w:t xml:space="preserve"> </w:t>
      </w:r>
      <w:r>
        <w:t xml:space="preserve">— poupança operacional recorrente de ~€440k/ano e redução de quebras de ~€65k/ano — com</w:t>
      </w:r>
      <w:r>
        <w:t xml:space="preserve"> </w:t>
      </w:r>
      <w:r>
        <w:rPr>
          <w:i/>
          <w:iCs/>
        </w:rPr>
        <w:t xml:space="preserve">opex</w:t>
      </w:r>
      <w:r>
        <w:t xml:space="preserve"> </w:t>
      </w:r>
      <w:r>
        <w:t xml:space="preserve">incremental de ~€225k/ano, resultando num benefício líquido de ~€280k/ano em regime de cruzeiro.</w:t>
      </w:r>
    </w:p>
    <w:bookmarkEnd w:id="72"/>
    <w:bookmarkStart w:id="73" w:name="cronograma-de-implementação"/>
    <w:p>
      <w:pPr>
        <w:pStyle w:val="Heading2"/>
      </w:pPr>
      <w:r>
        <w:t xml:space="preserve">10.10. Cronograma de implementação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Constituição da Grestel COSTA NOVA SL (Madrid)</w:t>
            </w:r>
          </w:p>
        </w:tc>
        <w:tc>
          <w:tcPr/>
          <w:p>
            <w:pPr>
              <w:pStyle w:val="Compact"/>
            </w:pPr>
            <w:r>
              <w:t xml:space="preserve">Direção Comercial</w:t>
            </w:r>
          </w:p>
        </w:tc>
        <w:tc>
          <w:tcPr/>
          <w:p>
            <w:pPr>
              <w:pStyle w:val="Compact"/>
            </w:pPr>
            <w:r>
              <w:t xml:space="preserve">Mar. 2025</w:t>
            </w:r>
          </w:p>
        </w:tc>
        <w:tc>
          <w:tcPr/>
          <w:p>
            <w:pPr>
              <w:pStyle w:val="Compact"/>
            </w:pPr>
            <w:r>
              <w:t xml:space="preserve">Concluído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Estudos, projeto e licenciamento do Hub</w:t>
            </w:r>
          </w:p>
        </w:tc>
        <w:tc>
          <w:tcPr/>
          <w:p>
            <w:pPr>
              <w:pStyle w:val="Compact"/>
            </w:pPr>
            <w:r>
              <w:t xml:space="preserve">Direção de Operações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Construção civil / reabilitação do Lote 29 (G1)</w:t>
            </w:r>
          </w:p>
        </w:tc>
        <w:tc>
          <w:tcPr/>
          <w:p>
            <w:pPr>
              <w:pStyle w:val="Compact"/>
            </w:pPr>
            <w:r>
              <w:t xml:space="preserve">Direção de Operações</w:t>
            </w:r>
          </w:p>
        </w:tc>
        <w:tc>
          <w:tcPr/>
          <w:p>
            <w:pPr>
              <w:pStyle w:val="Compact"/>
            </w:pPr>
            <w:r>
              <w:t xml:space="preserve">2025–2026</w:t>
            </w:r>
          </w:p>
        </w:tc>
        <w:tc>
          <w:tcPr/>
          <w:p>
            <w:pPr>
              <w:pStyle w:val="Compact"/>
            </w:pPr>
            <w:r>
              <w:t xml:space="preserve">Planeado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Instalação de equipamento de automação (VLM, AMR)</w:t>
            </w:r>
          </w:p>
        </w:tc>
        <w:tc>
          <w:tcPr/>
          <w:p>
            <w:pPr>
              <w:pStyle w:val="Compact"/>
            </w:pPr>
            <w:r>
              <w:t xml:space="preserve">Direção de Operações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Planeado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Comissionamento e entrada em operação</w:t>
            </w:r>
          </w:p>
        </w:tc>
        <w:tc>
          <w:tcPr/>
          <w:p>
            <w:pPr>
              <w:pStyle w:val="Compact"/>
            </w:pPr>
            <w:r>
              <w:t xml:space="preserve">Direção de Operações</w:t>
            </w:r>
          </w:p>
        </w:tc>
        <w:tc>
          <w:tcPr/>
          <w:p>
            <w:pPr>
              <w:pStyle w:val="Compact"/>
            </w:pPr>
            <w:r>
              <w:t xml:space="preserve">T4 2027</w:t>
            </w:r>
          </w:p>
        </w:tc>
        <w:tc>
          <w:tcPr/>
          <w:p>
            <w:pPr>
              <w:pStyle w:val="Compact"/>
            </w:pPr>
            <w:r>
              <w:t xml:space="preserve">Planeado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Receção do subsídio PT2030 (€2,7 M)</w:t>
            </w:r>
          </w:p>
        </w:tc>
        <w:tc>
          <w:tcPr/>
          <w:p>
            <w:pPr>
              <w:pStyle w:val="Compact"/>
            </w:pPr>
            <w:r>
              <w:t xml:space="preserve">Direção Financeira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Planeado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Operação plena e arranque de serviços 3PL</w:t>
            </w:r>
          </w:p>
        </w:tc>
        <w:tc>
          <w:tcPr/>
          <w:p>
            <w:pPr>
              <w:pStyle w:val="Compact"/>
            </w:pPr>
            <w:r>
              <w:t xml:space="preserve">Direção de Operações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Planeado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Maturidade operacional / avaliação de fase 2</w:t>
            </w:r>
          </w:p>
        </w:tc>
        <w:tc>
          <w:tcPr/>
          <w:p>
            <w:pPr>
              <w:pStyle w:val="Compact"/>
            </w:pPr>
            <w:r>
              <w:t xml:space="preserve">Conselho de Administração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Planeado</w:t>
            </w:r>
          </w:p>
        </w:tc>
      </w:tr>
    </w:tbl>
    <w:bookmarkEnd w:id="73"/>
    <w:bookmarkEnd w:id="74"/>
    <w:bookmarkStart w:id="77" w:name="conclusão"/>
    <w:p>
      <w:pPr>
        <w:pStyle w:val="Heading1"/>
      </w:pPr>
      <w:r>
        <w:t xml:space="preserve">11. Conclusão</w:t>
      </w:r>
    </w:p>
    <w:p>
      <w:r>
        <w:pict>
          <v:rect style="width:0;height:1.5pt" o:hralign="center" o:hrstd="t" o:hr="t"/>
        </w:pict>
      </w:r>
    </w:p>
    <w:bookmarkStart w:id="75" w:name="viabilidade-do-projeto"/>
    <w:p>
      <w:pPr>
        <w:pStyle w:val="Heading2"/>
      </w:pPr>
      <w:r>
        <w:t xml:space="preserve">11.1. Viabilidade do projeto</w:t>
      </w:r>
    </w:p>
    <w:p>
      <w:pPr>
        <w:pStyle w:val="FirstParagraph"/>
      </w:pPr>
      <w:r>
        <w:t xml:space="preserve">O Hub Logístico 4.0 — Costa Nova é</w:t>
      </w:r>
      <w:r>
        <w:t xml:space="preserve"> </w:t>
      </w:r>
      <w:r>
        <w:rPr>
          <w:b/>
          <w:bCs/>
        </w:rPr>
        <w:t xml:space="preserve">economicamente viável</w:t>
      </w:r>
      <w:r>
        <w:t xml:space="preserve">. Descontados ao WACC de 6,46%, os</w:t>
      </w:r>
      <w:r>
        <w:t xml:space="preserve"> </w:t>
      </w:r>
      <w:r>
        <w:rPr>
          <w:i/>
          <w:iCs/>
        </w:rPr>
        <w:t xml:space="preserve">cash-flows</w:t>
      </w:r>
      <w:r>
        <w:t xml:space="preserve"> </w:t>
      </w:r>
      <w:r>
        <w:t xml:space="preserve">incrementais do projeto geram um</w:t>
      </w:r>
      <w:r>
        <w:t xml:space="preserve"> </w:t>
      </w:r>
      <w:r>
        <w:rPr>
          <w:b/>
          <w:bCs/>
        </w:rPr>
        <w:t xml:space="preserve">Valor Atual Líquido de €2.493.769</w:t>
      </w:r>
      <w:r>
        <w:t xml:space="preserve"> </w:t>
      </w:r>
      <w:r>
        <w:t xml:space="preserve">e uma</w:t>
      </w:r>
      <w:r>
        <w:t xml:space="preserve"> </w:t>
      </w:r>
      <w:r>
        <w:rPr>
          <w:b/>
          <w:bCs/>
        </w:rPr>
        <w:t xml:space="preserve">Taxa Interna de Rendibilidade de 17,49%</w:t>
      </w:r>
      <w:r>
        <w:t xml:space="preserve">, que excede o custo do capital em cerca de 11 pontos percentuais. O</w:t>
      </w:r>
      <w:r>
        <w:t xml:space="preserve"> </w:t>
      </w:r>
      <w:r>
        <w:rPr>
          <w:b/>
          <w:bCs/>
        </w:rPr>
        <w:t xml:space="preserve">índice de rendibilidade é de 1,42</w:t>
      </w:r>
      <w:r>
        <w:t xml:space="preserve"> </w:t>
      </w:r>
      <w:r>
        <w:t xml:space="preserve">(cada euro investido gera €1,42 atualizados) e o</w:t>
      </w:r>
      <w:r>
        <w:t xml:space="preserve"> </w:t>
      </w:r>
      <w:r>
        <w:rPr>
          <w:b/>
          <w:bCs/>
          <w:i/>
          <w:iCs/>
        </w:rPr>
        <w:t xml:space="preserve">payback</w:t>
      </w:r>
      <w:r>
        <w:rPr>
          <w:b/>
          <w:bCs/>
        </w:rPr>
        <w:t xml:space="preserve"> </w:t>
      </w:r>
      <w:r>
        <w:rPr>
          <w:b/>
          <w:bCs/>
        </w:rPr>
        <w:t xml:space="preserve">atualizado é de 7,37 anos</w:t>
      </w:r>
      <w:r>
        <w:t xml:space="preserve"> </w:t>
      </w:r>
      <w:r>
        <w:t xml:space="preserve">(</w:t>
      </w:r>
      <w:r>
        <w:rPr>
          <w:i/>
          <w:iCs/>
        </w:rPr>
        <w:t xml:space="preserve">payback</w:t>
      </w:r>
      <w:r>
        <w:t xml:space="preserve"> </w:t>
      </w:r>
      <w:r>
        <w:t xml:space="preserve">simples de 6,12 anos), confortavelmente dentro do horizonte de avaliação de 10 anos. A avaliação complementar por APV confirma a conclusão, com um</w:t>
      </w:r>
      <w:r>
        <w:t xml:space="preserve"> </w:t>
      </w:r>
      <w:r>
        <w:rPr>
          <w:b/>
          <w:bCs/>
        </w:rPr>
        <w:t xml:space="preserve">VALA de €3.718.544</w:t>
      </w:r>
      <w:r>
        <w:t xml:space="preserve">: o projeto</w:t>
      </w:r>
      <w:r>
        <w:t xml:space="preserve"> </w:t>
      </w:r>
      <w:r>
        <w:rPr>
          <w:b/>
          <w:bCs/>
        </w:rPr>
        <w:t xml:space="preserve">cria valor já ao nível das operações (€1,21 M, descontadas ao custo de capital desalavancado Ku de 7,20%), antes de qualquer apoio</w:t>
      </w:r>
      <w:r>
        <w:t xml:space="preserve">, ao que acrescem o subsídio PT2030 (€2,08 M atualizados — o principal criador de valor adicional), o escudo fiscal da dívida (€0,20 M) e o crédito RFAI (€0,22 M).</w:t>
      </w:r>
    </w:p>
    <w:p>
      <w:pPr>
        <w:pStyle w:val="BodyText"/>
      </w:pPr>
      <w:r>
        <w:t xml:space="preserve">A robustez da conclusão foi testada de três formas: a</w:t>
      </w:r>
      <w:r>
        <w:t xml:space="preserve"> </w:t>
      </w:r>
      <w:r>
        <w:rPr>
          <w:b/>
          <w:bCs/>
        </w:rPr>
        <w:t xml:space="preserve">análise de sensibilidade (Tornado)</w:t>
      </w:r>
      <w:r>
        <w:t xml:space="preserve"> </w:t>
      </w:r>
      <w:r>
        <w:t xml:space="preserve">mantém o VAL positivo em todas as variáveis, mesmo no pior cenário de cada</w:t>
      </w:r>
      <w:r>
        <w:t xml:space="preserve"> </w:t>
      </w:r>
      <w:r>
        <w:rPr>
          <w:i/>
          <w:iCs/>
        </w:rPr>
        <w:t xml:space="preserve">driver</w:t>
      </w:r>
      <w:r>
        <w:t xml:space="preserve"> </w:t>
      </w:r>
      <w:r>
        <w:t xml:space="preserve">(CAPEX +15%, WACC 10%); a</w:t>
      </w:r>
      <w:r>
        <w:t xml:space="preserve"> </w:t>
      </w:r>
      <w:r>
        <w:rPr>
          <w:b/>
          <w:bCs/>
        </w:rPr>
        <w:t xml:space="preserve">simulação de Monte Carlo</w:t>
      </w:r>
      <w:r>
        <w:t xml:space="preserve"> </w:t>
      </w:r>
      <w:r>
        <w:t xml:space="preserve">(N = 2.000) estima uma</w:t>
      </w:r>
      <w:r>
        <w:t xml:space="preserve"> </w:t>
      </w:r>
      <w:r>
        <w:rPr>
          <w:b/>
          <w:bCs/>
        </w:rPr>
        <w:t xml:space="preserve">probabilidade de VAL &gt; 0 de 99,95%</w:t>
      </w:r>
      <w:r>
        <w:t xml:space="preserve"> </w:t>
      </w:r>
      <w:r>
        <w:t xml:space="preserve">e um intervalo de confiança a 90% de €1,37 M a €3,74 M; e o</w:t>
      </w:r>
      <w:r>
        <w:t xml:space="preserve"> </w:t>
      </w:r>
      <w:r>
        <w:rPr>
          <w:b/>
          <w:bCs/>
        </w:rPr>
        <w:t xml:space="preserve">WACC dinâmico (Miles-Ezzell)</w:t>
      </w:r>
      <w:r>
        <w:t xml:space="preserve"> </w:t>
      </w:r>
      <w:r>
        <w:t xml:space="preserve">preserva um VAL de €1,64 M. A variável crítica é o CAPEX, o que justifica a reserva de contingência e os mecanismos de controlo de execução previstos.</w:t>
      </w:r>
    </w:p>
    <w:bookmarkEnd w:id="75"/>
    <w:bookmarkStart w:id="76" w:name="X0b5fd285d01023c593f98ac1d82bb114e9c4d34"/>
    <w:p>
      <w:pPr>
        <w:pStyle w:val="Heading2"/>
      </w:pPr>
      <w:r>
        <w:t xml:space="preserve">11.2. Impacto na estrutura económica e financeira</w:t>
      </w:r>
    </w:p>
    <w:p>
      <w:pPr>
        <w:pStyle w:val="FirstParagraph"/>
      </w:pPr>
      <w:r>
        <w:t xml:space="preserve">O projeto reforça a estrutura económica e financeira da Grestel. A</w:t>
      </w:r>
      <w:r>
        <w:t xml:space="preserve"> </w:t>
      </w:r>
      <w:r>
        <w:rPr>
          <w:b/>
          <w:bCs/>
        </w:rPr>
        <w:t xml:space="preserve">autonomia financeira evolui de 30,3% (2024) para 57,7% (2029)</w:t>
      </w:r>
      <w:r>
        <w:t xml:space="preserve">, o rácio</w:t>
      </w:r>
      <w:r>
        <w:t xml:space="preserve"> </w:t>
      </w:r>
      <w:r>
        <w:rPr>
          <w:b/>
          <w:bCs/>
        </w:rPr>
        <w:t xml:space="preserve">Dívida Líquida/EBITDA desalavanca de 4,1× para 0,5×</w:t>
      </w:r>
      <w:r>
        <w:t xml:space="preserve">, e a rendibilidade mantém-se sólida (</w:t>
      </w:r>
      <w:r>
        <w:rPr>
          <w:b/>
          <w:bCs/>
        </w:rPr>
        <w:t xml:space="preserve">ROE de ~19–21%; ROIC de ~16%</w:t>
      </w:r>
      <w:r>
        <w:t xml:space="preserve">, claramente acima do WACC de 6,46% — sinal inequívoco de criação de valor). A</w:t>
      </w:r>
      <w:r>
        <w:t xml:space="preserve"> </w:t>
      </w:r>
      <w:r>
        <w:rPr>
          <w:b/>
          <w:bCs/>
        </w:rPr>
        <w:t xml:space="preserve">margem EBITDA sobe de ~14% para 18,8%</w:t>
      </w:r>
      <w:r>
        <w:t xml:space="preserve"> </w:t>
      </w:r>
      <w:r>
        <w:t xml:space="preserve">em regime de cruzeiro e o ciclo de conversão de caixa reduz-se de 143 para 117 dias.</w:t>
      </w:r>
    </w:p>
    <w:p>
      <w:pPr>
        <w:pStyle w:val="BodyText"/>
      </w:pPr>
      <w:r>
        <w:t xml:space="preserve">É relevante notar que,</w:t>
      </w:r>
      <w:r>
        <w:t xml:space="preserve"> </w:t>
      </w:r>
      <w:r>
        <w:rPr>
          <w:b/>
          <w:bCs/>
        </w:rPr>
        <w:t xml:space="preserve">sem o Hub, a autonomia financeira atingiria 62,0% em 2029, com o ROE a descer para 15,6%</w:t>
      </w:r>
      <w:r>
        <w:t xml:space="preserve"> </w:t>
      </w:r>
      <w:r>
        <w:t xml:space="preserve">— um perfil excessivamente conservador e subalavancado, motivado por forte geração de caixa e baixo reinvestimento. O projeto permite uma utilização mais eficiente do capital, mantendo a solidez financeira e elevando a rendibilidade.</w:t>
      </w:r>
    </w:p>
    <w:p>
      <w:pPr>
        <w:pStyle w:val="BodyText"/>
      </w:pPr>
      <w:r>
        <w:t xml:space="preserve">A principal</w:t>
      </w:r>
      <w:r>
        <w:t xml:space="preserve"> </w:t>
      </w:r>
      <w:r>
        <w:rPr>
          <w:b/>
          <w:bCs/>
        </w:rPr>
        <w:t xml:space="preserve">vulnerabilidade que persiste</w:t>
      </w:r>
      <w:r>
        <w:t xml:space="preserve"> </w:t>
      </w:r>
      <w:r>
        <w:t xml:space="preserve">após o investimento é externa e não financeira: a exposição tarifária e cambial ao mercado norte-americano (~60% das vendas em USD), assinalada pela administração como risco material em aberto. É precisamente esta vulnerabilidade que o Hub ajuda a mitigar, ao viabilizar a estratégia de diversificação geográfica (desenvolvimento de mercado) com prazos de entrega competitivos nos mercados europeus e asiáticos.</w:t>
      </w:r>
    </w:p>
    <w:bookmarkEnd w:id="76"/>
    <w:bookmarkEnd w:id="77"/>
    <w:bookmarkStart w:id="79" w:name="plano-de-contingência"/>
    <w:p>
      <w:pPr>
        <w:pStyle w:val="Heading1"/>
      </w:pPr>
      <w:r>
        <w:t xml:space="preserve">12. Plano de Contingência</w:t>
      </w:r>
    </w:p>
    <w:p>
      <w:pPr>
        <w:pStyle w:val="FirstParagraph"/>
      </w:pPr>
      <w:r>
        <w:t xml:space="preserve">Para cada risco crítico identificado no Cap. 8, define-se um plano de resposta específico, com gatilho de ativação, ação, responsável e recursos. O plano prevê uma</w:t>
      </w:r>
      <w:r>
        <w:t xml:space="preserve"> </w:t>
      </w:r>
      <w:r>
        <w:rPr>
          <w:b/>
          <w:bCs/>
        </w:rPr>
        <w:t xml:space="preserve">reserva de tesouraria mínima de €500.000</w:t>
      </w:r>
      <w:r>
        <w:t xml:space="preserve"> </w:t>
      </w:r>
      <w:r>
        <w:t xml:space="preserve">e uma</w:t>
      </w:r>
      <w:r>
        <w:t xml:space="preserve"> </w:t>
      </w:r>
      <w:r>
        <w:rPr>
          <w:b/>
          <w:bCs/>
        </w:rPr>
        <w:t xml:space="preserve">reserva de contingência de 10% do CAPEX (€600.000)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 (ref. Cap. 8)</w:t>
            </w:r>
          </w:p>
        </w:tc>
        <w:tc>
          <w:tcPr/>
          <w:p>
            <w:pPr>
              <w:pStyle w:val="Compact"/>
            </w:pPr>
            <w:r>
              <w:t xml:space="preserve">Gatilho de ativação</w:t>
            </w:r>
          </w:p>
        </w:tc>
        <w:tc>
          <w:tcPr/>
          <w:p>
            <w:pPr>
              <w:pStyle w:val="Compact"/>
            </w:pPr>
            <w:r>
              <w:t xml:space="preserve">Ação de contingência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Recursos necessários</w:t>
            </w:r>
          </w:p>
        </w:tc>
        <w:tc>
          <w:tcPr/>
          <w:p>
            <w:pPr>
              <w:pStyle w:val="Compact"/>
            </w:pPr>
            <w:r>
              <w:t xml:space="preserve">Prazo de 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Atraso na obra do Hub (&gt; 6 meses)</w:t>
            </w:r>
          </w:p>
        </w:tc>
        <w:tc>
          <w:tcPr/>
          <w:p>
            <w:pPr>
              <w:pStyle w:val="Compact"/>
            </w:pPr>
            <w:r>
              <w:t xml:space="preserve">Inspeção trimestral de progresso abaixo do plano</w:t>
            </w:r>
          </w:p>
        </w:tc>
        <w:tc>
          <w:tcPr/>
          <w:p>
            <w:pPr>
              <w:pStyle w:val="Compact"/>
            </w:pPr>
            <w:r>
              <w:t xml:space="preserve">Reafetação de recursos para</w:t>
            </w:r>
            <w:r>
              <w:t xml:space="preserve"> </w:t>
            </w:r>
            <w:r>
              <w:rPr>
                <w:i/>
                <w:iCs/>
              </w:rPr>
              <w:t xml:space="preserve">catch-up</w:t>
            </w:r>
            <w:r>
              <w:t xml:space="preserve">; renegociação de prazos com fornecedores; ativação da reserva de contingência</w:t>
            </w:r>
          </w:p>
        </w:tc>
        <w:tc>
          <w:tcPr/>
          <w:p>
            <w:pPr>
              <w:pStyle w:val="Compact"/>
            </w:pPr>
            <w:r>
              <w:t xml:space="preserve">Direção de Operações</w:t>
            </w:r>
          </w:p>
        </w:tc>
        <w:tc>
          <w:tcPr/>
          <w:p>
            <w:pPr>
              <w:pStyle w:val="Compact"/>
            </w:pPr>
            <w:r>
              <w:t xml:space="preserve">Reserva de contingência (€600k)</w:t>
            </w:r>
          </w:p>
        </w:tc>
        <w:tc>
          <w:tcPr/>
          <w:p>
            <w:pPr>
              <w:pStyle w:val="Compact"/>
            </w:pPr>
            <w:r>
              <w:t xml:space="preserve">1 trimestre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Derrapagem do CAPEX (variável nº 1 do VAL)</w:t>
            </w:r>
          </w:p>
        </w:tc>
        <w:tc>
          <w:tcPr/>
          <w:p>
            <w:pPr>
              <w:pStyle w:val="Compact"/>
            </w:pPr>
            <w:r>
              <w:t xml:space="preserve">Desvio orçamental &gt; 10% face ao previsto</w:t>
            </w:r>
          </w:p>
        </w:tc>
        <w:tc>
          <w:tcPr/>
          <w:p>
            <w:pPr>
              <w:pStyle w:val="Compact"/>
            </w:pPr>
            <w:r>
              <w:t xml:space="preserve">Revisão do escopo; faseamento de equipamento; recurso à reserva de contingência e à folga do subsídio PT2030</w:t>
            </w:r>
          </w:p>
        </w:tc>
        <w:tc>
          <w:tcPr/>
          <w:p>
            <w:pPr>
              <w:pStyle w:val="Compact"/>
            </w:pPr>
            <w:r>
              <w:t xml:space="preserve">Direção de Operações + Financeira</w:t>
            </w:r>
          </w:p>
        </w:tc>
        <w:tc>
          <w:tcPr/>
          <w:p>
            <w:pPr>
              <w:pStyle w:val="Compact"/>
            </w:pPr>
            <w:r>
              <w:t xml:space="preserve">Reserva de contingência; PT2030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Subdimensionamento da procura</w:t>
            </w:r>
          </w:p>
        </w:tc>
        <w:tc>
          <w:tcPr/>
          <w:p>
            <w:pPr>
              <w:pStyle w:val="Compact"/>
            </w:pPr>
            <w:r>
              <w:t xml:space="preserve">Vendas &lt; 90% do pressuposto por 2 trimestres consecutivos</w:t>
            </w:r>
          </w:p>
        </w:tc>
        <w:tc>
          <w:tcPr/>
          <w:p>
            <w:pPr>
              <w:pStyle w:val="Compact"/>
            </w:pPr>
            <w:r>
              <w:t xml:space="preserve">Revisão do</w:t>
            </w:r>
            <w:r>
              <w:t xml:space="preserve"> </w:t>
            </w:r>
            <w:r>
              <w:rPr>
                <w:i/>
                <w:iCs/>
              </w:rPr>
              <w:t xml:space="preserve">business plan</w:t>
            </w:r>
            <w:r>
              <w:t xml:space="preserve">; flexibilização arrendamento</w:t>
            </w:r>
            <w:r>
              <w:t xml:space="preserve"> </w:t>
            </w:r>
            <w:r>
              <w:rPr>
                <w:i/>
                <w:iCs/>
              </w:rPr>
              <w:t xml:space="preserve">vs.</w:t>
            </w:r>
            <w:r>
              <w:t xml:space="preserve"> </w:t>
            </w:r>
            <w:r>
              <w:t xml:space="preserve">compra; redução temporária de existências no Hub</w:t>
            </w:r>
          </w:p>
        </w:tc>
        <w:tc>
          <w:tcPr/>
          <w:p>
            <w:pPr>
              <w:pStyle w:val="Compact"/>
            </w:pPr>
            <w:r>
              <w:t xml:space="preserve">Direção Financeira</w:t>
            </w:r>
          </w:p>
        </w:tc>
        <w:tc>
          <w:tcPr/>
          <w:p>
            <w:pPr>
              <w:pStyle w:val="Compact"/>
            </w:pPr>
            <w:r>
              <w:t xml:space="preserve">Linhas de crédito; reserva de tesouraria</w:t>
            </w:r>
          </w:p>
        </w:tc>
        <w:tc>
          <w:tcPr/>
          <w:p>
            <w:pPr>
              <w:pStyle w:val="Compact"/>
            </w:pPr>
            <w:r>
              <w:t xml:space="preserve">2 trimestres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Aumento de tarifas dos EUA (risco crítico externo)</w:t>
            </w:r>
          </w:p>
        </w:tc>
        <w:tc>
          <w:tcPr/>
          <w:p>
            <w:pPr>
              <w:pStyle w:val="Compact"/>
            </w:pPr>
            <w:r>
              <w:t xml:space="preserve">Entrada em vigor de novas tarifas sobre cerâmica</w:t>
            </w:r>
          </w:p>
        </w:tc>
        <w:tc>
          <w:tcPr/>
          <w:p>
            <w:pPr>
              <w:pStyle w:val="Compact"/>
            </w:pPr>
            <w:r>
              <w:t xml:space="preserve">Reunião com clientes para partilha de custos; renegociação de condições; aceleração da diversificação para mercados europeus/asiáticos</w:t>
            </w:r>
          </w:p>
        </w:tc>
        <w:tc>
          <w:tcPr/>
          <w:p>
            <w:pPr>
              <w:pStyle w:val="Compact"/>
            </w:pPr>
            <w:r>
              <w:t xml:space="preserve">Direção Comercial</w:t>
            </w:r>
          </w:p>
        </w:tc>
        <w:tc>
          <w:tcPr/>
          <w:p>
            <w:pPr>
              <w:pStyle w:val="Compact"/>
            </w:pPr>
            <w:r>
              <w:t xml:space="preserve">Equipa comercial; rede europeia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Sobreocupação do Hub</w:t>
            </w:r>
          </w:p>
        </w:tc>
        <w:tc>
          <w:tcPr/>
          <w:p>
            <w:pPr>
              <w:pStyle w:val="Compact"/>
            </w:pPr>
            <w:r>
              <w:t xml:space="preserve">Ocupação &gt; 95% no primeiro ano</w:t>
            </w:r>
          </w:p>
        </w:tc>
        <w:tc>
          <w:tcPr/>
          <w:p>
            <w:pPr>
              <w:pStyle w:val="Compact"/>
            </w:pPr>
            <w:r>
              <w:t xml:space="preserve">Arrendamento de espaço adicional no Lote 29 ou área próxima; antecipação da fase 2</w:t>
            </w:r>
          </w:p>
        </w:tc>
        <w:tc>
          <w:tcPr/>
          <w:p>
            <w:pPr>
              <w:pStyle w:val="Compact"/>
            </w:pPr>
            <w:r>
              <w:t xml:space="preserve">Direção de Operações</w:t>
            </w:r>
          </w:p>
        </w:tc>
        <w:tc>
          <w:tcPr/>
          <w:p>
            <w:pPr>
              <w:pStyle w:val="Compact"/>
            </w:pPr>
            <w:r>
              <w:t xml:space="preserve">CAPEX fase 2; espaço ZI Vagos</w:t>
            </w:r>
          </w:p>
        </w:tc>
        <w:tc>
          <w:tcPr/>
          <w:p>
            <w:pPr>
              <w:pStyle w:val="Compact"/>
            </w:pPr>
            <w:r>
              <w:t xml:space="preserve">1–2 trimestres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Pressão de tesouraria / serviço da dívida (pico 2028)</w:t>
            </w:r>
          </w:p>
        </w:tc>
        <w:tc>
          <w:tcPr/>
          <w:p>
            <w:pPr>
              <w:pStyle w:val="Compact"/>
            </w:pPr>
            <w:r>
              <w:t xml:space="preserve">DSCR &lt; 1,1× ou</w:t>
            </w:r>
            <w:r>
              <w:t xml:space="preserve"> </w:t>
            </w:r>
            <w:r>
              <w:rPr>
                <w:i/>
                <w:iCs/>
              </w:rPr>
              <w:t xml:space="preserve">covenant</w:t>
            </w:r>
            <w:r>
              <w:t xml:space="preserve"> </w:t>
            </w:r>
            <w:r>
              <w:t xml:space="preserve">em risco</w:t>
            </w:r>
          </w:p>
        </w:tc>
        <w:tc>
          <w:tcPr/>
          <w:p>
            <w:pPr>
              <w:pStyle w:val="Compact"/>
            </w:pPr>
            <w:r>
              <w:t xml:space="preserve">Acionamento de prestações suplementares dos acionistas; uso da reserva de tesouraria; renegociação de carência</w:t>
            </w:r>
          </w:p>
        </w:tc>
        <w:tc>
          <w:tcPr/>
          <w:p>
            <w:pPr>
              <w:pStyle w:val="Compact"/>
            </w:pPr>
            <w:r>
              <w:t xml:space="preserve">Direção Financeira</w:t>
            </w:r>
          </w:p>
        </w:tc>
        <w:tc>
          <w:tcPr/>
          <w:p>
            <w:pPr>
              <w:pStyle w:val="Compact"/>
            </w:pPr>
            <w:r>
              <w:t xml:space="preserve">Suprimentos; reserva de tesouraria €500k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8" w:name="procedimentos-de-revisão-do-plano"/>
    <w:p>
      <w:pPr>
        <w:pStyle w:val="Heading2"/>
      </w:pPr>
      <w:r>
        <w:t xml:space="preserve">Procedimentos de revisão do plano</w:t>
      </w:r>
    </w:p>
    <w:p>
      <w:pPr>
        <w:pStyle w:val="FirstParagraph"/>
      </w:pPr>
      <w:r>
        <w:t xml:space="preserve">O plano de contingência é revisto</w:t>
      </w:r>
      <w:r>
        <w:t xml:space="preserve"> </w:t>
      </w:r>
      <w:r>
        <w:rPr>
          <w:b/>
          <w:bCs/>
        </w:rPr>
        <w:t xml:space="preserve">trimestralmente</w:t>
      </w:r>
      <w:r>
        <w:t xml:space="preserve"> </w:t>
      </w:r>
      <w:r>
        <w:t xml:space="preserve">pela Direção Financeira, em articulação com a Direção de Operações, no âmbito do ciclo de controlo de gestão (Cap. 4.3). A revisão atualiza os gatilhos de ativação face aos valores realizados, reavalia a adequação das reservas e reporta ao Conselho de Administração. Uma revisão extraordinária é desencadeada sempre que qualquer gatilho seja ativado ou ocorra um evento externo material (p. ex., anúncio de novas tarifas).</w:t>
      </w:r>
    </w:p>
    <w:bookmarkEnd w:id="78"/>
    <w:bookmarkEnd w:id="79"/>
    <w:bookmarkStart w:id="80" w:name="referências-bibliográficas"/>
    <w:p>
      <w:pPr>
        <w:pStyle w:val="Heading1"/>
      </w:pPr>
      <w:r>
        <w:t xml:space="preserve">Referências Bibliográficas</w:t>
      </w:r>
    </w:p>
    <w:p>
      <w:pPr>
        <w:pStyle w:val="FirstParagraph"/>
      </w:pPr>
      <w:r>
        <w:t xml:space="preserve">Ansoff, H. I. (1957). Strategies for diversification.</w:t>
      </w:r>
      <w:r>
        <w:t xml:space="preserve"> </w:t>
      </w:r>
      <w:r>
        <w:rPr>
          <w:i/>
          <w:iCs/>
        </w:rPr>
        <w:t xml:space="preserve">Harvard Business Review</w:t>
      </w:r>
      <w:r>
        <w:t xml:space="preserve">, 35(5), 113–124.</w:t>
      </w:r>
    </w:p>
    <w:p>
      <w:pPr>
        <w:pStyle w:val="BodyText"/>
      </w:pPr>
      <w:r>
        <w:t xml:space="preserve">Banco Central Europeu. (2025).</w:t>
      </w:r>
      <w:r>
        <w:t xml:space="preserve"> </w:t>
      </w:r>
      <w:r>
        <w:rPr>
          <w:i/>
          <w:iCs/>
        </w:rPr>
        <w:t xml:space="preserve">Projeções macroeconómicas para a área do euro</w:t>
      </w:r>
      <w:r>
        <w:t xml:space="preserve">. BCE.</w:t>
      </w:r>
    </w:p>
    <w:p>
      <w:pPr>
        <w:pStyle w:val="BodyText"/>
      </w:pPr>
      <w:r>
        <w:t xml:space="preserve">Banco de Portugal. (2025).</w:t>
      </w:r>
      <w:r>
        <w:t xml:space="preserve"> </w:t>
      </w:r>
      <w:r>
        <w:rPr>
          <w:i/>
          <w:iCs/>
        </w:rPr>
        <w:t xml:space="preserve">Boletim Económico</w:t>
      </w:r>
      <w:r>
        <w:t xml:space="preserve">. Banco de Portugal.</w:t>
      </w:r>
    </w:p>
    <w:p>
      <w:pPr>
        <w:pStyle w:val="BodyText"/>
      </w:pPr>
      <w:r>
        <w:t xml:space="preserve">Damodaran, A. (2024).</w:t>
      </w:r>
      <w:r>
        <w:t xml:space="preserve"> </w:t>
      </w:r>
      <w:r>
        <w:rPr>
          <w:i/>
          <w:iCs/>
        </w:rPr>
        <w:t xml:space="preserve">Equity risk premiums (ERP): Determinants, estimation and implications</w:t>
      </w:r>
      <w:r>
        <w:t xml:space="preserve">. Stern School of Business, New York University.</w:t>
      </w:r>
    </w:p>
    <w:p>
      <w:pPr>
        <w:pStyle w:val="BodyText"/>
      </w:pPr>
      <w:r>
        <w:t xml:space="preserve">Decreto-Lei n.º 162/2014, de 31 de outubro.</w:t>
      </w:r>
      <w:r>
        <w:t xml:space="preserve"> </w:t>
      </w:r>
      <w:r>
        <w:rPr>
          <w:i/>
          <w:iCs/>
        </w:rPr>
        <w:t xml:space="preserve">Código Fiscal do Investimento (CFI)</w:t>
      </w:r>
      <w:r>
        <w:t xml:space="preserve"> </w:t>
      </w:r>
      <w:r>
        <w:t xml:space="preserve">— Regime Fiscal de Apoio ao Investimento (RFAI). Diário da República.</w:t>
      </w:r>
    </w:p>
    <w:p>
      <w:pPr>
        <w:pStyle w:val="BodyText"/>
      </w:pPr>
      <w:r>
        <w:t xml:space="preserve">Decreto-Lei n.º 442-B/88, de 30 de novembro.</w:t>
      </w:r>
      <w:r>
        <w:t xml:space="preserve"> </w:t>
      </w:r>
      <w:r>
        <w:rPr>
          <w:i/>
          <w:iCs/>
        </w:rPr>
        <w:t xml:space="preserve">Código do Imposto sobre o Rendimento das Pessoas Coletivas (CIRC)</w:t>
      </w:r>
      <w:r>
        <w:t xml:space="preserve">. Diário da República.</w:t>
      </w:r>
    </w:p>
    <w:p>
      <w:pPr>
        <w:pStyle w:val="BodyText"/>
      </w:pPr>
      <w:r>
        <w:t xml:space="preserve">Grestel — Produtos Cerâmicos, S.A. (2025).</w:t>
      </w:r>
      <w:r>
        <w:t xml:space="preserve"> </w:t>
      </w:r>
      <w:r>
        <w:rPr>
          <w:i/>
          <w:iCs/>
        </w:rPr>
        <w:t xml:space="preserve">Relatório de Gestão e Contas de 2024</w:t>
      </w:r>
      <w:r>
        <w:t xml:space="preserve">. Grestel.</w:t>
      </w:r>
    </w:p>
    <w:p>
      <w:pPr>
        <w:pStyle w:val="BodyText"/>
      </w:pPr>
      <w:r>
        <w:t xml:space="preserve">Lei n.º 102/2009, de 10 de setembro.</w:t>
      </w:r>
      <w:r>
        <w:t xml:space="preserve"> </w:t>
      </w:r>
      <w:r>
        <w:rPr>
          <w:i/>
          <w:iCs/>
        </w:rPr>
        <w:t xml:space="preserve">Regime jurídico da promoção da segurança e saúde no trabalho</w:t>
      </w:r>
      <w:r>
        <w:t xml:space="preserve">. Diário da República.</w:t>
      </w:r>
    </w:p>
    <w:p>
      <w:pPr>
        <w:pStyle w:val="BodyText"/>
      </w:pPr>
      <w:r>
        <w:t xml:space="preserve">Miles, J. A., &amp; Ezzell, J. R. (1980). The weighted average cost of capital, perfect capital markets, and project life: A clarification.</w:t>
      </w:r>
      <w:r>
        <w:t xml:space="preserve"> </w:t>
      </w:r>
      <w:r>
        <w:rPr>
          <w:i/>
          <w:iCs/>
        </w:rPr>
        <w:t xml:space="preserve">Journal of Financial and Quantitative Analysis</w:t>
      </w:r>
      <w:r>
        <w:t xml:space="preserve">, 15(3), 719–730.</w:t>
      </w:r>
    </w:p>
    <w:p>
      <w:pPr>
        <w:pStyle w:val="BodyText"/>
      </w:pPr>
      <w:r>
        <w:t xml:space="preserve">Myers, S. C. (1974). Interactions of corporate financing and investment decisions — Implications for capital budgeting.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, 29(1), 1–25.</w:t>
      </w:r>
    </w:p>
    <w:p>
      <w:pPr>
        <w:pStyle w:val="BodyText"/>
      </w:pPr>
      <w:r>
        <w:t xml:space="preserve">Norma Contabilística e de Relato Financeiro (NCRF) 10 —</w:t>
      </w:r>
      <w:r>
        <w:t xml:space="preserve"> </w:t>
      </w:r>
      <w:r>
        <w:rPr>
          <w:i/>
          <w:iCs/>
        </w:rPr>
        <w:t xml:space="preserve">Custos de empréstimos obtidos</w:t>
      </w:r>
      <w:r>
        <w:t xml:space="preserve">. Sistema de Normalização Contabilística.</w:t>
      </w:r>
    </w:p>
    <w:p>
      <w:pPr>
        <w:pStyle w:val="BodyText"/>
      </w:pPr>
      <w:r>
        <w:t xml:space="preserve">Norma Contabilística e de Relato Financeiro (NCRF) 22 —</w:t>
      </w:r>
      <w:r>
        <w:t xml:space="preserve"> </w:t>
      </w:r>
      <w:r>
        <w:rPr>
          <w:i/>
          <w:iCs/>
        </w:rPr>
        <w:t xml:space="preserve">Contabilização dos subsídios do Governo e divulgação de apoios do Governo</w:t>
      </w:r>
      <w:r>
        <w:t xml:space="preserve">. Sistema de Normalização Contabilística.</w:t>
      </w:r>
    </w:p>
    <w:p>
      <w:pPr>
        <w:pStyle w:val="BodyText"/>
      </w:pPr>
      <w:r>
        <w:t xml:space="preserve">Norma NP ISO 14001:2015 —</w:t>
      </w:r>
      <w:r>
        <w:t xml:space="preserve"> </w:t>
      </w:r>
      <w:r>
        <w:rPr>
          <w:i/>
          <w:iCs/>
        </w:rPr>
        <w:t xml:space="preserve">Sistemas de gestão ambiental: Requisitos e linhas de orientação para a sua utilização</w:t>
      </w:r>
      <w:r>
        <w:t xml:space="preserve">. Instituto Português da Qualidade.</w:t>
      </w:r>
    </w:p>
    <w:p>
      <w:pPr>
        <w:pStyle w:val="BodyText"/>
      </w:pPr>
      <w:r>
        <w:t xml:space="preserve">Osterwalder, A., &amp; Pigneur, Y. (2010).</w:t>
      </w:r>
      <w:r>
        <w:t xml:space="preserve"> </w:t>
      </w:r>
      <w:r>
        <w:rPr>
          <w:i/>
          <w:iCs/>
        </w:rPr>
        <w:t xml:space="preserve">Business Model Generation: A handbook for visionaries, game changers, and challengers</w:t>
      </w:r>
      <w:r>
        <w:t xml:space="preserve">. John Wiley &amp; Sons.</w:t>
      </w:r>
    </w:p>
    <w:p>
      <w:pPr>
        <w:pStyle w:val="BodyText"/>
      </w:pPr>
      <w:r>
        <w:t xml:space="preserve">Portugal 2030. (2024).</w:t>
      </w:r>
      <w:r>
        <w:t xml:space="preserve"> </w:t>
      </w:r>
      <w:r>
        <w:rPr>
          <w:i/>
          <w:iCs/>
        </w:rPr>
        <w:t xml:space="preserve">Sistema de Incentivos às Empresas — FEDER, eixo Competitividade e Internacionalização</w:t>
      </w:r>
      <w:r>
        <w:t xml:space="preserve">. Agência para o Desenvolvimento e Coesão.</w:t>
      </w:r>
    </w:p>
    <w:bookmarkEnd w:id="80"/>
    <w:bookmarkStart w:id="86" w:name="anexos"/>
    <w:p>
      <w:pPr>
        <w:pStyle w:val="Heading1"/>
      </w:pPr>
      <w:r>
        <w:t xml:space="preserve">Anexos</w:t>
      </w:r>
    </w:p>
    <w:p>
      <w:r>
        <w:pict>
          <v:rect style="width:0;height:1.5pt" o:hralign="center" o:hrstd="t" o:hr="t"/>
        </w:pict>
      </w:r>
    </w:p>
    <w:bookmarkStart w:id="81" w:name="anexo-i-mapas-de-pressupostos-detalhados"/>
    <w:p>
      <w:pPr>
        <w:pStyle w:val="Heading2"/>
      </w:pPr>
      <w:r>
        <w:t xml:space="preserve">Anexo I — Mapas de pressupostos detalhados</w:t>
      </w:r>
    </w:p>
    <w:p>
      <w:pPr>
        <w:pStyle w:val="FirstParagraph"/>
      </w:pPr>
      <w:r>
        <w:t xml:space="preserve">Quadro consolidado dos pressupostos das projeções, fundamentados nas Operações Especiais (OE1–OE3), no Momento 3 e validados face ao histórico de 2024 e ao quadro macroeconómico. Os valores são coerentes com o modelo financeiro atual.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Valor / Critério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Macroeconómicos</w:t>
            </w:r>
          </w:p>
        </w:tc>
        <w:tc>
          <w:tcPr/>
          <w:p>
            <w:pPr>
              <w:pStyle w:val="Compact"/>
            </w:pPr>
            <w:r>
              <w:t xml:space="preserve">Inflação HICP</w:t>
            </w:r>
          </w:p>
        </w:tc>
        <w:tc>
          <w:tcPr/>
          <w:p>
            <w:pPr>
              <w:pStyle w:val="Compact"/>
            </w:pPr>
            <w:r>
              <w:t xml:space="preserve">2,0% (2025); 1,9% (2026–2029)</w:t>
            </w:r>
          </w:p>
        </w:tc>
        <w:tc>
          <w:tcPr/>
          <w:p>
            <w:pPr>
              <w:pStyle w:val="Compact"/>
            </w:pPr>
            <w:r>
              <w:t xml:space="preserve">BCE / Banco de Portugal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Macroeconómicos</w:t>
            </w:r>
          </w:p>
        </w:tc>
        <w:tc>
          <w:tcPr/>
          <w:p>
            <w:pPr>
              <w:pStyle w:val="Compact"/>
            </w:pPr>
            <w:r>
              <w:t xml:space="preserve">Crescimento do PIB</w:t>
            </w:r>
          </w:p>
        </w:tc>
        <w:tc>
          <w:tcPr/>
          <w:p>
            <w:pPr>
              <w:pStyle w:val="Compact"/>
            </w:pPr>
            <w:r>
              <w:t xml:space="preserve">1,8% (2025–2029)</w:t>
            </w:r>
          </w:p>
        </w:tc>
        <w:tc>
          <w:tcPr/>
          <w:p>
            <w:pPr>
              <w:pStyle w:val="Compact"/>
            </w:pPr>
            <w:r>
              <w:t xml:space="preserve">Banco de Portugal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Macroeconómicos</w:t>
            </w:r>
          </w:p>
        </w:tc>
        <w:tc>
          <w:tcPr/>
          <w:p>
            <w:pPr>
              <w:pStyle w:val="Compact"/>
            </w:pPr>
            <w:r>
              <w:t xml:space="preserve">Euribor 12M</w:t>
            </w:r>
          </w:p>
        </w:tc>
        <w:tc>
          <w:tcPr/>
          <w:p>
            <w:pPr>
              <w:pStyle w:val="Compact"/>
            </w:pPr>
            <w:r>
              <w:t xml:space="preserve">3,2% (2025); 3,0% (2026–2029)</w:t>
            </w:r>
          </w:p>
        </w:tc>
        <w:tc>
          <w:tcPr/>
          <w:p>
            <w:pPr>
              <w:pStyle w:val="Compact"/>
            </w:pPr>
            <w:r>
              <w:t xml:space="preserve">BCE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Macroeconómicos</w:t>
            </w:r>
          </w:p>
        </w:tc>
        <w:tc>
          <w:tcPr/>
          <w:p>
            <w:pPr>
              <w:pStyle w:val="Compact"/>
            </w:pPr>
            <w:r>
              <w:t xml:space="preserve">Câmbio EUR/USD</w:t>
            </w:r>
          </w:p>
        </w:tc>
        <w:tc>
          <w:tcPr/>
          <w:p>
            <w:pPr>
              <w:pStyle w:val="Compact"/>
            </w:pPr>
            <w:r>
              <w:t xml:space="preserve">1,04–1,05</w:t>
            </w:r>
          </w:p>
        </w:tc>
        <w:tc>
          <w:tcPr/>
          <w:p>
            <w:pPr>
              <w:pStyle w:val="Compact"/>
            </w:pPr>
            <w:r>
              <w:t xml:space="preserve">BCE — Nota 5 R&amp;C24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(OE2)</w:t>
            </w:r>
          </w:p>
        </w:tc>
        <w:tc>
          <w:tcPr/>
          <w:p>
            <w:pPr>
              <w:pStyle w:val="Compact"/>
            </w:pPr>
            <w:r>
              <w:t xml:space="preserve">Nº de produtos (PAIC)</w:t>
            </w:r>
          </w:p>
        </w:tc>
        <w:tc>
          <w:tcPr/>
          <w:p>
            <w:pPr>
              <w:pStyle w:val="Compact"/>
            </w:pPr>
            <w:r>
              <w:t xml:space="preserve">3 (COSTA NOVA ~50%, Casafina ~30%, Private Label ~20%)</w:t>
            </w:r>
          </w:p>
        </w:tc>
        <w:tc>
          <w:tcPr/>
          <w:p>
            <w:pPr>
              <w:pStyle w:val="Compact"/>
            </w:pPr>
            <w:r>
              <w:t xml:space="preserve">R&amp;C24 — Nota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(OE2)</w:t>
            </w:r>
          </w:p>
        </w:tc>
        <w:tc>
          <w:tcPr/>
          <w:p>
            <w:pPr>
              <w:pStyle w:val="Compact"/>
            </w:pPr>
            <w:r>
              <w:t xml:space="preserve">Crescimento das quantidades</w:t>
            </w:r>
          </w:p>
        </w:tc>
        <w:tc>
          <w:tcPr/>
          <w:p>
            <w:pPr>
              <w:pStyle w:val="Compact"/>
            </w:pPr>
            <w:r>
              <w:t xml:space="preserve">+4%/ano base (até +5% com Hub)</w:t>
            </w:r>
          </w:p>
        </w:tc>
        <w:tc>
          <w:tcPr/>
          <w:p>
            <w:pPr>
              <w:pStyle w:val="Compact"/>
            </w:pPr>
            <w:r>
              <w:t xml:space="preserve">Programa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(OE2)</w:t>
            </w:r>
          </w:p>
        </w:tc>
        <w:tc>
          <w:tcPr/>
          <w:p>
            <w:pPr>
              <w:pStyle w:val="Compact"/>
            </w:pPr>
            <w:r>
              <w:t xml:space="preserve">Evolução de preços</w:t>
            </w:r>
          </w:p>
        </w:tc>
        <w:tc>
          <w:tcPr/>
          <w:p>
            <w:pPr>
              <w:pStyle w:val="Compact"/>
            </w:pPr>
            <w:r>
              <w:t xml:space="preserve">+2%/ano (indexado ao HICP)</w:t>
            </w:r>
          </w:p>
        </w:tc>
        <w:tc>
          <w:tcPr/>
          <w:p>
            <w:pPr>
              <w:pStyle w:val="Compact"/>
            </w:pPr>
            <w:r>
              <w:t xml:space="preserve">Programa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(OE2)</w:t>
            </w:r>
          </w:p>
        </w:tc>
        <w:tc>
          <w:tcPr/>
          <w:p>
            <w:pPr>
              <w:pStyle w:val="Compact"/>
            </w:pPr>
            <w:r>
              <w:t xml:space="preserve">Repartição interno/externo</w:t>
            </w:r>
          </w:p>
        </w:tc>
        <w:tc>
          <w:tcPr/>
          <w:p>
            <w:pPr>
              <w:pStyle w:val="Compact"/>
            </w:pPr>
            <w:r>
              <w:t xml:space="preserve">~17%/83% (2024) → ~20%/80% (2029)</w:t>
            </w:r>
          </w:p>
        </w:tc>
        <w:tc>
          <w:tcPr/>
          <w:p>
            <w:pPr>
              <w:pStyle w:val="Compact"/>
            </w:pPr>
            <w:r>
              <w:t xml:space="preserve">R&amp;C24 — Nota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 (OE2)</w:t>
            </w:r>
          </w:p>
        </w:tc>
        <w:tc>
          <w:tcPr/>
          <w:p>
            <w:pPr>
              <w:pStyle w:val="Compact"/>
            </w:pPr>
            <w:r>
              <w:t xml:space="preserve">Nº de matérias (MPSC)</w:t>
            </w:r>
          </w:p>
        </w:tc>
        <w:tc>
          <w:tcPr/>
          <w:p>
            <w:pPr>
              <w:pStyle w:val="Compact"/>
            </w:pPr>
            <w:r>
              <w:t xml:space="preserve">4 (grés branco ~55%, vidrados ~20%, moldes ~15%, embalagens ~10%)</w:t>
            </w:r>
          </w:p>
        </w:tc>
        <w:tc>
          <w:tcPr/>
          <w:p>
            <w:pPr>
              <w:pStyle w:val="Compact"/>
            </w:pPr>
            <w:r>
              <w:t xml:space="preserve">R&amp;C24 — Nota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 (OE2)</w:t>
            </w:r>
          </w:p>
        </w:tc>
        <w:tc>
          <w:tcPr/>
          <w:p>
            <w:pPr>
              <w:pStyle w:val="Compact"/>
            </w:pPr>
            <w:r>
              <w:t xml:space="preserve">DMI de referência</w:t>
            </w:r>
          </w:p>
        </w:tc>
        <w:tc>
          <w:tcPr/>
          <w:p>
            <w:pPr>
              <w:pStyle w:val="Compact"/>
            </w:pPr>
            <w:r>
              <w:t xml:space="preserve">~90 dias (produtos)</w:t>
            </w:r>
          </w:p>
        </w:tc>
        <w:tc>
          <w:tcPr/>
          <w:p>
            <w:pPr>
              <w:pStyle w:val="Compact"/>
            </w:pPr>
            <w:r>
              <w:t xml:space="preserve">R&amp;C24 — Nota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Operacionais</w:t>
            </w:r>
          </w:p>
        </w:tc>
        <w:tc>
          <w:tcPr/>
          <w:p>
            <w:pPr>
              <w:pStyle w:val="Compact"/>
            </w:pPr>
            <w:r>
              <w:t xml:space="preserve">Crescimento real de FSE</w:t>
            </w:r>
          </w:p>
        </w:tc>
        <w:tc>
          <w:tcPr/>
          <w:p>
            <w:pPr>
              <w:pStyle w:val="Compact"/>
            </w:pPr>
            <w:r>
              <w:t xml:space="preserve">~0% (eficiência compensa inflação)</w:t>
            </w:r>
          </w:p>
        </w:tc>
        <w:tc>
          <w:tcPr/>
          <w:p>
            <w:pPr>
              <w:pStyle w:val="Compact"/>
            </w:pPr>
            <w:r>
              <w:t xml:space="preserve">R&amp;C24 — Nota 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Operacionais</w:t>
            </w:r>
          </w:p>
        </w:tc>
        <w:tc>
          <w:tcPr/>
          <w:p>
            <w:pPr>
              <w:pStyle w:val="Compact"/>
            </w:pPr>
            <w:r>
              <w:t xml:space="preserve">Política salarial</w:t>
            </w:r>
          </w:p>
        </w:tc>
        <w:tc>
          <w:tcPr/>
          <w:p>
            <w:pPr>
              <w:pStyle w:val="Compact"/>
            </w:pPr>
            <w:r>
              <w:t xml:space="preserve">+2%/ano (2025–2027); +1,5%/ano (2028–2029)</w:t>
            </w:r>
          </w:p>
        </w:tc>
        <w:tc>
          <w:tcPr/>
          <w:p>
            <w:pPr>
              <w:pStyle w:val="Compact"/>
            </w:pPr>
            <w:r>
              <w:t xml:space="preserve">CCT setor cerâmico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Operacionais</w:t>
            </w:r>
          </w:p>
        </w:tc>
        <w:tc>
          <w:tcPr/>
          <w:p>
            <w:pPr>
              <w:pStyle w:val="Compact"/>
            </w:pPr>
            <w:r>
              <w:t xml:space="preserve">Quadro de pessoal</w:t>
            </w:r>
          </w:p>
        </w:tc>
        <w:tc>
          <w:tcPr/>
          <w:p>
            <w:pPr>
              <w:pStyle w:val="Compact"/>
            </w:pPr>
            <w:r>
              <w:t xml:space="preserve">734 FTE (2024); estável com automação</w:t>
            </w:r>
          </w:p>
        </w:tc>
        <w:tc>
          <w:tcPr/>
          <w:p>
            <w:pPr>
              <w:pStyle w:val="Compact"/>
            </w:pPr>
            <w:r>
              <w:t xml:space="preserve">R&amp;C24 — Nota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Financiamento (OE1)</w:t>
            </w:r>
          </w:p>
        </w:tc>
        <w:tc>
          <w:tcPr/>
          <w:p>
            <w:pPr>
              <w:pStyle w:val="Compact"/>
            </w:pPr>
            <w:r>
              <w:t xml:space="preserve">Estrutura de financiamento do CAPEX</w:t>
            </w:r>
          </w:p>
        </w:tc>
        <w:tc>
          <w:tcPr/>
          <w:p>
            <w:pPr>
              <w:pStyle w:val="Compact"/>
            </w:pPr>
            <w:r>
              <w:t xml:space="preserve">75% dívida / 25% capital próprio</w:t>
            </w:r>
          </w:p>
        </w:tc>
        <w:tc>
          <w:tcPr/>
          <w:p>
            <w:pPr>
              <w:pStyle w:val="Compact"/>
            </w:pPr>
            <w:r>
              <w:t xml:space="preserve">Plano de financiamento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Financiamento (OE1)</w:t>
            </w:r>
          </w:p>
        </w:tc>
        <w:tc>
          <w:tcPr/>
          <w:p>
            <w:pPr>
              <w:pStyle w:val="Compact"/>
            </w:pPr>
            <w:r>
              <w:t xml:space="preserve">Fonte 1 — capital alheio</w:t>
            </w:r>
          </w:p>
        </w:tc>
        <w:tc>
          <w:tcPr/>
          <w:p>
            <w:pPr>
              <w:pStyle w:val="Compact"/>
            </w:pPr>
            <w:r>
              <w:t xml:space="preserve">Tranche CGD €3.000k @ 4,15% (10 anos, carência 3a)</w:t>
            </w:r>
          </w:p>
        </w:tc>
        <w:tc>
          <w:tcPr/>
          <w:p>
            <w:pPr>
              <w:pStyle w:val="Compact"/>
            </w:pPr>
            <w:r>
              <w:t xml:space="preserve">Plano de financiamento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Financiamento (OE1)</w:t>
            </w:r>
          </w:p>
        </w:tc>
        <w:tc>
          <w:tcPr/>
          <w:p>
            <w:pPr>
              <w:pStyle w:val="Compact"/>
            </w:pPr>
            <w:r>
              <w:t xml:space="preserve">Fonte 2 — capital alheio</w:t>
            </w:r>
          </w:p>
        </w:tc>
        <w:tc>
          <w:tcPr/>
          <w:p>
            <w:pPr>
              <w:pStyle w:val="Compact"/>
            </w:pPr>
            <w:r>
              <w:t xml:space="preserve">Linha BEI/PME (IFD) €1.500k @ 3,75% (10 anos, carência 3a)</w:t>
            </w:r>
          </w:p>
        </w:tc>
        <w:tc>
          <w:tcPr/>
          <w:p>
            <w:pPr>
              <w:pStyle w:val="Compact"/>
            </w:pPr>
            <w:r>
              <w:t xml:space="preserve">Plano de financiamento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Financiamento (OE1)</w:t>
            </w:r>
          </w:p>
        </w:tc>
        <w:tc>
          <w:tcPr/>
          <w:p>
            <w:pPr>
              <w:pStyle w:val="Compact"/>
            </w:pPr>
            <w:r>
              <w:t xml:space="preserve">Custo da dívida (Kd)</w:t>
            </w:r>
          </w:p>
        </w:tc>
        <w:tc>
          <w:tcPr/>
          <w:p>
            <w:pPr>
              <w:pStyle w:val="Compact"/>
            </w:pPr>
            <w:r>
              <w:t xml:space="preserve">4,02% (médio); ~3,1%</w:t>
            </w:r>
            <w:r>
              <w:t xml:space="preserve"> </w:t>
            </w:r>
            <w:r>
              <w:rPr>
                <w:i/>
                <w:iCs/>
              </w:rPr>
              <w:t xml:space="preserve">after-tax</w:t>
            </w:r>
          </w:p>
        </w:tc>
        <w:tc>
          <w:tcPr/>
          <w:p>
            <w:pPr>
              <w:pStyle w:val="Compact"/>
            </w:pPr>
            <w:r>
              <w:t xml:space="preserve">Modelo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Financiamento (OE1)</w:t>
            </w:r>
          </w:p>
        </w:tc>
        <w:tc>
          <w:tcPr/>
          <w:p>
            <w:pPr>
              <w:pStyle w:val="Compact"/>
            </w:pPr>
            <w:r>
              <w:t xml:space="preserve">Custo do capital próprio (Ke)</w:t>
            </w:r>
          </w:p>
        </w:tc>
        <w:tc>
          <w:tcPr/>
          <w:p>
            <w:pPr>
              <w:pStyle w:val="Compact"/>
            </w:pPr>
            <w:r>
              <w:t xml:space="preserve">~16,62% (CAPM; βL ~2,34; Rf 3,1%; ERP 5,78%)</w:t>
            </w:r>
          </w:p>
        </w:tc>
        <w:tc>
          <w:tcPr/>
          <w:p>
            <w:pPr>
              <w:pStyle w:val="Compact"/>
            </w:pPr>
            <w:r>
              <w:t xml:space="preserve">Modelo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Financiamento (OE1)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6,46%</w:t>
            </w:r>
            <w:r>
              <w:t xml:space="preserve"> </w:t>
            </w:r>
            <w:r>
              <w:t xml:space="preserve">(base); WACC dinâmico Miles-Ezzell</w:t>
            </w:r>
          </w:p>
        </w:tc>
        <w:tc>
          <w:tcPr/>
          <w:p>
            <w:pPr>
              <w:pStyle w:val="Compact"/>
            </w:pPr>
            <w:r>
              <w:t xml:space="preserve">Modelo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Fiscais</w:t>
            </w:r>
          </w:p>
        </w:tc>
        <w:tc>
          <w:tcPr/>
          <w:p>
            <w:pPr>
              <w:pStyle w:val="Compact"/>
            </w:pPr>
            <w:r>
              <w:t xml:space="preserve">Taxa de IRC (marginal do projeto)</w:t>
            </w:r>
          </w:p>
        </w:tc>
        <w:tc>
          <w:tcPr/>
          <w:p>
            <w:pPr>
              <w:pStyle w:val="Compact"/>
            </w:pPr>
            <w:r>
              <w:t xml:space="preserve">23,5% (IRC 20% + derrama estadual 2% + municipal 1,5%)</w:t>
            </w:r>
          </w:p>
        </w:tc>
        <w:tc>
          <w:tcPr/>
          <w:p>
            <w:pPr>
              <w:pStyle w:val="Compact"/>
            </w:pPr>
            <w:r>
              <w:t xml:space="preserve">CIRC; modelo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Fiscais</w:t>
            </w:r>
          </w:p>
        </w:tc>
        <w:tc>
          <w:tcPr/>
          <w:p>
            <w:pPr>
              <w:pStyle w:val="Compact"/>
            </w:pPr>
            <w:r>
              <w:t xml:space="preserve">Taxa efetiva consolidada</w:t>
            </w:r>
          </w:p>
        </w:tc>
        <w:tc>
          <w:tcPr/>
          <w:p>
            <w:pPr>
              <w:pStyle w:val="Compact"/>
            </w:pPr>
            <w:r>
              <w:t xml:space="preserve">8,4% (2024) → 20,2% (2029)</w:t>
            </w:r>
          </w:p>
        </w:tc>
        <w:tc>
          <w:tcPr/>
          <w:p>
            <w:pPr>
              <w:pStyle w:val="Compact"/>
            </w:pPr>
            <w:r>
              <w:t xml:space="preserve">Modelo M6 —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Fiscais</w:t>
            </w:r>
          </w:p>
        </w:tc>
        <w:tc>
          <w:tcPr/>
          <w:p>
            <w:pPr>
              <w:pStyle w:val="Compact"/>
            </w:pPr>
            <w:r>
              <w:t xml:space="preserve">Benefícios ao investimento</w:t>
            </w:r>
          </w:p>
        </w:tc>
        <w:tc>
          <w:tcPr/>
          <w:p>
            <w:pPr>
              <w:pStyle w:val="Compact"/>
            </w:pPr>
            <w:r>
              <w:t xml:space="preserve">SIFIDE II; RFAI €600k; DLRR; ICE</w:t>
            </w:r>
          </w:p>
        </w:tc>
        <w:tc>
          <w:tcPr/>
          <w:p>
            <w:pPr>
              <w:pStyle w:val="Compact"/>
            </w:pPr>
            <w:r>
              <w:t xml:space="preserve">EBF / CFI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Apoios</w:t>
            </w:r>
          </w:p>
        </w:tc>
        <w:tc>
          <w:tcPr/>
          <w:p>
            <w:pPr>
              <w:pStyle w:val="Compact"/>
            </w:pPr>
            <w:r>
              <w:t xml:space="preserve">Subsídio PT2030 (FEDER)</w:t>
            </w:r>
          </w:p>
        </w:tc>
        <w:tc>
          <w:tcPr/>
          <w:p>
            <w:pPr>
              <w:pStyle w:val="Compact"/>
            </w:pPr>
            <w:r>
              <w:t xml:space="preserve">€2.700k (45% do CAPEX elegível); NCRF 22; caixa em 2027</w:t>
            </w:r>
          </w:p>
        </w:tc>
        <w:tc>
          <w:tcPr/>
          <w:p>
            <w:pPr>
              <w:pStyle w:val="Compact"/>
            </w:pPr>
            <w:r>
              <w:t xml:space="preserve">Portugal 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CAPEX do Hub</w:t>
            </w:r>
          </w:p>
        </w:tc>
        <w:tc>
          <w:tcPr/>
          <w:p>
            <w:pPr>
              <w:pStyle w:val="Compact"/>
            </w:pPr>
            <w:r>
              <w:t xml:space="preserve">€6.045k bruto (≈15,0% do ATL 2024); base de análise €6.000k</w:t>
            </w:r>
          </w:p>
        </w:tc>
        <w:tc>
          <w:tcPr/>
          <w:p>
            <w:pPr>
              <w:pStyle w:val="Compact"/>
            </w:pPr>
            <w:r>
              <w:t xml:space="preserve">Plano de investimentos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Reserva de contingência</w:t>
            </w:r>
          </w:p>
        </w:tc>
        <w:tc>
          <w:tcPr/>
          <w:p>
            <w:pPr>
              <w:pStyle w:val="Compact"/>
            </w:pPr>
            <w:r>
              <w:t xml:space="preserve">10% do CAPEX (€600k) + reserva de tesouraria €500k</w:t>
            </w:r>
          </w:p>
        </w:tc>
        <w:tc>
          <w:tcPr/>
          <w:p>
            <w:pPr>
              <w:pStyle w:val="Compact"/>
            </w:pPr>
            <w:r>
              <w:t xml:space="preserve">Programa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Ideia inovadora</w:t>
            </w:r>
          </w:p>
        </w:tc>
        <w:tc>
          <w:tcPr/>
          <w:p>
            <w:pPr>
              <w:pStyle w:val="Compact"/>
            </w:pPr>
            <w:r>
              <w:t xml:space="preserve">Curva de adoção (</w:t>
            </w:r>
            <w:r>
              <w:rPr>
                <w:i/>
                <w:iCs/>
              </w:rPr>
              <w:t xml:space="preserve">ramp-up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20% (2027); 40% (2028); 70%→100% (2029+)</w:t>
            </w:r>
          </w:p>
        </w:tc>
        <w:tc>
          <w:tcPr/>
          <w:p>
            <w:pPr>
              <w:pStyle w:val="Compact"/>
            </w:pPr>
            <w:r>
              <w:t xml:space="preserve">Programa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Ideia inovadora</w:t>
            </w:r>
          </w:p>
        </w:tc>
        <w:tc>
          <w:tcPr/>
          <w:p>
            <w:pPr>
              <w:pStyle w:val="Compact"/>
            </w:pPr>
            <w:r>
              <w:t xml:space="preserve">Benefício líquido operacional</w:t>
            </w:r>
          </w:p>
        </w:tc>
        <w:tc>
          <w:tcPr/>
          <w:p>
            <w:pPr>
              <w:pStyle w:val="Compact"/>
            </w:pPr>
            <w:r>
              <w:t xml:space="preserve">~€280k/ano (poupança €440k − opex €225k + quebras €65k)</w:t>
            </w:r>
          </w:p>
        </w:tc>
        <w:tc>
          <w:tcPr/>
          <w:p>
            <w:pPr>
              <w:pStyle w:val="Compact"/>
            </w:pPr>
            <w:r>
              <w:t xml:space="preserve">Modelo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Ideia inovadora</w:t>
            </w:r>
          </w:p>
        </w:tc>
        <w:tc>
          <w:tcPr/>
          <w:p>
            <w:pPr>
              <w:pStyle w:val="Compact"/>
            </w:pPr>
            <w:r>
              <w:t xml:space="preserve">Libertação de inventário</w:t>
            </w:r>
          </w:p>
        </w:tc>
        <w:tc>
          <w:tcPr/>
          <w:p>
            <w:pPr>
              <w:pStyle w:val="Compact"/>
            </w:pPr>
            <w:r>
              <w:t xml:space="preserve">~€1,73 M (2026) por redução do DMI</w:t>
            </w:r>
          </w:p>
        </w:tc>
        <w:tc>
          <w:tcPr/>
          <w:p>
            <w:pPr>
              <w:pStyle w:val="Compact"/>
            </w:pPr>
            <w:r>
              <w:t xml:space="preserve">Modelo M6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Xcbca41863163341cda2d01b7f5cfa5d923a4dad"/>
    <w:p>
      <w:pPr>
        <w:pStyle w:val="Heading2"/>
      </w:pPr>
      <w:r>
        <w:t xml:space="preserve">Anexo II — Orçamentos de vendas e de consumos</w:t>
      </w:r>
    </w:p>
    <w:p>
      <w:pPr>
        <w:pStyle w:val="FirstParagraph"/>
      </w:pPr>
      <w:r>
        <w:rPr>
          <w:b/>
          <w:bCs/>
        </w:rPr>
        <w:t xml:space="preserve">Volume de negócios (€) — cenário COM Hub:</w:t>
      </w:r>
      <w:r>
        <w:t xml:space="preserve"> </w:t>
      </w:r>
      <w:r>
        <w:t xml:space="preserve">2024: 37.884.116; 2025: 42.051.023; 2026: 44.816.425; 2027: 47.676.576; 2028: 50.834.140; 2029: 53.815.242 (desagregação por família COSTA NOVA ~50% / Casafina ~30% / Private Label ~20%; ver 7.1.2).</w:t>
      </w:r>
    </w:p>
    <w:p>
      <w:pPr>
        <w:pStyle w:val="BodyText"/>
      </w:pPr>
      <w:r>
        <w:rPr>
          <w:b/>
          <w:bCs/>
        </w:rPr>
        <w:t xml:space="preserve">CMVMC (€):</w:t>
      </w:r>
      <w:r>
        <w:t xml:space="preserve"> </w:t>
      </w:r>
      <w:r>
        <w:t xml:space="preserve">2024: 15.298.208; 2025: 16.393.138; 2026: 17.636.903; 2027: 18.869.948; 2028: 20.113.362; 2029: 21.371.169 (desagregação por matéria: grés branco ~55%, vidrados ~20%, moldes ~15%, embalagens ~10%; ver 7.1.3). A margem bruta mantém-se em torno de 60% do volume de negócios.</w:t>
      </w:r>
    </w:p>
    <w:p>
      <w:r>
        <w:pict>
          <v:rect style="width:0;height:1.5pt" o:hralign="center" o:hrstd="t" o:hr="t"/>
        </w:pict>
      </w:r>
    </w:p>
    <w:bookmarkEnd w:id="82"/>
    <w:bookmarkStart w:id="83" w:name="X8d86f6d38c86a3328ae699b445d19f6ac3ad176"/>
    <w:p>
      <w:pPr>
        <w:pStyle w:val="Heading2"/>
      </w:pPr>
      <w:r>
        <w:t xml:space="preserve">Anexo III — Mapa do serviço da dívida (consolidado, 2025–2037)</w:t>
      </w:r>
    </w:p>
    <w:p>
      <w:pPr>
        <w:pStyle w:val="FirstParagraph"/>
      </w:pPr>
      <w:r>
        <w:t xml:space="preserve">Agregação das duas tranches (valores em k€). Detalhe por tranche disponível no modelo.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Amortização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Juros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Serviço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da dívida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4.500,0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1.536,5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6.036,5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 dívida do Hub extingue-se em 2037, três anos após o horizonte de avaliação. O encargo total de juros (€1.536,5k) equivale a ~25,6% do CAPEX.</w:t>
      </w:r>
    </w:p>
    <w:p>
      <w:r>
        <w:pict>
          <v:rect style="width:0;height:1.5pt" o:hralign="center" o:hrstd="t" o:hr="t"/>
        </w:pict>
      </w:r>
    </w:p>
    <w:bookmarkEnd w:id="83"/>
    <w:bookmarkStart w:id="84" w:name="X9f999de684c4b0fb5299c15cab9463d30eca7d8"/>
    <w:p>
      <w:pPr>
        <w:pStyle w:val="Heading2"/>
      </w:pPr>
      <w:r>
        <w:t xml:space="preserve">Anexo IV — Mapas financeiros completos (DR, DFC, Balanços)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Demonstração de Resultados</w:t>
      </w:r>
      <w:r>
        <w:t xml:space="preserve"> </w:t>
      </w:r>
      <w:r>
        <w:t xml:space="preserve">completa consta da secção 7.2 e os</w:t>
      </w:r>
      <w:r>
        <w:t xml:space="preserve"> </w:t>
      </w:r>
      <w:r>
        <w:rPr>
          <w:b/>
          <w:bCs/>
        </w:rPr>
        <w:t xml:space="preserve">Balanços</w:t>
      </w:r>
      <w:r>
        <w:t xml:space="preserve"> </w:t>
      </w:r>
      <w:r>
        <w:t xml:space="preserve">previsionais da secção 7.3 (cenário COM Hub, 2024–2029). Acrescenta-se a</w:t>
      </w:r>
      <w:r>
        <w:t xml:space="preserve"> </w:t>
      </w:r>
      <w:r>
        <w:rPr>
          <w:b/>
          <w:bCs/>
        </w:rPr>
        <w:t xml:space="preserve">Demonstração de Fluxos de Caixa</w:t>
      </w:r>
      <w:r>
        <w:t xml:space="preserve"> </w:t>
      </w:r>
      <w:r>
        <w:t xml:space="preserve">(método indireto, €):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das atividades operacionais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(1.665.312)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4.966.790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6.909.291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6.018.671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6.526.146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6.667.490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das atividades de investimento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(344.818)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(3.778.580)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(4.027.260)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454.659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(2.928.724)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(3.120.156)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</w:t>
            </w:r>
            <w:r>
              <w:rPr>
                <w:i/>
                <w:iCs/>
              </w:rPr>
              <w:t xml:space="preserve">do qual CAPEX Hub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(2.850.000)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(3.150.000)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</w:t>
            </w:r>
            <w:r>
              <w:rPr>
                <w:i/>
                <w:iCs/>
              </w:rPr>
              <w:t xml:space="preserve">do qual subsídio PT2030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das atividades de financiamento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2.000.680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(1.183.938)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(2.846.080)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(5.148.880)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(3.471.120)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(3.428.090)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Variação de caixa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(9.451)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1.324.450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119.244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Caixa no fim do período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1.907.063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2.033.366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2.152.610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X70e029234a08cca7fd5290f008b00ecf5b75209"/>
    <w:p>
      <w:pPr>
        <w:pStyle w:val="Heading2"/>
      </w:pPr>
      <w:r>
        <w:t xml:space="preserve">Anexo V — Propostas e orçamentos de investimento</w:t>
      </w:r>
    </w:p>
    <w:p>
      <w:pPr>
        <w:pStyle w:val="FirstParagraph"/>
      </w:pPr>
      <w:r>
        <w:t xml:space="preserve">O CAPEX do Hub (€6.045k bruto) fundamenta-se nas nove</w:t>
      </w:r>
      <w:r>
        <w:t xml:space="preserve"> </w:t>
      </w:r>
      <w:r>
        <w:rPr>
          <w:i/>
          <w:iCs/>
        </w:rPr>
        <w:t xml:space="preserve">pools</w:t>
      </w:r>
      <w:r>
        <w:t xml:space="preserve"> </w:t>
      </w:r>
      <w:r>
        <w:t xml:space="preserve">de investimento detalhadas na secção 5.1: construção civil/reabilitação G1 (€2.535k), honorários (€120k + €45k afundados),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de integração (€195k), VLM 6 módulos (€1.305k), robótica AMR (€625k), WMS + MES</w:t>
      </w:r>
      <w:r>
        <w:t xml:space="preserve"> </w:t>
      </w:r>
      <w:r>
        <w:rPr>
          <w:i/>
          <w:iCs/>
        </w:rPr>
        <w:t xml:space="preserve">analytics</w:t>
      </w:r>
      <w:r>
        <w:t xml:space="preserve"> </w:t>
      </w:r>
      <w:r>
        <w:t xml:space="preserve">(€600k),</w:t>
      </w:r>
      <w:r>
        <w:t xml:space="preserve"> </w:t>
      </w:r>
      <w:r>
        <w:rPr>
          <w:i/>
          <w:iCs/>
        </w:rPr>
        <w:t xml:space="preserve">Box-on-Demand</w:t>
      </w:r>
      <w:r>
        <w:t xml:space="preserve"> </w:t>
      </w:r>
      <w:r>
        <w:t xml:space="preserve">(€350k) e energia solar (€270k). Os orçamentos de fornecedores que suportam cada</w:t>
      </w:r>
      <w:r>
        <w:t xml:space="preserve"> </w:t>
      </w:r>
      <w:r>
        <w:rPr>
          <w:i/>
          <w:iCs/>
        </w:rPr>
        <w:t xml:space="preserve">pool</w:t>
      </w:r>
      <w:r>
        <w:t xml:space="preserve"> </w:t>
      </w:r>
      <w:r>
        <w:t xml:space="preserve">(sistemas VLM/AMR, WMS/MES, construção e energia) são anexados em documento próprio.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2026-05-29T13:16:15Z</dcterms:created>
  <dcterms:modified xsi:type="dcterms:W3CDTF">2026-05-29T13:16:15Z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