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F62D" w14:textId="77777777" w:rsidR="00BF788B" w:rsidRPr="000E6972" w:rsidRDefault="00BF788B" w:rsidP="000B3600">
      <w:pPr>
        <w:spacing w:before="3600" w:line="360" w:lineRule="auto"/>
        <w:jc w:val="center"/>
        <w:rPr>
          <w:rFonts w:ascii="Arial" w:hAnsi="Arial" w:cs="Arial"/>
          <w:sz w:val="20"/>
          <w:szCs w:val="20"/>
        </w:rPr>
      </w:pPr>
      <w:r w:rsidRPr="000E6972">
        <w:rPr>
          <w:rFonts w:ascii="Arial" w:hAnsi="Arial" w:cs="Arial"/>
          <w:b/>
          <w:bCs/>
          <w:color w:val="0F2027"/>
          <w:sz w:val="20"/>
          <w:szCs w:val="20"/>
        </w:rPr>
        <w:t>UNIVERSIDADE DE AVEIRO</w:t>
      </w:r>
    </w:p>
    <w:p w14:paraId="581B1308" w14:textId="77777777" w:rsidR="00BF788B" w:rsidRPr="000E6972" w:rsidRDefault="00BF788B" w:rsidP="000B3600">
      <w:pPr>
        <w:spacing w:before="100" w:after="60" w:line="360" w:lineRule="auto"/>
        <w:jc w:val="center"/>
        <w:rPr>
          <w:rFonts w:ascii="Arial" w:hAnsi="Arial" w:cs="Arial"/>
          <w:sz w:val="20"/>
          <w:szCs w:val="20"/>
        </w:rPr>
      </w:pPr>
      <w:r w:rsidRPr="000E6972">
        <w:rPr>
          <w:rFonts w:ascii="Arial" w:hAnsi="Arial" w:cs="Arial"/>
          <w:color w:val="506070"/>
          <w:sz w:val="20"/>
          <w:szCs w:val="20"/>
        </w:rPr>
        <w:t>Instituto Superior de Contabilidade e Administração</w:t>
      </w:r>
    </w:p>
    <w:p w14:paraId="21B60F52" w14:textId="77777777" w:rsidR="00BF788B" w:rsidRPr="000E6972" w:rsidRDefault="00BF788B" w:rsidP="000B3600">
      <w:pPr>
        <w:spacing w:after="200" w:line="360" w:lineRule="auto"/>
        <w:jc w:val="center"/>
        <w:rPr>
          <w:rFonts w:ascii="Arial" w:hAnsi="Arial" w:cs="Arial"/>
          <w:sz w:val="20"/>
          <w:szCs w:val="20"/>
        </w:rPr>
      </w:pPr>
      <w:r w:rsidRPr="000E6972">
        <w:rPr>
          <w:rFonts w:ascii="Arial" w:hAnsi="Arial" w:cs="Arial"/>
          <w:color w:val="506070"/>
          <w:sz w:val="20"/>
          <w:szCs w:val="20"/>
        </w:rPr>
        <w:t>Licenciatura em Finanças</w:t>
      </w:r>
    </w:p>
    <w:p w14:paraId="60768877" w14:textId="77777777" w:rsidR="00BF788B" w:rsidRPr="000E6972" w:rsidRDefault="00BF788B" w:rsidP="000B3600">
      <w:pPr>
        <w:pBdr>
          <w:bottom w:val="single" w:sz="6" w:space="8" w:color="1A5276"/>
        </w:pBdr>
        <w:spacing w:before="100" w:after="100" w:line="360" w:lineRule="auto"/>
        <w:jc w:val="center"/>
        <w:rPr>
          <w:rFonts w:ascii="Arial" w:hAnsi="Arial" w:cs="Arial"/>
          <w:sz w:val="20"/>
          <w:szCs w:val="20"/>
        </w:rPr>
      </w:pPr>
    </w:p>
    <w:p w14:paraId="3E5E289A" w14:textId="77777777" w:rsidR="00BF788B" w:rsidRPr="000E6972" w:rsidRDefault="00BF788B" w:rsidP="000B3600">
      <w:pPr>
        <w:spacing w:before="600" w:after="100" w:line="360" w:lineRule="auto"/>
        <w:jc w:val="center"/>
        <w:rPr>
          <w:rFonts w:ascii="Arial" w:hAnsi="Arial" w:cs="Arial"/>
          <w:sz w:val="20"/>
          <w:szCs w:val="20"/>
        </w:rPr>
      </w:pPr>
      <w:r w:rsidRPr="000E6972">
        <w:rPr>
          <w:rFonts w:ascii="Arial" w:hAnsi="Arial" w:cs="Arial"/>
          <w:b/>
          <w:bCs/>
          <w:color w:val="0F2027"/>
          <w:sz w:val="20"/>
          <w:szCs w:val="20"/>
        </w:rPr>
        <w:t>Projeto Empresarial de Finanças</w:t>
      </w:r>
    </w:p>
    <w:p w14:paraId="3D4880F3" w14:textId="1FDB6744" w:rsidR="00BF788B" w:rsidRPr="000E6972" w:rsidRDefault="00BF788B" w:rsidP="000B3600">
      <w:pPr>
        <w:spacing w:after="80" w:line="360" w:lineRule="auto"/>
        <w:jc w:val="center"/>
        <w:rPr>
          <w:rFonts w:ascii="Arial" w:hAnsi="Arial" w:cs="Arial"/>
          <w:sz w:val="20"/>
          <w:szCs w:val="20"/>
        </w:rPr>
      </w:pPr>
      <w:r w:rsidRPr="000E6972">
        <w:rPr>
          <w:rFonts w:ascii="Arial" w:hAnsi="Arial" w:cs="Arial"/>
          <w:color w:val="1A5276"/>
          <w:sz w:val="20"/>
          <w:szCs w:val="20"/>
        </w:rPr>
        <w:t xml:space="preserve">Momento 5 — Operação Especial n.º </w:t>
      </w:r>
      <w:r w:rsidR="00B64BB4">
        <w:rPr>
          <w:rFonts w:ascii="Arial" w:hAnsi="Arial" w:cs="Arial"/>
          <w:color w:val="1A5276"/>
          <w:sz w:val="20"/>
          <w:szCs w:val="20"/>
        </w:rPr>
        <w:t>5</w:t>
      </w:r>
    </w:p>
    <w:p w14:paraId="6FA10E65" w14:textId="12F87172" w:rsidR="00BF788B" w:rsidRPr="000E6972" w:rsidRDefault="00FC11F9" w:rsidP="000B3600">
      <w:pPr>
        <w:pBdr>
          <w:bottom w:val="single" w:sz="6" w:space="8" w:color="1A5276"/>
        </w:pBdr>
        <w:spacing w:before="100" w:after="400"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F2027"/>
          <w:sz w:val="20"/>
          <w:szCs w:val="20"/>
        </w:rPr>
        <w:t xml:space="preserve">[Inserir </w:t>
      </w:r>
      <w:proofErr w:type="gramStart"/>
      <w:r>
        <w:rPr>
          <w:rFonts w:ascii="Arial" w:hAnsi="Arial" w:cs="Arial"/>
          <w:b/>
          <w:bCs/>
          <w:color w:val="0F2027"/>
          <w:sz w:val="20"/>
          <w:szCs w:val="20"/>
        </w:rPr>
        <w:t>titulo</w:t>
      </w:r>
      <w:proofErr w:type="gramEnd"/>
      <w:r>
        <w:rPr>
          <w:rFonts w:ascii="Arial" w:hAnsi="Arial" w:cs="Arial"/>
          <w:b/>
          <w:bCs/>
          <w:color w:val="0F2027"/>
          <w:sz w:val="20"/>
          <w:szCs w:val="20"/>
        </w:rPr>
        <w:t>]</w:t>
      </w:r>
    </w:p>
    <w:p w14:paraId="10B23EBE" w14:textId="77777777" w:rsidR="00BF788B" w:rsidRPr="000E6972" w:rsidRDefault="00BF788B" w:rsidP="000B3600">
      <w:pPr>
        <w:spacing w:after="400" w:line="360" w:lineRule="auto"/>
        <w:jc w:val="center"/>
        <w:rPr>
          <w:rFonts w:ascii="Arial" w:hAnsi="Arial" w:cs="Arial"/>
          <w:sz w:val="20"/>
          <w:szCs w:val="20"/>
        </w:rPr>
      </w:pPr>
      <w:r w:rsidRPr="000E6972">
        <w:rPr>
          <w:rFonts w:ascii="Arial" w:hAnsi="Arial" w:cs="Arial"/>
          <w:b/>
          <w:bCs/>
          <w:sz w:val="20"/>
          <w:szCs w:val="20"/>
        </w:rPr>
        <w:t>Empresa em estudo: Grestel — Produtos Cerâmicos, S.A.</w:t>
      </w:r>
    </w:p>
    <w:p w14:paraId="211DB0DA" w14:textId="77777777" w:rsidR="00BF788B" w:rsidRPr="000E6972" w:rsidRDefault="00BF788B" w:rsidP="000B3600">
      <w:pPr>
        <w:spacing w:after="60" w:line="360" w:lineRule="auto"/>
        <w:jc w:val="center"/>
        <w:rPr>
          <w:rFonts w:ascii="Arial" w:hAnsi="Arial" w:cs="Arial"/>
          <w:sz w:val="20"/>
          <w:szCs w:val="20"/>
        </w:rPr>
      </w:pPr>
      <w:r w:rsidRPr="000E6972">
        <w:rPr>
          <w:rFonts w:ascii="Arial" w:hAnsi="Arial" w:cs="Arial"/>
          <w:b/>
          <w:bCs/>
          <w:sz w:val="20"/>
          <w:szCs w:val="20"/>
        </w:rPr>
        <w:t>Grupo 18</w:t>
      </w:r>
    </w:p>
    <w:p w14:paraId="0B166D05" w14:textId="77777777" w:rsidR="00BF788B" w:rsidRPr="000E6972" w:rsidRDefault="00BF788B" w:rsidP="000B3600">
      <w:pPr>
        <w:spacing w:after="60" w:line="360" w:lineRule="auto"/>
        <w:jc w:val="center"/>
        <w:rPr>
          <w:rFonts w:ascii="Arial" w:hAnsi="Arial" w:cs="Arial"/>
          <w:sz w:val="20"/>
          <w:szCs w:val="20"/>
        </w:rPr>
      </w:pPr>
      <w:r w:rsidRPr="000E6972">
        <w:rPr>
          <w:rFonts w:ascii="Arial" w:hAnsi="Arial" w:cs="Arial"/>
          <w:color w:val="506070"/>
          <w:sz w:val="20"/>
          <w:szCs w:val="20"/>
        </w:rPr>
        <w:t>António Marques — 75630</w:t>
      </w:r>
    </w:p>
    <w:p w14:paraId="766119C7" w14:textId="77777777" w:rsidR="00BF788B" w:rsidRPr="000E6972" w:rsidRDefault="00BF788B" w:rsidP="000B3600">
      <w:pPr>
        <w:spacing w:after="300" w:line="360" w:lineRule="auto"/>
        <w:jc w:val="center"/>
        <w:rPr>
          <w:rFonts w:ascii="Arial" w:hAnsi="Arial" w:cs="Arial"/>
          <w:sz w:val="20"/>
          <w:szCs w:val="20"/>
        </w:rPr>
      </w:pPr>
      <w:r w:rsidRPr="000E6972">
        <w:rPr>
          <w:rFonts w:ascii="Arial" w:hAnsi="Arial" w:cs="Arial"/>
          <w:color w:val="506070"/>
          <w:sz w:val="20"/>
          <w:szCs w:val="20"/>
        </w:rPr>
        <w:t>Bruno Marques — 100104</w:t>
      </w:r>
    </w:p>
    <w:p w14:paraId="0626D3A5" w14:textId="77777777" w:rsidR="00BF788B" w:rsidRPr="000E6972" w:rsidRDefault="00BF788B" w:rsidP="000B3600">
      <w:pPr>
        <w:spacing w:after="300" w:line="360" w:lineRule="auto"/>
        <w:jc w:val="center"/>
        <w:rPr>
          <w:rFonts w:ascii="Arial" w:hAnsi="Arial" w:cs="Arial"/>
          <w:sz w:val="20"/>
          <w:szCs w:val="20"/>
        </w:rPr>
      </w:pPr>
      <w:r w:rsidRPr="000E6972">
        <w:rPr>
          <w:rFonts w:ascii="Arial" w:hAnsi="Arial" w:cs="Arial"/>
          <w:color w:val="506070"/>
          <w:sz w:val="20"/>
          <w:szCs w:val="20"/>
        </w:rPr>
        <w:t>Docente orientador: Amândio Antunes</w:t>
      </w:r>
    </w:p>
    <w:p w14:paraId="1A92073B" w14:textId="77777777" w:rsidR="00BF788B" w:rsidRPr="000E6972" w:rsidRDefault="00BF788B" w:rsidP="000B3600">
      <w:pPr>
        <w:spacing w:after="60" w:line="360" w:lineRule="auto"/>
        <w:jc w:val="center"/>
        <w:rPr>
          <w:rFonts w:ascii="Arial" w:hAnsi="Arial" w:cs="Arial"/>
          <w:sz w:val="20"/>
          <w:szCs w:val="20"/>
        </w:rPr>
      </w:pPr>
      <w:r w:rsidRPr="000E6972">
        <w:rPr>
          <w:rFonts w:ascii="Arial" w:hAnsi="Arial" w:cs="Arial"/>
          <w:color w:val="506070"/>
          <w:sz w:val="20"/>
          <w:szCs w:val="20"/>
        </w:rPr>
        <w:t>Ano letivo: 2025/2026</w:t>
      </w:r>
    </w:p>
    <w:p w14:paraId="6F2C354D" w14:textId="4630B719" w:rsidR="00BF788B" w:rsidRDefault="00BF788B" w:rsidP="00AD1ABF">
      <w:pPr>
        <w:spacing w:line="360" w:lineRule="auto"/>
        <w:jc w:val="center"/>
        <w:rPr>
          <w:rFonts w:ascii="Arial" w:hAnsi="Arial" w:cs="Arial"/>
          <w:color w:val="506070"/>
          <w:sz w:val="20"/>
          <w:szCs w:val="20"/>
        </w:rPr>
      </w:pPr>
      <w:r w:rsidRPr="000E6972">
        <w:rPr>
          <w:rFonts w:ascii="Arial" w:hAnsi="Arial" w:cs="Arial"/>
          <w:color w:val="506070"/>
          <w:sz w:val="20"/>
          <w:szCs w:val="20"/>
        </w:rPr>
        <w:t xml:space="preserve">Aveiro, </w:t>
      </w:r>
      <w:r w:rsidR="00B64BB4">
        <w:rPr>
          <w:rFonts w:ascii="Arial" w:hAnsi="Arial" w:cs="Arial"/>
          <w:color w:val="506070"/>
          <w:sz w:val="20"/>
          <w:szCs w:val="20"/>
        </w:rPr>
        <w:t>1</w:t>
      </w:r>
      <w:r w:rsidRPr="000E6972">
        <w:rPr>
          <w:rFonts w:ascii="Arial" w:hAnsi="Arial" w:cs="Arial"/>
          <w:color w:val="506070"/>
          <w:sz w:val="20"/>
          <w:szCs w:val="20"/>
        </w:rPr>
        <w:t xml:space="preserve"> de </w:t>
      </w:r>
      <w:r w:rsidR="00B64BB4">
        <w:rPr>
          <w:rFonts w:ascii="Arial" w:hAnsi="Arial" w:cs="Arial"/>
          <w:color w:val="506070"/>
          <w:sz w:val="20"/>
          <w:szCs w:val="20"/>
        </w:rPr>
        <w:t>junho</w:t>
      </w:r>
      <w:r w:rsidRPr="000E6972">
        <w:rPr>
          <w:rFonts w:ascii="Arial" w:hAnsi="Arial" w:cs="Arial"/>
          <w:color w:val="506070"/>
          <w:sz w:val="20"/>
          <w:szCs w:val="20"/>
        </w:rPr>
        <w:t xml:space="preserve"> de 2026 </w:t>
      </w:r>
    </w:p>
    <w:p w14:paraId="61659201" w14:textId="77777777" w:rsidR="00BF788B" w:rsidRDefault="00BF788B">
      <w:pPr>
        <w:rPr>
          <w:rFonts w:ascii="Arial" w:hAnsi="Arial" w:cs="Arial"/>
          <w:color w:val="506070"/>
          <w:sz w:val="20"/>
          <w:szCs w:val="20"/>
        </w:rPr>
      </w:pPr>
      <w:r>
        <w:rPr>
          <w:rFonts w:ascii="Arial" w:hAnsi="Arial" w:cs="Arial"/>
          <w:color w:val="506070"/>
          <w:sz w:val="20"/>
          <w:szCs w:val="20"/>
        </w:rPr>
        <w:br w:type="page"/>
      </w:r>
    </w:p>
    <w:p w14:paraId="45E37ABB" w14:textId="77777777" w:rsidR="00BF788B" w:rsidRPr="000E6972" w:rsidRDefault="00BF788B" w:rsidP="00AD1ABF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sdt>
      <w:sdtPr>
        <w:rPr>
          <w:rFonts w:ascii="Times New Roman" w:eastAsia="Times New Roman" w:hAnsi="Times New Roman" w:cs="Times New Roman"/>
          <w:color w:val="1C2A3D"/>
          <w:sz w:val="24"/>
          <w:szCs w:val="24"/>
        </w:rPr>
        <w:id w:val="1709751572"/>
        <w:docPartObj>
          <w:docPartGallery w:val="Table of Contents"/>
          <w:docPartUnique/>
        </w:docPartObj>
      </w:sdtPr>
      <w:sdtEndPr>
        <w:rPr>
          <w:b/>
          <w:bCs/>
          <w:sz w:val="20"/>
          <w:szCs w:val="20"/>
        </w:rPr>
      </w:sdtEndPr>
      <w:sdtContent>
        <w:p w14:paraId="0E05C722" w14:textId="77777777" w:rsidR="00BF788B" w:rsidRPr="002C3E09" w:rsidRDefault="00BF788B" w:rsidP="002C3E09">
          <w:pPr>
            <w:pStyle w:val="Cabealhodondice"/>
            <w:spacing w:line="276" w:lineRule="auto"/>
            <w:rPr>
              <w:sz w:val="22"/>
              <w:szCs w:val="22"/>
            </w:rPr>
          </w:pPr>
          <w:r w:rsidRPr="002C3E09">
            <w:rPr>
              <w:sz w:val="22"/>
              <w:szCs w:val="22"/>
            </w:rPr>
            <w:t>Conteúdo</w:t>
          </w:r>
        </w:p>
        <w:p w14:paraId="58234400" w14:textId="25A0BB33" w:rsidR="002C3E09" w:rsidRDefault="00BF788B" w:rsidP="002C3E09">
          <w:pPr>
            <w:tabs>
              <w:tab w:val="left" w:pos="1455"/>
              <w:tab w:val="left" w:pos="2295"/>
            </w:tabs>
            <w:spacing w:line="276" w:lineRule="auto"/>
            <w:rPr>
              <w:b/>
              <w:bCs/>
              <w:sz w:val="18"/>
              <w:szCs w:val="18"/>
            </w:rPr>
          </w:pPr>
          <w:r w:rsidRPr="002C3E09">
            <w:rPr>
              <w:sz w:val="18"/>
              <w:szCs w:val="18"/>
            </w:rPr>
            <w:fldChar w:fldCharType="begin"/>
          </w:r>
          <w:r w:rsidRPr="002C3E09">
            <w:rPr>
              <w:sz w:val="18"/>
              <w:szCs w:val="18"/>
            </w:rPr>
            <w:instrText xml:space="preserve"> TOC \o "1-3" \h \z \u </w:instrText>
          </w:r>
          <w:r w:rsidRPr="002C3E09">
            <w:rPr>
              <w:sz w:val="18"/>
              <w:szCs w:val="18"/>
            </w:rPr>
            <w:fldChar w:fldCharType="separate"/>
          </w:r>
          <w:r w:rsidR="00A605CD">
            <w:rPr>
              <w:b/>
              <w:bCs/>
              <w:noProof/>
              <w:sz w:val="18"/>
              <w:szCs w:val="18"/>
            </w:rPr>
            <w:t>Não foi encontrada nenhuma entrada de índice.</w:t>
          </w:r>
          <w:r w:rsidRPr="002C3E09">
            <w:rPr>
              <w:b/>
              <w:bCs/>
              <w:sz w:val="18"/>
              <w:szCs w:val="18"/>
            </w:rPr>
            <w:fldChar w:fldCharType="end"/>
          </w:r>
        </w:p>
        <w:p w14:paraId="500661DF" w14:textId="77777777" w:rsidR="002C3E09" w:rsidRDefault="002C3E09" w:rsidP="002C3E09">
          <w:pPr>
            <w:tabs>
              <w:tab w:val="left" w:pos="1455"/>
              <w:tab w:val="left" w:pos="2295"/>
            </w:tabs>
            <w:spacing w:line="276" w:lineRule="auto"/>
            <w:rPr>
              <w:b/>
              <w:bCs/>
              <w:sz w:val="18"/>
              <w:szCs w:val="18"/>
            </w:rPr>
          </w:pPr>
        </w:p>
        <w:p w14:paraId="440F2A38" w14:textId="77777777" w:rsidR="002C3E09" w:rsidRDefault="002C3E09" w:rsidP="002C3E09">
          <w:pPr>
            <w:tabs>
              <w:tab w:val="left" w:pos="1455"/>
              <w:tab w:val="left" w:pos="2295"/>
            </w:tabs>
            <w:spacing w:line="276" w:lineRule="auto"/>
            <w:rPr>
              <w:b/>
              <w:bCs/>
              <w:sz w:val="18"/>
              <w:szCs w:val="18"/>
            </w:rPr>
          </w:pPr>
        </w:p>
        <w:p w14:paraId="2870E4D8" w14:textId="1FE58AEB" w:rsidR="002C3E09" w:rsidRDefault="002C3E09" w:rsidP="002C3E09">
          <w:pPr>
            <w:tabs>
              <w:tab w:val="left" w:pos="1455"/>
              <w:tab w:val="left" w:pos="2295"/>
            </w:tabs>
            <w:spacing w:line="276" w:lineRule="auto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18"/>
              <w:szCs w:val="18"/>
            </w:rPr>
            <w:tab/>
          </w:r>
          <w:r>
            <w:rPr>
              <w:b/>
              <w:bCs/>
              <w:sz w:val="18"/>
              <w:szCs w:val="18"/>
            </w:rPr>
            <w:tab/>
          </w:r>
        </w:p>
      </w:sdtContent>
    </w:sdt>
    <w:bookmarkStart w:id="0" w:name="_Toc230671592" w:displacedByCustomXml="prev"/>
    <w:p w14:paraId="2B0C7340" w14:textId="77777777" w:rsidR="00B64BB4" w:rsidRDefault="00B64BB4" w:rsidP="002C3E09">
      <w:pPr>
        <w:tabs>
          <w:tab w:val="left" w:pos="1455"/>
          <w:tab w:val="left" w:pos="2295"/>
        </w:tabs>
        <w:spacing w:line="276" w:lineRule="auto"/>
        <w:rPr>
          <w:b/>
          <w:bCs/>
          <w:sz w:val="18"/>
          <w:szCs w:val="18"/>
        </w:rPr>
      </w:pPr>
    </w:p>
    <w:p w14:paraId="2CA73D7F" w14:textId="77777777" w:rsidR="00B64BB4" w:rsidRPr="00B64BB4" w:rsidRDefault="00B64BB4" w:rsidP="00B64BB4">
      <w:p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Resumo</w:t>
      </w:r>
    </w:p>
    <w:p w14:paraId="26EEFA45" w14:textId="77777777" w:rsidR="00B64BB4" w:rsidRPr="00B64BB4" w:rsidRDefault="00B64BB4" w:rsidP="00B64BB4">
      <w:pPr>
        <w:numPr>
          <w:ilvl w:val="0"/>
          <w:numId w:val="3"/>
        </w:num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Prazo: 01-06-2026 às 23h59.</w:t>
      </w:r>
    </w:p>
    <w:p w14:paraId="3903E755" w14:textId="77777777" w:rsidR="00B64BB4" w:rsidRPr="00B64BB4" w:rsidRDefault="00B64BB4" w:rsidP="00B64BB4">
      <w:pPr>
        <w:numPr>
          <w:ilvl w:val="0"/>
          <w:numId w:val="3"/>
        </w:num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Objetivo: Determinar o valor intrínseco da empresa.</w:t>
      </w:r>
    </w:p>
    <w:p w14:paraId="65CE7F8B" w14:textId="77777777" w:rsidR="00B64BB4" w:rsidRPr="00B64BB4" w:rsidRDefault="00B64BB4" w:rsidP="00B64BB4">
      <w:pPr>
        <w:numPr>
          <w:ilvl w:val="0"/>
          <w:numId w:val="3"/>
        </w:num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Submissão: 1 ficheiro Excel + 1 documento PDF/Word.</w:t>
      </w:r>
    </w:p>
    <w:p w14:paraId="3DFFE544" w14:textId="77777777" w:rsidR="00B64BB4" w:rsidRPr="00B64BB4" w:rsidRDefault="00B64BB4" w:rsidP="00B64BB4">
      <w:pPr>
        <w:numPr>
          <w:ilvl w:val="0"/>
          <w:numId w:val="3"/>
        </w:num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Nomenclatura: OE05_GXX_AAMMDD (onde AAAA/AA=ano, MM=mês, DD=dia).</w:t>
      </w:r>
    </w:p>
    <w:p w14:paraId="1D0B3F84" w14:textId="77777777" w:rsidR="00B64BB4" w:rsidRPr="00B64BB4" w:rsidRDefault="00B64BB4" w:rsidP="00B64BB4">
      <w:p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Estrutura do Relatório (PDF/Word)</w:t>
      </w:r>
    </w:p>
    <w:p w14:paraId="53906E50" w14:textId="77777777" w:rsidR="00B64BB4" w:rsidRPr="00B64BB4" w:rsidRDefault="00B64BB4" w:rsidP="00B64BB4">
      <w:pPr>
        <w:numPr>
          <w:ilvl w:val="0"/>
          <w:numId w:val="4"/>
        </w:num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Capa: Nome da empresa, grupo, nºs mecanográficos, nomes, "OE05" e data.</w:t>
      </w:r>
    </w:p>
    <w:p w14:paraId="66E4D837" w14:textId="77777777" w:rsidR="00B64BB4" w:rsidRPr="00B64BB4" w:rsidRDefault="00B64BB4" w:rsidP="00B64BB4">
      <w:pPr>
        <w:numPr>
          <w:ilvl w:val="0"/>
          <w:numId w:val="4"/>
        </w:num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One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-Pager Executivo (1 página exata):</w:t>
      </w:r>
    </w:p>
    <w:p w14:paraId="7447980F" w14:textId="77777777" w:rsidR="00B64BB4" w:rsidRPr="00B64BB4" w:rsidRDefault="00B64BB4" w:rsidP="00B64BB4">
      <w:pPr>
        <w:numPr>
          <w:ilvl w:val="1"/>
          <w:numId w:val="4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Tabela de Resultados: Comparação do valor intrínseco das 3 metodologias (em EUR).</w:t>
      </w:r>
    </w:p>
    <w:p w14:paraId="79A16EBB" w14:textId="77777777" w:rsidR="00B64BB4" w:rsidRPr="00B64BB4" w:rsidRDefault="00B64BB4" w:rsidP="00B64BB4">
      <w:pPr>
        <w:numPr>
          <w:ilvl w:val="1"/>
          <w:numId w:val="4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O "Porquê" (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Máx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. 200 palavras): Justificação das 3 metodologias escolhidas.</w:t>
      </w:r>
    </w:p>
    <w:p w14:paraId="412202BB" w14:textId="77777777" w:rsidR="00B64BB4" w:rsidRPr="00B64BB4" w:rsidRDefault="00B64BB4" w:rsidP="00B64BB4">
      <w:pPr>
        <w:numPr>
          <w:ilvl w:val="1"/>
          <w:numId w:val="4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Análise de Coerência: Explicação das discrepâncias entre os modelos.</w:t>
      </w:r>
    </w:p>
    <w:p w14:paraId="50CF9115" w14:textId="77777777" w:rsidR="00B64BB4" w:rsidRPr="00B64BB4" w:rsidRDefault="00B64BB4" w:rsidP="00B64BB4">
      <w:pPr>
        <w:numPr>
          <w:ilvl w:val="1"/>
          <w:numId w:val="4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O Preço de Negociação: Valor final mínimo de arranque para negociação (em EUR).</w:t>
      </w:r>
    </w:p>
    <w:p w14:paraId="45FDA19A" w14:textId="77777777" w:rsidR="00B64BB4" w:rsidRPr="00B64BB4" w:rsidRDefault="00B64BB4" w:rsidP="00B64BB4">
      <w:pPr>
        <w:numPr>
          <w:ilvl w:val="1"/>
          <w:numId w:val="4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Declaração de Uso de IA (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Máx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 xml:space="preserve">. 100 palavras): Ferramentas usadas, aplicações e reflexão crítica sobre divergências/rejeições de </w:t>
      </w:r>
      <w:r w:rsidRPr="00B64BB4">
        <w:rPr>
          <w:rFonts w:ascii="Arial" w:hAnsi="Arial" w:cs="Arial"/>
          <w:b/>
          <w:bCs/>
          <w:i/>
          <w:iCs/>
          <w:sz w:val="20"/>
          <w:szCs w:val="20"/>
        </w:rPr>
        <w:t>outputs</w:t>
      </w:r>
      <w:r w:rsidRPr="00B64BB4">
        <w:rPr>
          <w:rFonts w:ascii="Arial" w:hAnsi="Arial" w:cs="Arial"/>
          <w:b/>
          <w:bCs/>
          <w:sz w:val="20"/>
          <w:szCs w:val="20"/>
        </w:rPr>
        <w:t>.</w:t>
      </w:r>
    </w:p>
    <w:p w14:paraId="2E2D7C05" w14:textId="77777777" w:rsidR="00B64BB4" w:rsidRPr="00B64BB4" w:rsidRDefault="00B64BB4" w:rsidP="00B64BB4">
      <w:pPr>
        <w:numPr>
          <w:ilvl w:val="0"/>
          <w:numId w:val="4"/>
        </w:num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Anexos (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Máx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. 10 páginas): Tabelas, pressupostos e memória de cálculo.</w:t>
      </w:r>
    </w:p>
    <w:p w14:paraId="21FB94F3" w14:textId="77777777" w:rsidR="00B64BB4" w:rsidRPr="00B64BB4" w:rsidRDefault="00B64BB4" w:rsidP="00B64BB4">
      <w:p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Formatação do Documento</w:t>
      </w:r>
    </w:p>
    <w:p w14:paraId="4B8DEC8B" w14:textId="77777777" w:rsidR="00B64BB4" w:rsidRPr="00B64BB4" w:rsidRDefault="00B64BB4" w:rsidP="00B64BB4">
      <w:pPr>
        <w:numPr>
          <w:ilvl w:val="0"/>
          <w:numId w:val="5"/>
        </w:num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 xml:space="preserve">Fonte e Texto: 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Arial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 xml:space="preserve"> 11, espaçamento 1,5, alinhamento justificado.</w:t>
      </w:r>
    </w:p>
    <w:p w14:paraId="1EB8682A" w14:textId="77777777" w:rsidR="00B64BB4" w:rsidRPr="00B64BB4" w:rsidRDefault="00B64BB4" w:rsidP="00B64BB4">
      <w:pPr>
        <w:numPr>
          <w:ilvl w:val="0"/>
          <w:numId w:val="5"/>
        </w:num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Margens: Esquerda/Superior: 2,5 | Direita/Inferior: 2.</w:t>
      </w:r>
    </w:p>
    <w:p w14:paraId="2380DAAB" w14:textId="77777777" w:rsidR="00B64BB4" w:rsidRPr="00B64BB4" w:rsidRDefault="00B64BB4" w:rsidP="00B64BB4">
      <w:p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Estrutura da Ferramenta (Excel)</w:t>
      </w:r>
    </w:p>
    <w:p w14:paraId="21518992" w14:textId="77777777" w:rsidR="00B64BB4" w:rsidRPr="00B64BB4" w:rsidRDefault="00B64BB4" w:rsidP="00B64BB4">
      <w:pPr>
        <w:numPr>
          <w:ilvl w:val="0"/>
          <w:numId w:val="6"/>
        </w:num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Três Metodologias: Cálculo e comparação direta (DCF é obrigatório).</w:t>
      </w:r>
    </w:p>
    <w:p w14:paraId="50176966" w14:textId="77777777" w:rsidR="00B64BB4" w:rsidRPr="00B64BB4" w:rsidRDefault="00B64BB4" w:rsidP="00B64BB4">
      <w:pPr>
        <w:numPr>
          <w:ilvl w:val="0"/>
          <w:numId w:val="6"/>
        </w:num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 xml:space="preserve">Funcionalidade: Modelo dinâmico e interligado, preparado para "Stress 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Tests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" (reajuste de pressupostos).</w:t>
      </w:r>
    </w:p>
    <w:p w14:paraId="2D335336" w14:textId="77777777" w:rsidR="00B64BB4" w:rsidRPr="00B64BB4" w:rsidRDefault="00B64BB4" w:rsidP="00B64BB4">
      <w:pPr>
        <w:numPr>
          <w:ilvl w:val="0"/>
          <w:numId w:val="6"/>
        </w:num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Fator Fiscal: Inclusão obrigatória do impacto do benefício fiscal da dívida no custo médio ponderado de capital (WACC).</w:t>
      </w:r>
    </w:p>
    <w:p w14:paraId="250BFA56" w14:textId="77777777" w:rsidR="00B64BB4" w:rsidRPr="00B64BB4" w:rsidRDefault="00B64BB4" w:rsidP="00B64BB4">
      <w:p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Com base nas fontes fornecidas, que correspondem à 3.ª edição da obra *"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Investment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Valuation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 xml:space="preserve">"* de 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Aswath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Damodaran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, apresento um resumo detalhado dos capítulos e temas solicitados:</w:t>
      </w:r>
    </w:p>
    <w:p w14:paraId="578F862A" w14:textId="77777777" w:rsidR="00B64BB4" w:rsidRPr="00B64BB4" w:rsidRDefault="00B64BB4" w:rsidP="00B64BB4">
      <w:p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Estimativa do Custo de Capital e Fluxos de Caixa</w:t>
      </w:r>
    </w:p>
    <w:p w14:paraId="381AD9B1" w14:textId="77777777" w:rsidR="00B64BB4" w:rsidRPr="00B64BB4" w:rsidRDefault="00B64BB4" w:rsidP="00B64BB4">
      <w:pPr>
        <w:numPr>
          <w:ilvl w:val="0"/>
          <w:numId w:val="7"/>
        </w:num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  <w:lang w:val="en-US"/>
        </w:rPr>
      </w:pPr>
      <w:proofErr w:type="spellStart"/>
      <w:r w:rsidRPr="00B64BB4">
        <w:rPr>
          <w:rFonts w:ascii="Arial" w:hAnsi="Arial" w:cs="Arial"/>
          <w:b/>
          <w:bCs/>
          <w:sz w:val="20"/>
          <w:szCs w:val="20"/>
          <w:lang w:val="en-US"/>
        </w:rPr>
        <w:t>Capítulo</w:t>
      </w:r>
      <w:proofErr w:type="spellEnd"/>
      <w:r w:rsidRPr="00B64BB4">
        <w:rPr>
          <w:rFonts w:ascii="Arial" w:hAnsi="Arial" w:cs="Arial"/>
          <w:b/>
          <w:bCs/>
          <w:sz w:val="20"/>
          <w:szCs w:val="20"/>
          <w:lang w:val="en-US"/>
        </w:rPr>
        <w:t xml:space="preserve"> 8 (Estimating Risk Parameters and Costs of Financing):</w:t>
      </w:r>
    </w:p>
    <w:p w14:paraId="791E2C5F" w14:textId="77777777" w:rsidR="00B64BB4" w:rsidRDefault="00B64BB4" w:rsidP="00B64BB4">
      <w:pPr>
        <w:numPr>
          <w:ilvl w:val="1"/>
          <w:numId w:val="7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Custo de Capital Próprio (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k_e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): Reflete o retorno exigido pelos acionistas e é geralmente estimado via CAPM como a soma da taxa livre de risco com o prêmio de risco de mercado ajustado pelo beta.</w:t>
      </w:r>
    </w:p>
    <w:p w14:paraId="764F513A" w14:textId="5BEC1C19" w:rsidR="002E152E" w:rsidRPr="002E152E" w:rsidRDefault="002E152E" w:rsidP="002E152E">
      <w:pPr>
        <w:tabs>
          <w:tab w:val="left" w:pos="705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159926E2" w14:textId="77777777" w:rsidR="00B64BB4" w:rsidRPr="00B64BB4" w:rsidRDefault="00B64BB4" w:rsidP="00B64BB4">
      <w:pPr>
        <w:numPr>
          <w:ilvl w:val="1"/>
          <w:numId w:val="7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lastRenderedPageBreak/>
        <w:t>Custo da Dívida (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k_d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): É determinado pela taxa livre de risco e pelo risco de incumprimento (</w:t>
      </w:r>
      <w:proofErr w:type="spellStart"/>
      <w:r w:rsidRPr="00B64BB4">
        <w:rPr>
          <w:rFonts w:ascii="Arial" w:hAnsi="Arial" w:cs="Arial"/>
          <w:b/>
          <w:bCs/>
          <w:i/>
          <w:iCs/>
          <w:sz w:val="20"/>
          <w:szCs w:val="20"/>
        </w:rPr>
        <w:t>default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) da empresa, frequentemente medido através de ratings sintéticos baseados em rácios de cobertura de juros.</w:t>
      </w:r>
    </w:p>
    <w:p w14:paraId="2F757502" w14:textId="77777777" w:rsidR="00B64BB4" w:rsidRPr="00B64BB4" w:rsidRDefault="00B64BB4" w:rsidP="00B64BB4">
      <w:pPr>
        <w:numPr>
          <w:ilvl w:val="1"/>
          <w:numId w:val="7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 xml:space="preserve">Benefício Fiscal: O impacto positivo da dívida é capturado no custo da dívida após impostos: 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k_d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 xml:space="preserve"> \times (1 - \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text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{taxa de imposto}).</w:t>
      </w:r>
    </w:p>
    <w:p w14:paraId="48169D73" w14:textId="77777777" w:rsidR="00B64BB4" w:rsidRPr="00B64BB4" w:rsidRDefault="00B64BB4" w:rsidP="00B64BB4">
      <w:pPr>
        <w:numPr>
          <w:ilvl w:val="1"/>
          <w:numId w:val="7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WACC: O custo médio ponderado de capital é a média ponderada dos custos de capital próprio, dívida e títulos híbridos, utilizando sempre valores de mercado para os pesos.</w:t>
      </w:r>
    </w:p>
    <w:p w14:paraId="26A328CF" w14:textId="77777777" w:rsidR="00B64BB4" w:rsidRPr="00B64BB4" w:rsidRDefault="00B64BB4" w:rsidP="00B64BB4">
      <w:pPr>
        <w:numPr>
          <w:ilvl w:val="0"/>
          <w:numId w:val="7"/>
        </w:num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  <w:lang w:val="en-US"/>
        </w:rPr>
      </w:pPr>
      <w:proofErr w:type="spellStart"/>
      <w:r w:rsidRPr="00B64BB4">
        <w:rPr>
          <w:rFonts w:ascii="Arial" w:hAnsi="Arial" w:cs="Arial"/>
          <w:b/>
          <w:bCs/>
          <w:sz w:val="20"/>
          <w:szCs w:val="20"/>
          <w:lang w:val="en-US"/>
        </w:rPr>
        <w:t>Capítulos</w:t>
      </w:r>
      <w:proofErr w:type="spellEnd"/>
      <w:r w:rsidRPr="00B64BB4">
        <w:rPr>
          <w:rFonts w:ascii="Arial" w:hAnsi="Arial" w:cs="Arial"/>
          <w:b/>
          <w:bCs/>
          <w:sz w:val="20"/>
          <w:szCs w:val="20"/>
          <w:lang w:val="en-US"/>
        </w:rPr>
        <w:t xml:space="preserve"> 9 e 10 (Measuring Earnings / From Earnings to Cash Flows):</w:t>
      </w:r>
    </w:p>
    <w:p w14:paraId="5C61537B" w14:textId="77777777" w:rsidR="00B64BB4" w:rsidRPr="00B64BB4" w:rsidRDefault="00B64BB4" w:rsidP="00B64BB4">
      <w:pPr>
        <w:numPr>
          <w:ilvl w:val="1"/>
          <w:numId w:val="7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Fluxos de Caixa: O valor de um ativo provém da sua capacidade de gerar fluxos de caixa após impostos e necessidades de reinvestimento.</w:t>
      </w:r>
    </w:p>
    <w:p w14:paraId="1CCC7E10" w14:textId="77777777" w:rsidR="00B64BB4" w:rsidRPr="00B64BB4" w:rsidRDefault="00B64BB4" w:rsidP="00B64BB4">
      <w:pPr>
        <w:numPr>
          <w:ilvl w:val="1"/>
          <w:numId w:val="7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 xml:space="preserve">FCFF (Free Cash 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Flow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 xml:space="preserve"> to 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the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Firm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): É o fluxo disponível para todos os detentores de capital (acionistas e credores). Calcula-se a partir do EBIT: EBIT(1 - t) + \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text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{Depreciação} - \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text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{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CapEx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} - \Delta\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text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{Capital de Trabalho}.</w:t>
      </w:r>
    </w:p>
    <w:p w14:paraId="6C0CE043" w14:textId="77777777" w:rsidR="00B64BB4" w:rsidRPr="00B64BB4" w:rsidRDefault="00B64BB4" w:rsidP="00B64BB4">
      <w:pPr>
        <w:numPr>
          <w:ilvl w:val="1"/>
          <w:numId w:val="7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 xml:space="preserve">FCFE (Free Cash 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Flow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 xml:space="preserve"> to Equity): É o fluxo residual para os acionistas após o pagamento de obrigações financeiras e reinvestimento: \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text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{Lucro Líquido} - (\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text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{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CapEx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} - \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text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{Depreciação}) - \Delta\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text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{Capital de Trabalho} + (\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text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{Nova Dívida} - \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text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{Amortização de Dívida}).</w:t>
      </w:r>
    </w:p>
    <w:p w14:paraId="450449E0" w14:textId="77777777" w:rsidR="00B64BB4" w:rsidRPr="00B64BB4" w:rsidRDefault="00B64BB4" w:rsidP="00B64BB4">
      <w:pPr>
        <w:numPr>
          <w:ilvl w:val="0"/>
          <w:numId w:val="7"/>
        </w:num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  <w:lang w:val="en-US"/>
        </w:rPr>
      </w:pPr>
      <w:proofErr w:type="spellStart"/>
      <w:r w:rsidRPr="00B64BB4">
        <w:rPr>
          <w:rFonts w:ascii="Arial" w:hAnsi="Arial" w:cs="Arial"/>
          <w:b/>
          <w:bCs/>
          <w:sz w:val="20"/>
          <w:szCs w:val="20"/>
          <w:lang w:val="en-US"/>
        </w:rPr>
        <w:t>Capítulo</w:t>
      </w:r>
      <w:proofErr w:type="spellEnd"/>
      <w:r w:rsidRPr="00B64BB4">
        <w:rPr>
          <w:rFonts w:ascii="Arial" w:hAnsi="Arial" w:cs="Arial"/>
          <w:b/>
          <w:bCs/>
          <w:sz w:val="20"/>
          <w:szCs w:val="20"/>
          <w:lang w:val="en-US"/>
        </w:rPr>
        <w:t xml:space="preserve"> 12 (Closure in Valuation: Estimating Terminal Value):</w:t>
      </w:r>
    </w:p>
    <w:p w14:paraId="5092E0A1" w14:textId="77777777" w:rsidR="00B64BB4" w:rsidRPr="00B64BB4" w:rsidRDefault="00B64BB4" w:rsidP="00B64BB4">
      <w:pPr>
        <w:numPr>
          <w:ilvl w:val="1"/>
          <w:numId w:val="7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Fecho da Avaliação: Como não se podem estimar fluxos infinitamente, utiliza-se um valor terminal que reflete o valor da empresa após o período de projeção.</w:t>
      </w:r>
    </w:p>
    <w:p w14:paraId="2DC05A8E" w14:textId="77777777" w:rsidR="00B64BB4" w:rsidRPr="00B64BB4" w:rsidRDefault="00B64BB4" w:rsidP="00B64BB4">
      <w:pPr>
        <w:numPr>
          <w:ilvl w:val="1"/>
          <w:numId w:val="7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Modelo de Crescimento Estável: Assume que os fluxos crescerão a uma taxa constante (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g_n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 xml:space="preserve">) para sempre. A fórmula é: FCFF_{n+1} / (WACC - 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g_n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).</w:t>
      </w:r>
    </w:p>
    <w:p w14:paraId="475EB9CD" w14:textId="77777777" w:rsidR="00B64BB4" w:rsidRPr="00B64BB4" w:rsidRDefault="00B64BB4" w:rsidP="00B64BB4">
      <w:pPr>
        <w:numPr>
          <w:ilvl w:val="1"/>
          <w:numId w:val="7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Restrições Críticas: A taxa de crescimento estável não pode exceder a taxa de crescimento da economia (frequentemente aproximada pela taxa livre de risco). Além disso, o reinvestimento deve ser coerente com esse crescimento: \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text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{Taxa de Reinvestimento} = g / \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text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{Retorno sobre o Capital (ROC)}.</w:t>
      </w:r>
    </w:p>
    <w:p w14:paraId="180ABA80" w14:textId="77777777" w:rsidR="00B64BB4" w:rsidRPr="00B64BB4" w:rsidRDefault="00B64BB4" w:rsidP="00B64BB4">
      <w:pPr>
        <w:numPr>
          <w:ilvl w:val="0"/>
          <w:numId w:val="7"/>
        </w:num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  <w:lang w:val="en-US"/>
        </w:rPr>
      </w:pPr>
      <w:proofErr w:type="spellStart"/>
      <w:r w:rsidRPr="00B64BB4">
        <w:rPr>
          <w:rFonts w:ascii="Arial" w:hAnsi="Arial" w:cs="Arial"/>
          <w:b/>
          <w:bCs/>
          <w:sz w:val="20"/>
          <w:szCs w:val="20"/>
          <w:lang w:val="en-US"/>
        </w:rPr>
        <w:t>Capítulo</w:t>
      </w:r>
      <w:proofErr w:type="spellEnd"/>
      <w:r w:rsidRPr="00B64BB4">
        <w:rPr>
          <w:rFonts w:ascii="Arial" w:hAnsi="Arial" w:cs="Arial"/>
          <w:b/>
          <w:bCs/>
          <w:sz w:val="20"/>
          <w:szCs w:val="20"/>
          <w:lang w:val="en-US"/>
        </w:rPr>
        <w:t xml:space="preserve"> 15 (Firm Valuation: Cost of Capital and APV):</w:t>
      </w:r>
    </w:p>
    <w:p w14:paraId="6EA18FD9" w14:textId="77777777" w:rsidR="00B64BB4" w:rsidRPr="00B64BB4" w:rsidRDefault="00B64BB4" w:rsidP="00B64BB4">
      <w:pPr>
        <w:numPr>
          <w:ilvl w:val="1"/>
          <w:numId w:val="7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Modelo FCFF: Avalia a empresa operacional descontando os FCFF pelo WACC.</w:t>
      </w:r>
    </w:p>
    <w:p w14:paraId="47185F62" w14:textId="77777777" w:rsidR="00B64BB4" w:rsidRPr="00B64BB4" w:rsidRDefault="00B64BB4" w:rsidP="00B64BB4">
      <w:pPr>
        <w:numPr>
          <w:ilvl w:val="1"/>
          <w:numId w:val="7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Vantagens: É mais simples de aplicar quando a alavancagem financeira é instável ou está a mudar, pois não requer a projeção explícita de pagamentos de dívida no fluxo de caixa.</w:t>
      </w:r>
    </w:p>
    <w:p w14:paraId="0D100DA5" w14:textId="77777777" w:rsidR="00B64BB4" w:rsidRPr="00B64BB4" w:rsidRDefault="00B64BB4" w:rsidP="00B64BB4">
      <w:p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pict w14:anchorId="38BD596D">
          <v:rect id="_x0000_i1043" style="width:0;height:1.5pt" o:hralign="center" o:hrstd="t" o:hr="t" fillcolor="#a0a0a0" stroked="f"/>
        </w:pict>
      </w:r>
    </w:p>
    <w:p w14:paraId="3BE81AA7" w14:textId="77777777" w:rsidR="00B64BB4" w:rsidRPr="00B64BB4" w:rsidRDefault="00B64BB4" w:rsidP="00B64BB4">
      <w:p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Metodologias Alternativas (Avaliação Relativa / Múltiplos)</w:t>
      </w:r>
    </w:p>
    <w:p w14:paraId="52535CD9" w14:textId="77777777" w:rsidR="00B64BB4" w:rsidRPr="00B64BB4" w:rsidRDefault="00B64BB4" w:rsidP="00B64BB4">
      <w:pPr>
        <w:numPr>
          <w:ilvl w:val="0"/>
          <w:numId w:val="8"/>
        </w:num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 xml:space="preserve">Capítulo 17 (Fundamental 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Principles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of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Relative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Valuation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):</w:t>
      </w:r>
    </w:p>
    <w:p w14:paraId="631DC50D" w14:textId="77777777" w:rsidR="00B64BB4" w:rsidRPr="00B64BB4" w:rsidRDefault="00B64BB4" w:rsidP="00B64BB4">
      <w:pPr>
        <w:numPr>
          <w:ilvl w:val="1"/>
          <w:numId w:val="8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Fundamento: O valor é estimado com base no preço de ativos comparáveis no mercado em relação a uma variável comum (resultados, valor contabilístico ou vendas).</w:t>
      </w:r>
    </w:p>
    <w:p w14:paraId="081D63DC" w14:textId="77777777" w:rsidR="00B64BB4" w:rsidRPr="00B64BB4" w:rsidRDefault="00B64BB4" w:rsidP="00B64BB4">
      <w:pPr>
        <w:numPr>
          <w:ilvl w:val="1"/>
          <w:numId w:val="8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Popularidade: É amplamente utilizado por exigir menos pressupostos explícitos, ser mais rápido de concluir e refletir o estado emocional atual do mercado.</w:t>
      </w:r>
    </w:p>
    <w:p w14:paraId="6A8CA41E" w14:textId="77777777" w:rsidR="00B64BB4" w:rsidRPr="00B64BB4" w:rsidRDefault="00B64BB4" w:rsidP="00B64BB4">
      <w:pPr>
        <w:numPr>
          <w:ilvl w:val="1"/>
          <w:numId w:val="8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lastRenderedPageBreak/>
        <w:t>Processo de 4 Etapas: (1) Consistência na definição do múltiplo; (2) conhecimento da distribuição do múltiplo no mercado; (3) análise dos determinantes fundamentais; (4) escolha rigorosa de comparáveis.</w:t>
      </w:r>
    </w:p>
    <w:p w14:paraId="308111C1" w14:textId="77777777" w:rsidR="00B64BB4" w:rsidRPr="00B64BB4" w:rsidRDefault="00B64BB4" w:rsidP="00B64BB4">
      <w:pPr>
        <w:numPr>
          <w:ilvl w:val="0"/>
          <w:numId w:val="8"/>
        </w:num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Capítulo 18 (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Earnings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Multiples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):</w:t>
      </w:r>
    </w:p>
    <w:p w14:paraId="6292E071" w14:textId="77777777" w:rsidR="00B64BB4" w:rsidRPr="00B64BB4" w:rsidRDefault="00B64BB4" w:rsidP="00B64BB4">
      <w:pPr>
        <w:numPr>
          <w:ilvl w:val="1"/>
          <w:numId w:val="8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Múltiplo de Resultados (PER): Relaciona o preço por ação com o lucro por share. É determinado pelo rácio de distribuição (</w:t>
      </w:r>
      <w:proofErr w:type="spellStart"/>
      <w:r w:rsidRPr="00B64BB4">
        <w:rPr>
          <w:rFonts w:ascii="Arial" w:hAnsi="Arial" w:cs="Arial"/>
          <w:b/>
          <w:bCs/>
          <w:i/>
          <w:iCs/>
          <w:sz w:val="20"/>
          <w:szCs w:val="20"/>
        </w:rPr>
        <w:t>payout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), taxa de crescimento e risco.</w:t>
      </w:r>
    </w:p>
    <w:p w14:paraId="37B94C42" w14:textId="77777777" w:rsidR="00B64BB4" w:rsidRPr="00B64BB4" w:rsidRDefault="00B64BB4" w:rsidP="00B64BB4">
      <w:pPr>
        <w:numPr>
          <w:ilvl w:val="1"/>
          <w:numId w:val="8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EV/EBITDA: Um múltiplo de valor da empresa que ignora diferenças nos métodos de depreciação e na estrutura de capital, sendo ideal para setores com pesados investimentos em infraestruturas.</w:t>
      </w:r>
    </w:p>
    <w:p w14:paraId="5AAF4775" w14:textId="77777777" w:rsidR="00B64BB4" w:rsidRPr="00B64BB4" w:rsidRDefault="00B64BB4" w:rsidP="00B64BB4">
      <w:pPr>
        <w:numPr>
          <w:ilvl w:val="0"/>
          <w:numId w:val="8"/>
        </w:num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Capítulo 19 (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Book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Value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Multiples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):</w:t>
      </w:r>
    </w:p>
    <w:p w14:paraId="11553849" w14:textId="77777777" w:rsidR="00B64BB4" w:rsidRPr="00B64BB4" w:rsidRDefault="00B64BB4" w:rsidP="00B64BB4">
      <w:pPr>
        <w:numPr>
          <w:ilvl w:val="1"/>
          <w:numId w:val="8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Price-to-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Book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Value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 xml:space="preserve"> (P/BV): Relaciona o valor de mercado com o valor contabilístico do capital próprio.</w:t>
      </w:r>
    </w:p>
    <w:p w14:paraId="0D5D07C3" w14:textId="77777777" w:rsidR="00B64BB4" w:rsidRPr="00B64BB4" w:rsidRDefault="00B64BB4" w:rsidP="00B64BB4">
      <w:pPr>
        <w:numPr>
          <w:ilvl w:val="1"/>
          <w:numId w:val="8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 xml:space="preserve">Determinante Principal: O motor fundamental deste múltiplo é o Retorno sobre o Capital Próprio (ROE). Empresas com baixo </w:t>
      </w:r>
      <w:proofErr w:type="gramStart"/>
      <w:r w:rsidRPr="00B64BB4">
        <w:rPr>
          <w:rFonts w:ascii="Arial" w:hAnsi="Arial" w:cs="Arial"/>
          <w:b/>
          <w:bCs/>
          <w:sz w:val="20"/>
          <w:szCs w:val="20"/>
        </w:rPr>
        <w:t>P/BV</w:t>
      </w:r>
      <w:proofErr w:type="gramEnd"/>
      <w:r w:rsidRPr="00B64BB4">
        <w:rPr>
          <w:rFonts w:ascii="Arial" w:hAnsi="Arial" w:cs="Arial"/>
          <w:b/>
          <w:bCs/>
          <w:sz w:val="20"/>
          <w:szCs w:val="20"/>
        </w:rPr>
        <w:t xml:space="preserve"> mas alto ROE são geralmente vistas como subavaliadas.</w:t>
      </w:r>
    </w:p>
    <w:p w14:paraId="44FF8301" w14:textId="77777777" w:rsidR="00B64BB4" w:rsidRPr="00B64BB4" w:rsidRDefault="00B64BB4" w:rsidP="00B64BB4">
      <w:pPr>
        <w:numPr>
          <w:ilvl w:val="0"/>
          <w:numId w:val="8"/>
        </w:num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Capítulo 20 (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Revenue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and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 xml:space="preserve"> Sector-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Specific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Multiples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):</w:t>
      </w:r>
    </w:p>
    <w:p w14:paraId="19519BED" w14:textId="77777777" w:rsidR="00B64BB4" w:rsidRPr="00B64BB4" w:rsidRDefault="00B64BB4" w:rsidP="00B64BB4">
      <w:pPr>
        <w:numPr>
          <w:ilvl w:val="1"/>
          <w:numId w:val="8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Múltiplos de Vendas: Price/Sales e EV/Sales. O primeiro é influenciado pela margem líquida e o segundo pela margem operacional após impostos.</w:t>
      </w:r>
    </w:p>
    <w:p w14:paraId="6AD78F6A" w14:textId="77777777" w:rsidR="00B64BB4" w:rsidRPr="00B64BB4" w:rsidRDefault="00B64BB4" w:rsidP="00B64BB4">
      <w:pPr>
        <w:numPr>
          <w:ilvl w:val="1"/>
          <w:numId w:val="8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Específicos do Setor: Múltiplos como "valor por subscritor" ou "valor por membro" (redes sociais), úteis quando as medidas contabilísticas são pouco fiáveis ou negativas.</w:t>
      </w:r>
    </w:p>
    <w:p w14:paraId="6AA5B7D0" w14:textId="77777777" w:rsidR="00B64BB4" w:rsidRPr="00B64BB4" w:rsidRDefault="00B64BB4" w:rsidP="00B64BB4">
      <w:p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pict w14:anchorId="531C7BBF">
          <v:rect id="_x0000_i1044" style="width:0;height:1.5pt" o:hralign="center" o:hrstd="t" o:hr="t" fillcolor="#a0a0a0" stroked="f"/>
        </w:pict>
      </w:r>
    </w:p>
    <w:p w14:paraId="72898C63" w14:textId="77777777" w:rsidR="00B64BB4" w:rsidRPr="00B64BB4" w:rsidRDefault="00B64BB4" w:rsidP="00B64BB4">
      <w:p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Metodologias Alternativas (Capital Próprio)</w:t>
      </w:r>
    </w:p>
    <w:p w14:paraId="21DBAC66" w14:textId="77777777" w:rsidR="00B64BB4" w:rsidRPr="00B64BB4" w:rsidRDefault="00B64BB4" w:rsidP="00B64BB4">
      <w:pPr>
        <w:numPr>
          <w:ilvl w:val="0"/>
          <w:numId w:val="9"/>
        </w:num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  <w:lang w:val="en-US"/>
        </w:rPr>
      </w:pPr>
      <w:proofErr w:type="spellStart"/>
      <w:r w:rsidRPr="00B64BB4">
        <w:rPr>
          <w:rFonts w:ascii="Arial" w:hAnsi="Arial" w:cs="Arial"/>
          <w:b/>
          <w:bCs/>
          <w:sz w:val="20"/>
          <w:szCs w:val="20"/>
          <w:lang w:val="en-US"/>
        </w:rPr>
        <w:t>Capítulo</w:t>
      </w:r>
      <w:proofErr w:type="spellEnd"/>
      <w:r w:rsidRPr="00B64BB4">
        <w:rPr>
          <w:rFonts w:ascii="Arial" w:hAnsi="Arial" w:cs="Arial"/>
          <w:b/>
          <w:bCs/>
          <w:sz w:val="20"/>
          <w:szCs w:val="20"/>
          <w:lang w:val="en-US"/>
        </w:rPr>
        <w:t xml:space="preserve"> 14 (Free Cash Flow to Equity Discount Models):</w:t>
      </w:r>
    </w:p>
    <w:p w14:paraId="03719768" w14:textId="77777777" w:rsidR="00B64BB4" w:rsidRPr="00B64BB4" w:rsidRDefault="00B64BB4" w:rsidP="00B64BB4">
      <w:pPr>
        <w:numPr>
          <w:ilvl w:val="1"/>
          <w:numId w:val="9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Ótica do Acionista: Foca-se no fluxo de caixa que a empresa pode devolver aos acionistas após todas as necessidades de reinvestimento e pagamentos de dívida.</w:t>
      </w:r>
    </w:p>
    <w:p w14:paraId="37CA15CC" w14:textId="77777777" w:rsidR="00B64BB4" w:rsidRPr="00B64BB4" w:rsidRDefault="00B64BB4" w:rsidP="00B64BB4">
      <w:pPr>
        <w:numPr>
          <w:ilvl w:val="1"/>
          <w:numId w:val="9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proofErr w:type="gramStart"/>
      <w:r w:rsidRPr="00B64BB4">
        <w:rPr>
          <w:rFonts w:ascii="Arial" w:hAnsi="Arial" w:cs="Arial"/>
          <w:b/>
          <w:bCs/>
          <w:sz w:val="20"/>
          <w:szCs w:val="20"/>
        </w:rPr>
        <w:t>Uso Ideal</w:t>
      </w:r>
      <w:proofErr w:type="gramEnd"/>
      <w:r w:rsidRPr="00B64BB4">
        <w:rPr>
          <w:rFonts w:ascii="Arial" w:hAnsi="Arial" w:cs="Arial"/>
          <w:b/>
          <w:bCs/>
          <w:sz w:val="20"/>
          <w:szCs w:val="20"/>
        </w:rPr>
        <w:t>: É preferível ao modelo de dividendos quando os dividendos pagos são significativamente diferentes do FCFE ou quando existe potencial de mudança no controlo corporativo.</w:t>
      </w:r>
    </w:p>
    <w:p w14:paraId="5EB3029B" w14:textId="77777777" w:rsidR="00B64BB4" w:rsidRPr="00B64BB4" w:rsidRDefault="00B64BB4" w:rsidP="00B64BB4">
      <w:pPr>
        <w:numPr>
          <w:ilvl w:val="0"/>
          <w:numId w:val="9"/>
        </w:num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 xml:space="preserve">Capítulo 13 (Dividend 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Discount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64BB4">
        <w:rPr>
          <w:rFonts w:ascii="Arial" w:hAnsi="Arial" w:cs="Arial"/>
          <w:b/>
          <w:bCs/>
          <w:sz w:val="20"/>
          <w:szCs w:val="20"/>
        </w:rPr>
        <w:t>Models</w:t>
      </w:r>
      <w:proofErr w:type="spellEnd"/>
      <w:r w:rsidRPr="00B64BB4">
        <w:rPr>
          <w:rFonts w:ascii="Arial" w:hAnsi="Arial" w:cs="Arial"/>
          <w:b/>
          <w:bCs/>
          <w:sz w:val="20"/>
          <w:szCs w:val="20"/>
        </w:rPr>
        <w:t>):</w:t>
      </w:r>
    </w:p>
    <w:p w14:paraId="1477E9CD" w14:textId="77777777" w:rsidR="00B64BB4" w:rsidRPr="00B64BB4" w:rsidRDefault="00B64BB4" w:rsidP="00B64BB4">
      <w:pPr>
        <w:numPr>
          <w:ilvl w:val="1"/>
          <w:numId w:val="9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Premissa: O único fluxo que o acionista recebe diretamente são os dividendos.</w:t>
      </w:r>
    </w:p>
    <w:p w14:paraId="575109C1" w14:textId="77777777" w:rsidR="00B64BB4" w:rsidRPr="00B64BB4" w:rsidRDefault="00B64BB4" w:rsidP="00B64BB4">
      <w:pPr>
        <w:numPr>
          <w:ilvl w:val="1"/>
          <w:numId w:val="9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Modelos: Incluem o Crescimento de Gordon (estável), o modelo de Duas Etapas (crescimento alto seguido de estável) e o Modelo H (onde o crescimento declina linearmente).</w:t>
      </w:r>
    </w:p>
    <w:p w14:paraId="5AF0185D" w14:textId="77777777" w:rsidR="00B64BB4" w:rsidRPr="00B64BB4" w:rsidRDefault="00B64BB4" w:rsidP="00B64BB4">
      <w:p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pict w14:anchorId="06C41D5D">
          <v:rect id="_x0000_i1045" style="width:0;height:1.5pt" o:hralign="center" o:hrstd="t" o:hr="t" fillcolor="#a0a0a0" stroked="f"/>
        </w:pict>
      </w:r>
    </w:p>
    <w:p w14:paraId="47E38D2A" w14:textId="77777777" w:rsidR="00B64BB4" w:rsidRPr="00B64BB4" w:rsidRDefault="00B64BB4" w:rsidP="00B64BB4">
      <w:p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Análise de Coerência (Escolha do Modelo)</w:t>
      </w:r>
    </w:p>
    <w:p w14:paraId="7FAB54E1" w14:textId="77777777" w:rsidR="00B64BB4" w:rsidRPr="00B64BB4" w:rsidRDefault="00B64BB4" w:rsidP="00B64BB4">
      <w:pPr>
        <w:numPr>
          <w:ilvl w:val="0"/>
          <w:numId w:val="10"/>
        </w:num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  <w:lang w:val="en-US"/>
        </w:rPr>
      </w:pPr>
      <w:proofErr w:type="spellStart"/>
      <w:r w:rsidRPr="00B64BB4">
        <w:rPr>
          <w:rFonts w:ascii="Arial" w:hAnsi="Arial" w:cs="Arial"/>
          <w:b/>
          <w:bCs/>
          <w:sz w:val="20"/>
          <w:szCs w:val="20"/>
          <w:lang w:val="en-US"/>
        </w:rPr>
        <w:t>Capítulo</w:t>
      </w:r>
      <w:proofErr w:type="spellEnd"/>
      <w:r w:rsidRPr="00B64BB4">
        <w:rPr>
          <w:rFonts w:ascii="Arial" w:hAnsi="Arial" w:cs="Arial"/>
          <w:b/>
          <w:bCs/>
          <w:sz w:val="20"/>
          <w:szCs w:val="20"/>
          <w:lang w:val="en-US"/>
        </w:rPr>
        <w:t xml:space="preserve"> 34 (Overview and Conclusion: Choosing the Right Model):</w:t>
      </w:r>
    </w:p>
    <w:p w14:paraId="6AE426A9" w14:textId="77777777" w:rsidR="00B64BB4" w:rsidRPr="00B64BB4" w:rsidRDefault="00B64BB4" w:rsidP="00B64BB4">
      <w:pPr>
        <w:numPr>
          <w:ilvl w:val="1"/>
          <w:numId w:val="10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t>Critérios de Escolha: A seleção do modelo deve basear-se nas características da empresa (nível de lucros, potencial de crescimento, estabilidade da dívida) e nas crenças do analista sobre a eficiência do mercado.</w:t>
      </w:r>
    </w:p>
    <w:p w14:paraId="4DAC0307" w14:textId="77777777" w:rsidR="00B64BB4" w:rsidRPr="00B64BB4" w:rsidRDefault="00B64BB4" w:rsidP="00B64BB4">
      <w:pPr>
        <w:numPr>
          <w:ilvl w:val="1"/>
          <w:numId w:val="10"/>
        </w:numPr>
        <w:tabs>
          <w:tab w:val="clear" w:pos="1440"/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64BB4">
        <w:rPr>
          <w:rFonts w:ascii="Arial" w:hAnsi="Arial" w:cs="Arial"/>
          <w:b/>
          <w:bCs/>
          <w:sz w:val="20"/>
          <w:szCs w:val="20"/>
        </w:rPr>
        <w:lastRenderedPageBreak/>
        <w:t xml:space="preserve">Divergências: Uma empresa pode parecer subavaliada num modelo </w:t>
      </w:r>
      <w:proofErr w:type="gramStart"/>
      <w:r w:rsidRPr="00B64BB4">
        <w:rPr>
          <w:rFonts w:ascii="Arial" w:hAnsi="Arial" w:cs="Arial"/>
          <w:b/>
          <w:bCs/>
          <w:sz w:val="20"/>
          <w:szCs w:val="20"/>
        </w:rPr>
        <w:t>DCF</w:t>
      </w:r>
      <w:proofErr w:type="gramEnd"/>
      <w:r w:rsidRPr="00B64BB4">
        <w:rPr>
          <w:rFonts w:ascii="Arial" w:hAnsi="Arial" w:cs="Arial"/>
          <w:b/>
          <w:bCs/>
          <w:sz w:val="20"/>
          <w:szCs w:val="20"/>
        </w:rPr>
        <w:t xml:space="preserve"> mas sobreavaliada em múltiplos se o setor estiver genericamente inflacionado. O modelo DCF foca-se no valor intrínseco a longo prazo, enquanto a avaliação relativa foca-se no preço atual de mercado.</w:t>
      </w:r>
    </w:p>
    <w:bookmarkEnd w:id="0"/>
    <w:p w14:paraId="5702A7F2" w14:textId="77777777" w:rsidR="00B64BB4" w:rsidRPr="00B64BB4" w:rsidRDefault="00B64BB4" w:rsidP="00B64BB4">
      <w:pPr>
        <w:tabs>
          <w:tab w:val="left" w:pos="1455"/>
          <w:tab w:val="left" w:pos="2295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sectPr w:rsidR="00B64BB4" w:rsidRPr="00B64BB4" w:rsidSect="00A605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134" w:left="1418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28411" w14:textId="77777777" w:rsidR="009D74EB" w:rsidRDefault="009D74EB">
      <w:pPr>
        <w:spacing w:line="240" w:lineRule="auto"/>
      </w:pPr>
      <w:r>
        <w:separator/>
      </w:r>
    </w:p>
  </w:endnote>
  <w:endnote w:type="continuationSeparator" w:id="0">
    <w:p w14:paraId="4E346483" w14:textId="77777777" w:rsidR="009D74EB" w:rsidRDefault="009D74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9091" w14:textId="77777777" w:rsidR="002C6C46" w:rsidRDefault="002C6C4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5628477"/>
      <w:docPartObj>
        <w:docPartGallery w:val="Page Numbers (Bottom of Page)"/>
        <w:docPartUnique/>
      </w:docPartObj>
    </w:sdtPr>
    <w:sdtEndPr>
      <w:rPr>
        <w:color w:val="FFFFFF" w:themeColor="background1"/>
        <w:sz w:val="8"/>
        <w:szCs w:val="8"/>
      </w:rPr>
    </w:sdtEndPr>
    <w:sdtContent>
      <w:p w14:paraId="1C66B6FF" w14:textId="77777777" w:rsidR="000B78A6" w:rsidRPr="000B78A6" w:rsidRDefault="00BF788B" w:rsidP="005C1AA0">
        <w:pPr>
          <w:pStyle w:val="Rodap"/>
          <w:jc w:val="right"/>
          <w:rPr>
            <w:sz w:val="18"/>
            <w:szCs w:val="18"/>
            <w:lang w:val="en-US"/>
          </w:rPr>
        </w:pPr>
        <w:r w:rsidRPr="000B78A6">
          <w:rPr>
            <w:sz w:val="18"/>
            <w:szCs w:val="18"/>
          </w:rPr>
          <w:fldChar w:fldCharType="begin"/>
        </w:r>
        <w:r w:rsidRPr="000B78A6">
          <w:rPr>
            <w:sz w:val="18"/>
            <w:szCs w:val="18"/>
            <w:lang w:val="en-US"/>
          </w:rPr>
          <w:instrText>PAGE   \* MERGEFORMAT</w:instrText>
        </w:r>
        <w:r w:rsidRPr="000B78A6">
          <w:rPr>
            <w:sz w:val="18"/>
            <w:szCs w:val="18"/>
          </w:rPr>
          <w:fldChar w:fldCharType="separate"/>
        </w:r>
        <w:r w:rsidRPr="000B78A6">
          <w:rPr>
            <w:sz w:val="18"/>
            <w:szCs w:val="18"/>
            <w:lang w:val="en-US"/>
          </w:rPr>
          <w:t>2</w:t>
        </w:r>
        <w:r w:rsidRPr="000B78A6">
          <w:rPr>
            <w:sz w:val="18"/>
            <w:szCs w:val="18"/>
          </w:rPr>
          <w:fldChar w:fldCharType="end"/>
        </w:r>
      </w:p>
      <w:p w14:paraId="638B34F9" w14:textId="5BA001B3" w:rsidR="00A31C01" w:rsidRPr="000B78A6" w:rsidRDefault="009D74EB" w:rsidP="005C1AA0">
        <w:pPr>
          <w:pStyle w:val="Rodap"/>
          <w:jc w:val="right"/>
          <w:rPr>
            <w:color w:val="FFFFFF" w:themeColor="background1"/>
            <w:sz w:val="8"/>
            <w:szCs w:val="8"/>
            <w:lang w:val="en-US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4B427" w14:textId="77777777" w:rsidR="002C6C46" w:rsidRDefault="002C6C4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B144B" w14:textId="77777777" w:rsidR="009D74EB" w:rsidRDefault="009D74EB">
      <w:pPr>
        <w:spacing w:line="240" w:lineRule="auto"/>
      </w:pPr>
      <w:r>
        <w:separator/>
      </w:r>
    </w:p>
  </w:footnote>
  <w:footnote w:type="continuationSeparator" w:id="0">
    <w:p w14:paraId="0A62A1CE" w14:textId="77777777" w:rsidR="009D74EB" w:rsidRDefault="009D74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42168" w14:textId="77777777" w:rsidR="002C6C46" w:rsidRDefault="002C6C4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511B5" w14:textId="6051C573" w:rsidR="00A40967" w:rsidRDefault="00A40967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1EAFC" w14:textId="77777777" w:rsidR="002C6C46" w:rsidRDefault="002C6C4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B11"/>
    <w:multiLevelType w:val="multilevel"/>
    <w:tmpl w:val="6590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65F35"/>
    <w:multiLevelType w:val="multilevel"/>
    <w:tmpl w:val="8892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353B3"/>
    <w:multiLevelType w:val="multilevel"/>
    <w:tmpl w:val="7280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07AD4"/>
    <w:multiLevelType w:val="multilevel"/>
    <w:tmpl w:val="D6C6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173F0"/>
    <w:multiLevelType w:val="multilevel"/>
    <w:tmpl w:val="0168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F018A"/>
    <w:multiLevelType w:val="hybridMultilevel"/>
    <w:tmpl w:val="5B68FDA2"/>
    <w:lvl w:ilvl="0" w:tplc="E5B01824">
      <w:start w:val="1"/>
      <w:numFmt w:val="bullet"/>
      <w:lvlText w:val="●"/>
      <w:lvlJc w:val="left"/>
      <w:pPr>
        <w:ind w:left="720" w:hanging="360"/>
      </w:pPr>
    </w:lvl>
    <w:lvl w:ilvl="1" w:tplc="62BAD2A6">
      <w:start w:val="1"/>
      <w:numFmt w:val="bullet"/>
      <w:lvlText w:val="○"/>
      <w:lvlJc w:val="left"/>
      <w:pPr>
        <w:ind w:left="1440" w:hanging="360"/>
      </w:pPr>
    </w:lvl>
    <w:lvl w:ilvl="2" w:tplc="C79C25AE">
      <w:start w:val="1"/>
      <w:numFmt w:val="bullet"/>
      <w:lvlText w:val="■"/>
      <w:lvlJc w:val="left"/>
      <w:pPr>
        <w:ind w:left="2160" w:hanging="360"/>
      </w:pPr>
    </w:lvl>
    <w:lvl w:ilvl="3" w:tplc="EF04250A">
      <w:start w:val="1"/>
      <w:numFmt w:val="bullet"/>
      <w:lvlText w:val="●"/>
      <w:lvlJc w:val="left"/>
      <w:pPr>
        <w:ind w:left="2880" w:hanging="360"/>
      </w:pPr>
    </w:lvl>
    <w:lvl w:ilvl="4" w:tplc="68F288F2">
      <w:start w:val="1"/>
      <w:numFmt w:val="bullet"/>
      <w:lvlText w:val="○"/>
      <w:lvlJc w:val="left"/>
      <w:pPr>
        <w:ind w:left="3600" w:hanging="360"/>
      </w:pPr>
    </w:lvl>
    <w:lvl w:ilvl="5" w:tplc="1840952E">
      <w:start w:val="1"/>
      <w:numFmt w:val="bullet"/>
      <w:lvlText w:val="■"/>
      <w:lvlJc w:val="left"/>
      <w:pPr>
        <w:ind w:left="4320" w:hanging="360"/>
      </w:pPr>
    </w:lvl>
    <w:lvl w:ilvl="6" w:tplc="6D78F160">
      <w:start w:val="1"/>
      <w:numFmt w:val="bullet"/>
      <w:lvlText w:val="●"/>
      <w:lvlJc w:val="left"/>
      <w:pPr>
        <w:ind w:left="5040" w:hanging="360"/>
      </w:pPr>
    </w:lvl>
    <w:lvl w:ilvl="7" w:tplc="8AF8AD64">
      <w:start w:val="1"/>
      <w:numFmt w:val="bullet"/>
      <w:lvlText w:val="●"/>
      <w:lvlJc w:val="left"/>
      <w:pPr>
        <w:ind w:left="5760" w:hanging="360"/>
      </w:pPr>
    </w:lvl>
    <w:lvl w:ilvl="8" w:tplc="7AA81B5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A072A0D"/>
    <w:multiLevelType w:val="multilevel"/>
    <w:tmpl w:val="F41E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6574E"/>
    <w:multiLevelType w:val="multilevel"/>
    <w:tmpl w:val="1A38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74513"/>
    <w:multiLevelType w:val="multilevel"/>
    <w:tmpl w:val="548E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B47ED"/>
    <w:multiLevelType w:val="multilevel"/>
    <w:tmpl w:val="03FC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3486">
    <w:abstractNumId w:val="5"/>
    <w:lvlOverride w:ilvl="0">
      <w:startOverride w:val="1"/>
    </w:lvlOverride>
  </w:num>
  <w:num w:numId="2" w16cid:durableId="1841037801">
    <w:abstractNumId w:val="2"/>
  </w:num>
  <w:num w:numId="3" w16cid:durableId="887299142">
    <w:abstractNumId w:val="6"/>
  </w:num>
  <w:num w:numId="4" w16cid:durableId="626929066">
    <w:abstractNumId w:val="8"/>
  </w:num>
  <w:num w:numId="5" w16cid:durableId="1738867947">
    <w:abstractNumId w:val="3"/>
  </w:num>
  <w:num w:numId="6" w16cid:durableId="1499421886">
    <w:abstractNumId w:val="7"/>
  </w:num>
  <w:num w:numId="7" w16cid:durableId="293681242">
    <w:abstractNumId w:val="4"/>
  </w:num>
  <w:num w:numId="8" w16cid:durableId="222062231">
    <w:abstractNumId w:val="1"/>
  </w:num>
  <w:num w:numId="9" w16cid:durableId="491415688">
    <w:abstractNumId w:val="9"/>
  </w:num>
  <w:num w:numId="10" w16cid:durableId="1250504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967"/>
    <w:rsid w:val="00037006"/>
    <w:rsid w:val="000969A8"/>
    <w:rsid w:val="000B1FBD"/>
    <w:rsid w:val="000B3600"/>
    <w:rsid w:val="000B78A6"/>
    <w:rsid w:val="000E2E76"/>
    <w:rsid w:val="000E6972"/>
    <w:rsid w:val="000F1CB9"/>
    <w:rsid w:val="00143720"/>
    <w:rsid w:val="00153051"/>
    <w:rsid w:val="00157A6A"/>
    <w:rsid w:val="00192403"/>
    <w:rsid w:val="0020609D"/>
    <w:rsid w:val="002465B7"/>
    <w:rsid w:val="0026069F"/>
    <w:rsid w:val="00263F6D"/>
    <w:rsid w:val="002C3E09"/>
    <w:rsid w:val="002C6C46"/>
    <w:rsid w:val="002E0EC5"/>
    <w:rsid w:val="002E152E"/>
    <w:rsid w:val="002F7C85"/>
    <w:rsid w:val="003158DF"/>
    <w:rsid w:val="0031757E"/>
    <w:rsid w:val="00332992"/>
    <w:rsid w:val="003574C0"/>
    <w:rsid w:val="0036016F"/>
    <w:rsid w:val="00391D28"/>
    <w:rsid w:val="003D55F3"/>
    <w:rsid w:val="003F4370"/>
    <w:rsid w:val="004318BF"/>
    <w:rsid w:val="0043372B"/>
    <w:rsid w:val="004D72C0"/>
    <w:rsid w:val="004F0230"/>
    <w:rsid w:val="00513867"/>
    <w:rsid w:val="005144C3"/>
    <w:rsid w:val="00520F15"/>
    <w:rsid w:val="005342E8"/>
    <w:rsid w:val="005501F8"/>
    <w:rsid w:val="00564670"/>
    <w:rsid w:val="0057162A"/>
    <w:rsid w:val="005C1AA0"/>
    <w:rsid w:val="005C21BC"/>
    <w:rsid w:val="005F7459"/>
    <w:rsid w:val="006418D0"/>
    <w:rsid w:val="006506AE"/>
    <w:rsid w:val="00680D30"/>
    <w:rsid w:val="00691FF5"/>
    <w:rsid w:val="006F42FD"/>
    <w:rsid w:val="00715AE8"/>
    <w:rsid w:val="00723581"/>
    <w:rsid w:val="007239D4"/>
    <w:rsid w:val="0079255E"/>
    <w:rsid w:val="00792F37"/>
    <w:rsid w:val="007C078C"/>
    <w:rsid w:val="007C32AF"/>
    <w:rsid w:val="00817177"/>
    <w:rsid w:val="008222DF"/>
    <w:rsid w:val="008840A3"/>
    <w:rsid w:val="008F4430"/>
    <w:rsid w:val="009203FB"/>
    <w:rsid w:val="009218A6"/>
    <w:rsid w:val="00947867"/>
    <w:rsid w:val="009D74EB"/>
    <w:rsid w:val="00A11140"/>
    <w:rsid w:val="00A14D20"/>
    <w:rsid w:val="00A31C01"/>
    <w:rsid w:val="00A3578F"/>
    <w:rsid w:val="00A36613"/>
    <w:rsid w:val="00A40967"/>
    <w:rsid w:val="00A605CD"/>
    <w:rsid w:val="00AA2DC6"/>
    <w:rsid w:val="00AA47ED"/>
    <w:rsid w:val="00AC630C"/>
    <w:rsid w:val="00AD1ABF"/>
    <w:rsid w:val="00AD4590"/>
    <w:rsid w:val="00B23BC5"/>
    <w:rsid w:val="00B3374A"/>
    <w:rsid w:val="00B64BB4"/>
    <w:rsid w:val="00B93B43"/>
    <w:rsid w:val="00B945D0"/>
    <w:rsid w:val="00BB43D0"/>
    <w:rsid w:val="00BF788B"/>
    <w:rsid w:val="00C417E4"/>
    <w:rsid w:val="00C55596"/>
    <w:rsid w:val="00CB123B"/>
    <w:rsid w:val="00CB1823"/>
    <w:rsid w:val="00CB3838"/>
    <w:rsid w:val="00CB6C04"/>
    <w:rsid w:val="00CD2D69"/>
    <w:rsid w:val="00D05159"/>
    <w:rsid w:val="00D204EC"/>
    <w:rsid w:val="00D45684"/>
    <w:rsid w:val="00D9289E"/>
    <w:rsid w:val="00E23B38"/>
    <w:rsid w:val="00EA5675"/>
    <w:rsid w:val="00EB6F67"/>
    <w:rsid w:val="00ED3983"/>
    <w:rsid w:val="00EE213D"/>
    <w:rsid w:val="00EE5F11"/>
    <w:rsid w:val="00EF3B10"/>
    <w:rsid w:val="00F36C6A"/>
    <w:rsid w:val="00F5774E"/>
    <w:rsid w:val="00FB22EB"/>
    <w:rsid w:val="00FC11F9"/>
    <w:rsid w:val="00FE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50CFB"/>
  <w15:docId w15:val="{4BA262C0-7B1A-400D-912F-F60F4DA35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C2A3D"/>
        <w:sz w:val="24"/>
        <w:szCs w:val="24"/>
        <w:lang w:val="pt-PT" w:eastAsia="pt-PT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0F2027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0F2027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0F2027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1">
    <w:name w:val="toc 1"/>
    <w:uiPriority w:val="39"/>
    <w:pPr>
      <w:tabs>
        <w:tab w:val="right" w:leader="dot" w:pos="9026"/>
      </w:tabs>
      <w:spacing w:before="120" w:after="60"/>
    </w:pPr>
    <w:rPr>
      <w:b/>
      <w:bCs/>
    </w:rPr>
  </w:style>
  <w:style w:type="paragraph" w:styleId="ndice2">
    <w:name w:val="toc 2"/>
    <w:uiPriority w:val="39"/>
    <w:pPr>
      <w:tabs>
        <w:tab w:val="right" w:leader="dot" w:pos="9026"/>
      </w:tabs>
      <w:spacing w:before="60" w:after="40"/>
      <w:ind w:left="360"/>
    </w:pPr>
  </w:style>
  <w:style w:type="paragraph" w:styleId="ndice3">
    <w:name w:val="toc 3"/>
    <w:uiPriority w:val="39"/>
    <w:pPr>
      <w:tabs>
        <w:tab w:val="right" w:leader="dot" w:pos="9026"/>
      </w:tabs>
      <w:spacing w:before="40" w:after="20"/>
      <w:ind w:left="720"/>
    </w:pPr>
  </w:style>
  <w:style w:type="paragraph" w:styleId="Cabealhodondice">
    <w:name w:val="TOC Heading"/>
    <w:basedOn w:val="Ttulo1"/>
    <w:next w:val="Normal"/>
    <w:uiPriority w:val="39"/>
    <w:unhideWhenUsed/>
    <w:qFormat/>
    <w:rsid w:val="00AD1AB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Cabealho">
    <w:name w:val="header"/>
    <w:basedOn w:val="Normal"/>
    <w:link w:val="CabealhoCarter"/>
    <w:uiPriority w:val="99"/>
    <w:unhideWhenUsed/>
    <w:rsid w:val="00D9289E"/>
    <w:pPr>
      <w:tabs>
        <w:tab w:val="center" w:pos="4513"/>
        <w:tab w:val="right" w:pos="9026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9289E"/>
  </w:style>
  <w:style w:type="paragraph" w:styleId="Rodap">
    <w:name w:val="footer"/>
    <w:basedOn w:val="Normal"/>
    <w:link w:val="RodapCarter"/>
    <w:uiPriority w:val="99"/>
    <w:unhideWhenUsed/>
    <w:rsid w:val="00D9289E"/>
    <w:pPr>
      <w:tabs>
        <w:tab w:val="center" w:pos="4513"/>
        <w:tab w:val="right" w:pos="9026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92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25DA42B-60E4-404D-BD05-D32434E23D29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c1e12aa6-f040-4bce-abeb-8fe083b2f0b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AFC4B3D-64F3-4DDD-A946-38C0C54AC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</Pages>
  <Words>1174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António Marques</cp:lastModifiedBy>
  <cp:revision>82</cp:revision>
  <cp:lastPrinted>2026-05-28T02:29:00Z</cp:lastPrinted>
  <dcterms:created xsi:type="dcterms:W3CDTF">2026-05-26T05:23:00Z</dcterms:created>
  <dcterms:modified xsi:type="dcterms:W3CDTF">2026-05-28T02:30:00Z</dcterms:modified>
</cp:coreProperties>
</file>