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before="0"/>
        <w:jc w:val="center"/>
      </w:pPr>
      <w:r>
        <w:rPr>
          <w:b/>
          <w:i w:val="0"/>
          <w:color w:val="2E6F9E"/>
          <w:sz w:val="22"/>
        </w:rPr>
        <w:t>TECHNICAL WHITEPAPER</w:t>
      </w:r>
    </w:p>
    <w:p>
      <w:pPr>
        <w:spacing w:after="80"/>
        <w:jc w:val="center"/>
      </w:pPr>
      <w:r>
        <w:rPr>
          <w:rFonts w:ascii="Calibri" w:hAnsi="Calibri"/>
          <w:b/>
          <w:color w:val="1B2A4A"/>
          <w:sz w:val="68"/>
        </w:rPr>
        <w:t>Finance Agentic Workflow</w:t>
      </w:r>
    </w:p>
    <w:p>
      <w:pPr>
        <w:spacing w:after="480"/>
        <w:jc w:val="center"/>
      </w:pPr>
      <w:r>
        <w:rPr>
          <w:color w:val="5B6677"/>
          <w:sz w:val="30"/>
        </w:rPr>
        <w:t>A Deterministic, Provenance-Aware Framework for</w:t>
        <w:br/>
        <w:t>Finance AI Workflows on LangGraph</w:t>
      </w:r>
    </w:p>
    <w:p>
      <w:pPr>
        <w:spacing w:after="480"/>
        <w:jc w:val="center"/>
        <w:pBdr>
          <w:bottom w:val="single" w:sz="12" w:space="1" w:color="2E6F9E"/>
        </w:pBdr>
      </w:pPr>
    </w:p>
    <w:p>
      <w:pPr>
        <w:spacing w:after="720" w:before="0"/>
        <w:jc w:val="center"/>
      </w:pPr>
      <w:r>
        <w:rPr>
          <w:b w:val="0"/>
          <w:i w:val="0"/>
          <w:color w:val="141B2E"/>
          <w:sz w:val="22"/>
        </w:rPr>
        <w:t>An autonomous equity-research and portfolio-analytics assistant that gathers market data, fundamentals, and news, reasons over them with Claude, and drafts an auditable investment memo — with graceful offline fallback and end-to-end provenance.</w:t>
      </w:r>
    </w:p>
    <w:p/>
    <w:p/>
    <w:p/>
    <w:p/>
    <w:p>
      <w:pPr>
        <w:spacing w:after="40"/>
        <w:jc w:val="center"/>
      </w:pPr>
      <w:r>
        <w:rPr>
          <w:b/>
          <w:color w:val="141B2E"/>
          <w:sz w:val="22"/>
        </w:rPr>
        <w:t>Author: A. Marques</w:t>
      </w:r>
    </w:p>
    <w:p>
      <w:pPr>
        <w:jc w:val="center"/>
      </w:pPr>
      <w:r>
        <w:rPr>
          <w:color w:val="5B6677"/>
          <w:sz w:val="19"/>
        </w:rPr>
        <w:t>Version 1.0  ·  June 2026  ·  LangGraph · Claude Opus 4.8 · Python 3.10+</w:t>
      </w:r>
    </w:p>
    <w:p>
      <w:r>
        <w:br w:type="page"/>
      </w:r>
    </w:p>
    <w:p>
      <w:pPr>
        <w:spacing w:after="160" w:before="0"/>
      </w:pPr>
      <w:r>
        <w:rPr>
          <w:b/>
          <w:i w:val="0"/>
          <w:color w:val="1B2A4A"/>
          <w:sz w:val="32"/>
        </w:rPr>
        <w:t>Contents</w:t>
      </w:r>
    </w:p>
    <w:p>
      <w:pPr>
        <w:spacing w:before="40" w:after="160"/>
        <w:pBdr>
          <w:bottom w:val="single" w:sz="6" w:space="1" w:color="D7DCE3"/>
        </w:pBdr>
      </w:pPr>
    </w:p>
    <w:p>
      <w:r>
        <w:fldChar w:fldCharType="begin"/>
        <w:instrText xml:space="preserve">TOC \o "1-2" \h \z \u</w:instrText>
        <w:fldChar w:fldCharType="separate"/>
      </w:r>
      <w:r>
        <w:rPr>
          <w:i/>
          <w:color w:val="5B6677"/>
        </w:rPr>
        <w:t>Right-click here and choose “Update Field” in Word to build the table of contents.</w:t>
      </w:r>
      <w:r>
        <w:fldChar w:fldCharType="end"/>
      </w:r>
    </w:p>
    <w:p>
      <w:r>
        <w:br w:type="page"/>
      </w:r>
    </w:p>
    <w:p>
      <w:pPr>
        <w:pStyle w:val="Heading1"/>
      </w:pPr>
      <w:r>
        <w:t>1. Executive Summary</w:t>
      </w:r>
    </w:p>
    <w:p>
      <w:pPr>
        <w:spacing w:after="160" w:before="0"/>
      </w:pPr>
      <w:r>
        <w:rPr>
          <w:b w:val="0"/>
          <w:i w:val="0"/>
          <w:color w:val="141B2E"/>
          <w:sz w:val="21"/>
        </w:rPr>
        <w:t>Finance Agentic Workflow is a documented, extensible framework for building finance AI workflows on LangGraph. Its first two workflows — an equity-research assistant and a portfolio &amp; risk-analytics engine — gather data, reason over it with a large language model, and produce a readable, auditable deliverable.</w:t>
      </w:r>
    </w:p>
    <w:p>
      <w:pPr>
        <w:spacing w:after="160" w:before="0"/>
      </w:pPr>
      <w:r>
        <w:rPr>
          <w:b w:val="0"/>
          <w:i w:val="0"/>
          <w:color w:val="141B2E"/>
          <w:sz w:val="21"/>
        </w:rPr>
        <w:t>Most “AI agent” demonstrations are a single prompt in a loop: easy to show, hard to trust. Real financial workflows have a higher bar. They must be auditable, reproducible, and honest about where every number came from. This framework is built around four commitments that follow from that bar:</w:t>
      </w:r>
    </w:p>
    <w:p>
      <w:pPr>
        <w:pStyle w:val="ListBullet"/>
        <w:spacing w:after="80"/>
      </w:pPr>
      <w:r>
        <w:rPr>
          <w:b/>
          <w:color w:val="1B2A4A"/>
        </w:rPr>
        <w:t xml:space="preserve">Deterministic orchestration — </w:t>
      </w:r>
      <w:r>
        <w:rPr>
          <w:color w:val="141B2E"/>
        </w:rPr>
        <w:t>an explicit LangGraph state graph you can read, test, and reason about, rather than a free-roaming agent loop.</w:t>
      </w:r>
    </w:p>
    <w:p>
      <w:pPr>
        <w:pStyle w:val="ListBullet"/>
        <w:spacing w:after="80"/>
      </w:pPr>
      <w:r>
        <w:rPr>
          <w:b/>
          <w:color w:val="1B2A4A"/>
        </w:rPr>
        <w:t xml:space="preserve">A clean tool/data boundary — </w:t>
      </w:r>
      <w:r>
        <w:rPr>
          <w:color w:val="141B2E"/>
        </w:rPr>
        <w:t>providers that try a live source, then fall back to reproducible sample data, so the workflow always runs.</w:t>
      </w:r>
    </w:p>
    <w:p>
      <w:pPr>
        <w:pStyle w:val="ListBullet"/>
        <w:spacing w:after="80"/>
      </w:pPr>
      <w:r>
        <w:rPr>
          <w:b/>
          <w:color w:val="1B2A4A"/>
        </w:rPr>
        <w:t xml:space="preserve">Structured, typed LLM output — </w:t>
      </w:r>
      <w:r>
        <w:rPr>
          <w:color w:val="141B2E"/>
        </w:rPr>
        <w:t>the analysis step returns a validated Pydantic object, not free text the rest of the graph has to parse.</w:t>
      </w:r>
    </w:p>
    <w:p>
      <w:pPr>
        <w:pStyle w:val="ListBullet"/>
        <w:spacing w:after="80"/>
      </w:pPr>
      <w:r>
        <w:rPr>
          <w:b/>
          <w:color w:val="1B2A4A"/>
        </w:rPr>
        <w:t xml:space="preserve">End-to-end provenance — </w:t>
      </w:r>
      <w:r>
        <w:rPr>
          <w:color w:val="141B2E"/>
        </w:rPr>
        <w:t>every data point is tagged live, sample, or mixed, and the run records whether the LLM actually produced the output or a deterministic fallback did.</w:t>
      </w:r>
    </w:p>
    <w:p>
      <w:pPr>
        <w:spacing w:after="160" w:before="0"/>
      </w:pPr>
      <w:r>
        <w:rPr>
          <w:b w:val="0"/>
          <w:i w:val="0"/>
          <w:color w:val="141B2E"/>
          <w:sz w:val="21"/>
        </w:rPr>
        <w:t>The practical result: a reviewer can install the package and get a complete, honest, end-to-end run in about sixty seconds — with no API key and no internet connection — and later point it at live data and Claude with a single environment variable. The remainder of this paper explains how the framework achieves this and why each design decision was made.</w:t>
      </w:r>
    </w:p>
    <w:p>
      <w:pPr>
        <w:pStyle w:val="Heading1"/>
      </w:pPr>
      <w:r>
        <w:t>2. The Problem</w:t>
      </w:r>
    </w:p>
    <w:p>
      <w:pPr>
        <w:spacing w:after="160" w:before="0"/>
      </w:pPr>
      <w:r>
        <w:rPr>
          <w:b w:val="0"/>
          <w:i w:val="0"/>
          <w:color w:val="141B2E"/>
          <w:sz w:val="21"/>
        </w:rPr>
        <w:t>AI systems in finance face a credibility problem. An analyst will not act on a memo that cannot be traced back to its inputs, and a risk committee will not sign off on numbers a model may have invented. Yet the dominant pattern for LLM agents — a single model in an open tool-calling loop — is exactly the opposite of auditable. The control flow is emergent, the data lineage is implicit, and a failed network call can silently become a hallucinated fact.</w:t>
      </w:r>
    </w:p>
    <w:p>
      <w:pPr>
        <w:spacing w:after="160" w:before="0"/>
      </w:pPr>
      <w:r>
        <w:rPr>
          <w:b w:val="0"/>
          <w:i w:val="0"/>
          <w:color w:val="141B2E"/>
          <w:sz w:val="21"/>
        </w:rPr>
        <w:t>A workflow that finance professionals can actually use needs to answer four questions at all times:</w:t>
      </w:r>
    </w:p>
    <w:p>
      <w:pPr>
        <w:pStyle w:val="ListBullet"/>
        <w:spacing w:after="80"/>
      </w:pPr>
      <w:r>
        <w:rPr>
          <w:b/>
          <w:color w:val="1B2A4A"/>
        </w:rPr>
        <w:t xml:space="preserve">What did it do? </w:t>
      </w:r>
      <w:r>
        <w:rPr>
          <w:color w:val="141B2E"/>
        </w:rPr>
        <w:t>The orchestration must be explicit and inspectable, not emergent from a prompt.</w:t>
      </w:r>
    </w:p>
    <w:p>
      <w:pPr>
        <w:pStyle w:val="ListBullet"/>
        <w:spacing w:after="80"/>
      </w:pPr>
      <w:r>
        <w:rPr>
          <w:b/>
          <w:color w:val="1B2A4A"/>
        </w:rPr>
        <w:t xml:space="preserve">Where did the data come from? </w:t>
      </w:r>
      <w:r>
        <w:rPr>
          <w:color w:val="141B2E"/>
        </w:rPr>
        <w:t>Every figure must carry its provenance into the final deliverable.</w:t>
      </w:r>
    </w:p>
    <w:p>
      <w:pPr>
        <w:pStyle w:val="ListBullet"/>
        <w:spacing w:after="80"/>
      </w:pPr>
      <w:r>
        <w:rPr>
          <w:b/>
          <w:color w:val="1B2A4A"/>
        </w:rPr>
        <w:t xml:space="preserve">Did the model actually run? </w:t>
      </w:r>
      <w:r>
        <w:rPr>
          <w:color w:val="141B2E"/>
        </w:rPr>
        <w:t>The output must distinguish genuine LLM reasoning from a deterministic fallback.</w:t>
      </w:r>
    </w:p>
    <w:p>
      <w:pPr>
        <w:pStyle w:val="ListBullet"/>
        <w:spacing w:after="80"/>
      </w:pPr>
      <w:r>
        <w:rPr>
          <w:b/>
          <w:color w:val="1B2A4A"/>
        </w:rPr>
        <w:t xml:space="preserve">Can I run it right now? </w:t>
      </w:r>
      <w:r>
        <w:rPr>
          <w:color w:val="141B2E"/>
        </w:rPr>
        <w:t>It must degrade gracefully — no key, no network, no problem — so it is always reviewable.</w:t>
      </w:r>
    </w:p>
    <w:p>
      <w:pPr>
        <w:spacing w:after="160" w:before="0"/>
      </w:pPr>
      <w:r>
        <w:rPr>
          <w:b w:val="0"/>
          <w:i w:val="0"/>
          <w:color w:val="141B2E"/>
          <w:sz w:val="21"/>
        </w:rPr>
        <w:t>This framework is a portfolio-grade answer to those four questions. It is deliberately a small, legible core rather than a large feature set: a registry, a tool layer, a provider-agnostic LLM factory, and a four-method workflow contract that new workflows implement without touching the core.</w:t>
      </w:r>
    </w:p>
    <w:p>
      <w:pPr>
        <w:pStyle w:val="Heading1"/>
      </w:pPr>
      <w:r>
        <w:t>3. Design Principles</w:t>
      </w:r>
    </w:p>
    <w:p>
      <w:pPr>
        <w:pStyle w:val="Heading2"/>
      </w:pPr>
      <w:r>
        <w:t>3.1  Deterministic DAG over a free-roaming agent</w:t>
      </w:r>
    </w:p>
    <w:p>
      <w:pPr>
        <w:spacing w:after="160" w:before="0"/>
      </w:pPr>
      <w:r>
        <w:rPr>
          <w:b w:val="0"/>
          <w:i w:val="0"/>
          <w:color w:val="141B2E"/>
          <w:sz w:val="21"/>
        </w:rPr>
        <w:t>For research that must be auditable, an explicit directed graph you can read and test beats an open agent loop. The control flow is visible in code; each node has a single responsibility; the same inputs produce the same shape of output. A tool-calling agent variant is documented as an extension — bind the same tools to a ReAct agent — but it is not the default, because the default optimizes for auditability.</w:t>
      </w:r>
    </w:p>
    <w:p>
      <w:pPr>
        <w:pStyle w:val="Heading2"/>
      </w:pPr>
      <w:r>
        <w:t>3.2  Provenance everywhere</w:t>
      </w:r>
    </w:p>
    <w:p>
      <w:pPr>
        <w:spacing w:after="160" w:before="0"/>
      </w:pPr>
      <w:r>
        <w:rPr>
          <w:b w:val="0"/>
          <w:i w:val="0"/>
          <w:color w:val="141B2E"/>
          <w:sz w:val="21"/>
        </w:rPr>
        <w:t>The data source — live, sample, or mixed — flows from the provider all the way into the deliverable, and a used_llm flag records whether Claude actually produced the output or the deterministic analyst did. The output is therefore never silently synthetic, and the metadata never claims an LLM view it did not produce. In the equity-research workflow, used_llm is true only when Claude produced both the structured analysis and the memo; if either node degrades, it honestly reports false.</w:t>
      </w:r>
    </w:p>
    <w:p>
      <w:pPr>
        <w:pStyle w:val="Heading2"/>
      </w:pPr>
      <w:r>
        <w:t>3.3  A small workflow surface</w:t>
      </w:r>
    </w:p>
    <w:p>
      <w:pPr>
        <w:spacing w:after="160" w:before="0"/>
      </w:pPr>
      <w:r>
        <w:rPr>
          <w:b w:val="0"/>
          <w:i w:val="0"/>
          <w:color w:val="141B2E"/>
          <w:sz w:val="21"/>
        </w:rPr>
        <w:t>Every workflow implements the same four-method contract — build, initial_state, result_markdown, and metadata. That small surface is precisely what makes additional workflows cheap to add and keeps the core stable as the catalogue grows.</w:t>
      </w:r>
    </w:p>
    <w:p>
      <w:pPr>
        <w:pStyle w:val="Heading2"/>
      </w:pPr>
      <w:r>
        <w:t>3.4  Offline-first</w:t>
      </w:r>
    </w:p>
    <w:p>
      <w:pPr>
        <w:spacing w:after="160" w:before="0"/>
      </w:pPr>
      <w:r>
        <w:rPr>
          <w:b w:val="0"/>
          <w:i w:val="0"/>
          <w:color w:val="141B2E"/>
          <w:sz w:val="21"/>
        </w:rPr>
        <w:t>A reviewer should be able to run the framework in sixty seconds. Sample data is bundled and reproducibly seeded; the reasoning nodes have a transparent rule-based fallback. Offline-first is not a degraded mode bolted on at the end — it is the default the whole design is verified against.</w:t>
      </w:r>
    </w:p>
    <w:p>
      <w:pPr>
        <w:pStyle w:val="Heading1"/>
      </w:pPr>
      <w:r>
        <w:t>4. Architecture Overview</w:t>
      </w:r>
    </w:p>
    <w:p>
      <w:pPr>
        <w:spacing w:after="160" w:before="0"/>
      </w:pPr>
      <w:r>
        <w:rPr>
          <w:b w:val="0"/>
          <w:i w:val="0"/>
          <w:color w:val="141B2E"/>
          <w:sz w:val="21"/>
        </w:rPr>
        <w:t>At a high level, the command-line interface (or an example script) asks the registry for a workflow by name, the workflow builds a compiled LangGraph graph, and invoking that graph produces a WorkflowResult — a Markdown deliverable plus a small metadata summary.</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 xml:space="preserve">            ┌──────────────────────────────────────────────┐</w:t>
            </w:r>
          </w:p>
          <w:p>
            <w:pPr>
              <w:spacing w:after="0" w:line="240" w:lineRule="auto"/>
            </w:pPr>
            <w:r>
              <w:rPr>
                <w:rFonts w:ascii="Consolas" w:hAnsi="Consolas"/>
                <w:color w:val="1A1A1A"/>
                <w:sz w:val="18"/>
              </w:rPr>
              <w:t xml:space="preserve">   CLI ───► │  registry  →  Workflow  →  compiled LangGraph │ ───► WorkflowResult</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                ▼                ▼</w:t>
            </w:r>
          </w:p>
          <w:p>
            <w:pPr>
              <w:spacing w:after="0" w:line="240" w:lineRule="auto"/>
            </w:pPr>
            <w:r>
              <w:rPr>
                <w:rFonts w:ascii="Consolas" w:hAnsi="Consolas"/>
                <w:color w:val="1A1A1A"/>
                <w:sz w:val="18"/>
              </w:rPr>
              <w:t xml:space="preserve">            tools/ providers   llm.py (Claude)   prompts / schema</w:t>
            </w:r>
          </w:p>
          <w:p>
            <w:pPr>
              <w:spacing w:after="0" w:line="240" w:lineRule="auto"/>
            </w:pPr>
            <w:r>
              <w:rPr>
                <w:rFonts w:ascii="Consolas" w:hAnsi="Consolas"/>
                <w:color w:val="1A1A1A"/>
                <w:sz w:val="18"/>
              </w:rPr>
              <w:t xml:space="preserve">            (live + sample)    via init_chat_model</w:t>
            </w:r>
          </w:p>
        </w:tc>
      </w:tr>
    </w:tbl>
    <w:p>
      <w:pPr>
        <w:spacing w:after="120"/>
      </w:pPr>
    </w:p>
    <w:p>
      <w:pPr>
        <w:spacing w:after="240" w:before="0"/>
      </w:pPr>
      <w:r>
        <w:rPr>
          <w:b w:val="0"/>
          <w:i/>
          <w:color w:val="5B6677"/>
          <w:sz w:val="18"/>
        </w:rPr>
        <w:t>Figure 1. The 10,000-foot view: a registry resolves a workflow, which compiles a graph whose nodes call the tool layer and the LLM factory.</w:t>
      </w:r>
    </w:p>
    <w:p>
      <w:pPr>
        <w:pStyle w:val="ListBullet"/>
        <w:spacing w:after="80"/>
      </w:pPr>
      <w:r>
        <w:rPr>
          <w:b/>
          <w:color w:val="1B2A4A"/>
        </w:rPr>
        <w:t xml:space="preserve">registry — </w:t>
      </w:r>
      <w:r>
        <w:rPr>
          <w:color w:val="141B2E"/>
        </w:rPr>
        <w:t>maps a name such as “equity-research” to a Workflow instance.</w:t>
      </w:r>
    </w:p>
    <w:p>
      <w:pPr>
        <w:pStyle w:val="ListBullet"/>
        <w:spacing w:after="80"/>
      </w:pPr>
      <w:r>
        <w:rPr>
          <w:b/>
          <w:color w:val="1B2A4A"/>
        </w:rPr>
        <w:t xml:space="preserve">Workflow — </w:t>
      </w:r>
      <w:r>
        <w:rPr>
          <w:color w:val="141B2E"/>
        </w:rPr>
        <w:t>knows how to build() a compiled graph, construct initial_state(**params), and turn the final state into a Markdown deliverable plus a metadata summary.</w:t>
      </w:r>
    </w:p>
    <w:p>
      <w:pPr>
        <w:pStyle w:val="ListBullet"/>
        <w:spacing w:after="80"/>
      </w:pPr>
      <w:r>
        <w:rPr>
          <w:b/>
          <w:color w:val="1B2A4A"/>
        </w:rPr>
        <w:t xml:space="preserve">Nodes — </w:t>
      </w:r>
      <w:r>
        <w:rPr>
          <w:color w:val="141B2E"/>
        </w:rPr>
        <w:t>call data providers (the tool layer) and Claude (via llm.py).</w:t>
      </w:r>
    </w:p>
    <w:p>
      <w:pPr>
        <w:pStyle w:val="ListBullet"/>
        <w:spacing w:after="80"/>
      </w:pPr>
      <w:r>
        <w:rPr>
          <w:b/>
          <w:color w:val="1B2A4A"/>
        </w:rPr>
        <w:t xml:space="preserve">Entry point — </w:t>
      </w:r>
      <w:r>
        <w:rPr>
          <w:color w:val="141B2E"/>
        </w:rPr>
        <w:t>the CLI and examples call run_workflow(name, **params), which builds the graph, invokes it, and wraps the output in a WorkflowResult.</w:t>
      </w:r>
    </w:p>
    <w:p>
      <w:pPr>
        <w:pStyle w:val="Heading2"/>
      </w:pPr>
      <w:r>
        <w:t>4.1  The equity-research graph</w:t>
      </w:r>
    </w:p>
    <w:p>
      <w:pPr>
        <w:spacing w:after="160" w:before="0"/>
      </w:pPr>
      <w:r>
        <w:rPr>
          <w:b w:val="0"/>
          <w:i w:val="0"/>
          <w:color w:val="141B2E"/>
          <w:sz w:val="21"/>
        </w:rPr>
        <w:t>LangGraph executes in supersteps. The three gather nodes have no dependencies on one another, so they run in parallel in the first superstep. The analyze node has three incoming edges and therefore runs once, only after all three gather nodes complete — a fan-in. The write_memo node follows analyze.</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START ─┬─&gt; gather_market_data ─┐</w:t>
            </w:r>
          </w:p>
          <w:p>
            <w:pPr>
              <w:spacing w:after="0" w:line="240" w:lineRule="auto"/>
            </w:pPr>
            <w:r>
              <w:rPr>
                <w:rFonts w:ascii="Consolas" w:hAnsi="Consolas"/>
                <w:color w:val="1A1A1A"/>
                <w:sz w:val="18"/>
              </w:rPr>
              <w:t xml:space="preserve">       ├─&gt; gather_fundamentals ─┼─&gt; analyze ─&gt; write_memo ─&gt; END</w:t>
            </w:r>
          </w:p>
          <w:p>
            <w:pPr>
              <w:spacing w:after="0" w:line="240" w:lineRule="auto"/>
            </w:pPr>
            <w:r>
              <w:rPr>
                <w:rFonts w:ascii="Consolas" w:hAnsi="Consolas"/>
                <w:color w:val="1A1A1A"/>
                <w:sz w:val="18"/>
              </w:rPr>
              <w:t xml:space="preserve">       └─&gt; gather_news ─────────┘</w:t>
            </w:r>
          </w:p>
        </w:tc>
      </w:tr>
    </w:tbl>
    <w:p>
      <w:pPr>
        <w:spacing w:after="120"/>
      </w:pPr>
    </w:p>
    <w:p>
      <w:pPr>
        <w:spacing w:after="240" w:before="0"/>
      </w:pPr>
      <w:r>
        <w:rPr>
          <w:b w:val="0"/>
          <w:i/>
          <w:color w:val="5B6677"/>
          <w:sz w:val="18"/>
        </w:rPr>
        <w:t>Figure 2. Equity research: a parallel fan-out gather, a structured-analysis fan-in, and a memo-writing step.</w:t>
      </w:r>
    </w:p>
    <w:p>
      <w:pPr>
        <w:spacing w:after="160" w:before="0"/>
      </w:pPr>
      <w:r>
        <w:rPr>
          <w:b w:val="0"/>
          <w:i w:val="0"/>
          <w:color w:val="141B2E"/>
          <w:sz w:val="21"/>
        </w:rPr>
        <w:t>Parallel nodes that write the same state key would require a reducer — LangGraph otherwise raises on concurrent updates. The design sidesteps that entirely: each gather node writes its own key (market, fundamentals, news). It is simpler to read and there is no reducer to reason about.</w:t>
      </w:r>
    </w:p>
    <w:p>
      <w:pPr>
        <w:spacing w:after="160" w:before="0"/>
      </w:pPr>
      <w:r>
        <w:rPr>
          <w:b w:val="0"/>
          <w:i w:val="0"/>
          <w:color w:val="141B2E"/>
          <w:sz w:val="21"/>
        </w:rPr>
        <w:t>The analyze node calls the model with structured output bound to an AnalysisResult schema, so Claude returns a validated Pydantic object — thesis, strengths, risks, valuation view, a Buy/Hold/Sell recommendation, and a confidence score. The rest of the graph never parses free text. write_memo then turns that structured view, plus the underlying data packet, into a readable Markdown memo.</w:t>
      </w:r>
    </w:p>
    <w:p>
      <w:pPr>
        <w:pStyle w:val="Heading2"/>
      </w:pPr>
      <w:r>
        <w:t>4.2  The portfolio graph</w:t>
      </w:r>
    </w:p>
    <w:p>
      <w:pPr>
        <w:spacing w:after="160" w:before="0"/>
      </w:pPr>
      <w:r>
        <w:rPr>
          <w:b w:val="0"/>
          <w:i w:val="0"/>
          <w:color w:val="141B2E"/>
          <w:sz w:val="21"/>
        </w:rPr>
        <w:t>The portfolio workflow is a linear pipeline — no fan-out, so every state key is written by exactly one node and no reducer is needed.</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START ─&gt; load_positions ─&gt; compute_metrics ─&gt; narrate ─&gt; END</w:t>
            </w:r>
          </w:p>
        </w:tc>
      </w:tr>
    </w:tbl>
    <w:p>
      <w:pPr>
        <w:spacing w:after="120"/>
      </w:pPr>
    </w:p>
    <w:p>
      <w:pPr>
        <w:spacing w:after="240" w:before="0"/>
      </w:pPr>
      <w:r>
        <w:rPr>
          <w:b w:val="0"/>
          <w:i/>
          <w:color w:val="5B6677"/>
          <w:sz w:val="18"/>
        </w:rPr>
        <w:t>Figure 3. Portfolio &amp; risk analytics: a deterministic three-stage pipeline.</w:t>
      </w:r>
    </w:p>
    <w:p>
      <w:pPr>
        <w:spacing w:after="160" w:before="0"/>
      </w:pPr>
      <w:r>
        <w:rPr>
          <w:b w:val="0"/>
          <w:i w:val="0"/>
          <w:color w:val="141B2E"/>
          <w:sz w:val="21"/>
        </w:rPr>
        <w:t>load_positions normalizes the holdings — an inline {ticker, shares} list or a ticker,shares CSV. compute_metrics prices them via the PortfolioProvider and derives weights, trailing returns, volatility, max drawdown, sector exposure, weighted beta, and concentration. narrate forms a structured PortfolioAssessment — with Claude or the deterministic fallback — and renders the Markdown risk report.</w:t>
      </w:r>
    </w:p>
    <w:p>
      <w:pPr>
        <w:pStyle w:val="Heading1"/>
      </w:pPr>
      <w:r>
        <w:t>5. The Tool &amp; Data Layer</w:t>
      </w:r>
    </w:p>
    <w:p>
      <w:pPr>
        <w:spacing w:after="160" w:before="0"/>
      </w:pPr>
      <w:r>
        <w:rPr>
          <w:b w:val="0"/>
          <w:i w:val="0"/>
          <w:color w:val="141B2E"/>
          <w:sz w:val="21"/>
        </w:rPr>
        <w:t>Each provider exposes one job and a uniform contract: try live, fall back to sample, and always tag the source. Live failures — no network, a bad ticker, or a missing optional dependency — are caught and silently downgraded to sample data, so the workflow never hard-fails on data acquisition.</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448"/>
            <w:shd w:val="clear" w:color="auto" w:fill="1B2A4A"/>
            <w:tcMar>
              <w:top w:w="60" w:type="dxa"/>
              <w:bottom w:w="60" w:type="dxa"/>
              <w:start w:w="120" w:type="dxa"/>
              <w:end w:w="120" w:type="dxa"/>
            </w:tcMar>
          </w:tcPr>
          <w:p>
            <w:pPr>
              <w:spacing w:after="0"/>
            </w:pPr>
            <w:r>
              <w:rPr>
                <w:b/>
                <w:color w:val="FFFFFF"/>
                <w:sz w:val="19"/>
              </w:rPr>
              <w:t>Provider</w:t>
            </w:r>
          </w:p>
        </w:tc>
        <w:tc>
          <w:tcPr>
            <w:tcW w:type="dxa" w:w="2304"/>
            <w:shd w:val="clear" w:color="auto" w:fill="1B2A4A"/>
            <w:tcMar>
              <w:top w:w="60" w:type="dxa"/>
              <w:bottom w:w="60" w:type="dxa"/>
              <w:start w:w="120" w:type="dxa"/>
              <w:end w:w="120" w:type="dxa"/>
            </w:tcMar>
          </w:tcPr>
          <w:p>
            <w:pPr>
              <w:spacing w:after="0"/>
            </w:pPr>
            <w:r>
              <w:rPr>
                <w:b/>
                <w:color w:val="FFFFFF"/>
                <w:sz w:val="19"/>
              </w:rPr>
              <w:t>Live source</w:t>
            </w:r>
          </w:p>
        </w:tc>
        <w:tc>
          <w:tcPr>
            <w:tcW w:type="dxa" w:w="3312"/>
            <w:shd w:val="clear" w:color="auto" w:fill="1B2A4A"/>
            <w:tcMar>
              <w:top w:w="60" w:type="dxa"/>
              <w:bottom w:w="60" w:type="dxa"/>
              <w:start w:w="120" w:type="dxa"/>
              <w:end w:w="120" w:type="dxa"/>
            </w:tcMar>
          </w:tcPr>
          <w:p>
            <w:pPr>
              <w:spacing w:after="0"/>
            </w:pPr>
            <w:r>
              <w:rPr>
                <w:b/>
                <w:color w:val="FFFFFF"/>
                <w:sz w:val="19"/>
              </w:rPr>
              <w:t>Fallback</w:t>
            </w:r>
          </w:p>
        </w:tc>
        <w:tc>
          <w:tcPr>
            <w:tcW w:type="dxa" w:w="2304"/>
            <w:shd w:val="clear" w:color="auto" w:fill="1B2A4A"/>
            <w:tcMar>
              <w:top w:w="60" w:type="dxa"/>
              <w:bottom w:w="60" w:type="dxa"/>
              <w:start w:w="120" w:type="dxa"/>
              <w:end w:w="120" w:type="dxa"/>
            </w:tcMar>
          </w:tcPr>
          <w:p>
            <w:pPr>
              <w:spacing w:after="0"/>
            </w:pPr>
            <w:r>
              <w:rPr>
                <w:b/>
                <w:color w:val="FFFFFF"/>
                <w:sz w:val="19"/>
              </w:rPr>
              <w:t>Returns</w:t>
            </w:r>
          </w:p>
        </w:tc>
      </w:tr>
      <w:tr>
        <w:tc>
          <w:tcPr>
            <w:tcW w:type="dxa" w:w="2448"/>
            <w:tcMar>
              <w:top w:w="60" w:type="dxa"/>
              <w:bottom w:w="60" w:type="dxa"/>
              <w:start w:w="120" w:type="dxa"/>
              <w:end w:w="120" w:type="dxa"/>
            </w:tcMar>
          </w:tcPr>
          <w:p>
            <w:pPr>
              <w:spacing w:after="0"/>
            </w:pPr>
            <w:r>
              <w:rPr>
                <w:color w:val="141B2E"/>
                <w:sz w:val="19"/>
              </w:rPr>
              <w:t>MarketDataProvider</w:t>
            </w:r>
          </w:p>
        </w:tc>
        <w:tc>
          <w:tcPr>
            <w:tcW w:type="dxa" w:w="2304"/>
            <w:tcMar>
              <w:top w:w="60" w:type="dxa"/>
              <w:bottom w:w="60" w:type="dxa"/>
              <w:start w:w="120" w:type="dxa"/>
              <w:end w:w="120" w:type="dxa"/>
            </w:tcMar>
          </w:tcPr>
          <w:p>
            <w:pPr>
              <w:spacing w:after="0"/>
            </w:pPr>
            <w:r>
              <w:rPr>
                <w:color w:val="141B2E"/>
                <w:sz w:val="19"/>
              </w:rPr>
              <w:t>yfinance history</w:t>
            </w:r>
          </w:p>
        </w:tc>
        <w:tc>
          <w:tcPr>
            <w:tcW w:type="dxa" w:w="3312"/>
            <w:tcMar>
              <w:top w:w="60" w:type="dxa"/>
              <w:bottom w:w="60" w:type="dxa"/>
              <w:start w:w="120" w:type="dxa"/>
              <w:end w:w="120" w:type="dxa"/>
            </w:tcMar>
          </w:tcPr>
          <w:p>
            <w:pPr>
              <w:spacing w:after="0"/>
            </w:pPr>
            <w:r>
              <w:rPr>
                <w:color w:val="141B2E"/>
                <w:sz w:val="19"/>
              </w:rPr>
              <w:t>data/samples/&lt;T&gt;/prices.csv</w:t>
            </w:r>
          </w:p>
        </w:tc>
        <w:tc>
          <w:tcPr>
            <w:tcW w:type="dxa" w:w="2304"/>
            <w:tcMar>
              <w:top w:w="60" w:type="dxa"/>
              <w:bottom w:w="60" w:type="dxa"/>
              <w:start w:w="120" w:type="dxa"/>
              <w:end w:w="120" w:type="dxa"/>
            </w:tcMar>
          </w:tcPr>
          <w:p>
            <w:pPr>
              <w:spacing w:after="0"/>
            </w:pPr>
            <w:r>
              <w:rPr>
                <w:color w:val="141B2E"/>
                <w:sz w:val="19"/>
              </w:rPr>
              <w:t>price snapshot dict</w:t>
            </w:r>
          </w:p>
        </w:tc>
      </w:tr>
      <w:tr>
        <w:tc>
          <w:tcPr>
            <w:tcW w:type="dxa" w:w="2448"/>
            <w:tcMar>
              <w:top w:w="60" w:type="dxa"/>
              <w:bottom w:w="60" w:type="dxa"/>
              <w:start w:w="120" w:type="dxa"/>
              <w:end w:w="120" w:type="dxa"/>
            </w:tcMar>
            <w:shd w:val="clear" w:color="auto" w:fill="F6F8FA"/>
          </w:tcPr>
          <w:p>
            <w:pPr>
              <w:spacing w:after="0"/>
            </w:pPr>
            <w:r>
              <w:rPr>
                <w:color w:val="141B2E"/>
                <w:sz w:val="19"/>
              </w:rPr>
              <w:t>FundamentalsProvider</w:t>
            </w:r>
          </w:p>
        </w:tc>
        <w:tc>
          <w:tcPr>
            <w:tcW w:type="dxa" w:w="2304"/>
            <w:tcMar>
              <w:top w:w="60" w:type="dxa"/>
              <w:bottom w:w="60" w:type="dxa"/>
              <w:start w:w="120" w:type="dxa"/>
              <w:end w:w="120" w:type="dxa"/>
            </w:tcMar>
            <w:shd w:val="clear" w:color="auto" w:fill="F6F8FA"/>
          </w:tcPr>
          <w:p>
            <w:pPr>
              <w:spacing w:after="0"/>
            </w:pPr>
            <w:r>
              <w:rPr>
                <w:color w:val="141B2E"/>
                <w:sz w:val="19"/>
              </w:rPr>
              <w:t>yfinance .info</w:t>
            </w:r>
          </w:p>
        </w:tc>
        <w:tc>
          <w:tcPr>
            <w:tcW w:type="dxa" w:w="3312"/>
            <w:tcMar>
              <w:top w:w="60" w:type="dxa"/>
              <w:bottom w:w="60" w:type="dxa"/>
              <w:start w:w="120" w:type="dxa"/>
              <w:end w:w="120" w:type="dxa"/>
            </w:tcMar>
            <w:shd w:val="clear" w:color="auto" w:fill="F6F8FA"/>
          </w:tcPr>
          <w:p>
            <w:pPr>
              <w:spacing w:after="0"/>
            </w:pPr>
            <w:r>
              <w:rPr>
                <w:color w:val="141B2E"/>
                <w:sz w:val="19"/>
              </w:rPr>
              <w:t>data/samples/&lt;T&gt;/fundamentals.json</w:t>
            </w:r>
          </w:p>
        </w:tc>
        <w:tc>
          <w:tcPr>
            <w:tcW w:type="dxa" w:w="2304"/>
            <w:tcMar>
              <w:top w:w="60" w:type="dxa"/>
              <w:bottom w:w="60" w:type="dxa"/>
              <w:start w:w="120" w:type="dxa"/>
              <w:end w:w="120" w:type="dxa"/>
            </w:tcMar>
            <w:shd w:val="clear" w:color="auto" w:fill="F6F8FA"/>
          </w:tcPr>
          <w:p>
            <w:pPr>
              <w:spacing w:after="0"/>
            </w:pPr>
            <w:r>
              <w:rPr>
                <w:color w:val="141B2E"/>
                <w:sz w:val="19"/>
              </w:rPr>
              <w:t>profile dict</w:t>
            </w:r>
          </w:p>
        </w:tc>
      </w:tr>
      <w:tr>
        <w:tc>
          <w:tcPr>
            <w:tcW w:type="dxa" w:w="2448"/>
            <w:tcMar>
              <w:top w:w="60" w:type="dxa"/>
              <w:bottom w:w="60" w:type="dxa"/>
              <w:start w:w="120" w:type="dxa"/>
              <w:end w:w="120" w:type="dxa"/>
            </w:tcMar>
          </w:tcPr>
          <w:p>
            <w:pPr>
              <w:spacing w:after="0"/>
            </w:pPr>
            <w:r>
              <w:rPr>
                <w:color w:val="141B2E"/>
                <w:sz w:val="19"/>
              </w:rPr>
              <w:t>NewsProvider</w:t>
            </w:r>
          </w:p>
        </w:tc>
        <w:tc>
          <w:tcPr>
            <w:tcW w:type="dxa" w:w="2304"/>
            <w:tcMar>
              <w:top w:w="60" w:type="dxa"/>
              <w:bottom w:w="60" w:type="dxa"/>
              <w:start w:w="120" w:type="dxa"/>
              <w:end w:w="120" w:type="dxa"/>
            </w:tcMar>
          </w:tcPr>
          <w:p>
            <w:pPr>
              <w:spacing w:after="0"/>
            </w:pPr>
            <w:r>
              <w:rPr>
                <w:color w:val="141B2E"/>
                <w:sz w:val="19"/>
              </w:rPr>
              <w:t>yfinance .news</w:t>
            </w:r>
          </w:p>
        </w:tc>
        <w:tc>
          <w:tcPr>
            <w:tcW w:type="dxa" w:w="3312"/>
            <w:tcMar>
              <w:top w:w="60" w:type="dxa"/>
              <w:bottom w:w="60" w:type="dxa"/>
              <w:start w:w="120" w:type="dxa"/>
              <w:end w:w="120" w:type="dxa"/>
            </w:tcMar>
          </w:tcPr>
          <w:p>
            <w:pPr>
              <w:spacing w:after="0"/>
            </w:pPr>
            <w:r>
              <w:rPr>
                <w:color w:val="141B2E"/>
                <w:sz w:val="19"/>
              </w:rPr>
              <w:t>data/samples/&lt;T&gt;/news.json</w:t>
            </w:r>
          </w:p>
        </w:tc>
        <w:tc>
          <w:tcPr>
            <w:tcW w:type="dxa" w:w="2304"/>
            <w:tcMar>
              <w:top w:w="60" w:type="dxa"/>
              <w:bottom w:w="60" w:type="dxa"/>
              <w:start w:w="120" w:type="dxa"/>
              <w:end w:w="120" w:type="dxa"/>
            </w:tcMar>
          </w:tcPr>
          <w:p>
            <w:pPr>
              <w:spacing w:after="0"/>
            </w:pPr>
            <w:r>
              <w:rPr>
                <w:color w:val="141B2E"/>
                <w:sz w:val="19"/>
              </w:rPr>
              <w:t>{source, items}</w:t>
            </w:r>
          </w:p>
        </w:tc>
      </w:tr>
    </w:tbl>
    <w:p>
      <w:pPr>
        <w:spacing w:after="80"/>
      </w:pPr>
    </w:p>
    <w:p>
      <w:pPr>
        <w:spacing w:after="240" w:before="0"/>
      </w:pPr>
      <w:r>
        <w:rPr>
          <w:b w:val="0"/>
          <w:i/>
          <w:color w:val="5B6677"/>
          <w:sz w:val="18"/>
        </w:rPr>
        <w:t>Table 1. Each provider tries a live source, falls back to bundled sample data, and tags every result with its source.</w:t>
      </w:r>
    </w:p>
    <w:p>
      <w:pPr>
        <w:spacing w:after="160" w:before="0"/>
      </w:pPr>
      <w:r>
        <w:rPr>
          <w:b w:val="0"/>
          <w:i w:val="0"/>
          <w:color w:val="141B2E"/>
          <w:sz w:val="21"/>
        </w:rPr>
        <w:t>The same providers are also exposed as LangChain tools, ready for a tool-calling agent variant. The PortfolioProvider sits one level up: it composes the MarketDataProvider and FundamentalsProvider to turn positions into analytics, so it inherits their fallback and source tagging. Because a book can price some holdings live and others from samples, its tag carries a third value — mixed — alongside live and sample.</w:t>
      </w:r>
    </w:p>
    <w:p>
      <w:pPr>
        <w:pStyle w:val="Heading1"/>
      </w:pPr>
      <w:r>
        <w:t>6. The LLM Layer</w:t>
      </w:r>
    </w:p>
    <w:p>
      <w:pPr>
        <w:spacing w:after="160" w:before="0"/>
      </w:pPr>
      <w:r>
        <w:rPr>
          <w:b w:val="0"/>
          <w:i w:val="0"/>
          <w:color w:val="141B2E"/>
          <w:sz w:val="21"/>
        </w:rPr>
        <w:t>The reasoning nodes are provider-agnostic. The LLM factory builds its client via LangChain's init_chat_model, so swapping models is configuration, not code — the workflows never name a provider. The default is Claude Opus 4.8.</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from langchain.chat_models import init_chat_model</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provider inferred from the model name</w:t>
            </w:r>
          </w:p>
          <w:p>
            <w:pPr>
              <w:spacing w:after="0" w:line="240" w:lineRule="auto"/>
            </w:pPr>
            <w:r>
              <w:rPr>
                <w:rFonts w:ascii="Consolas" w:hAnsi="Consolas"/>
                <w:color w:val="1A1A1A"/>
                <w:sz w:val="18"/>
              </w:rPr>
              <w:t># (claude-* -&gt; anthropic, gpt-* -&gt; openai, ...)</w:t>
            </w:r>
          </w:p>
          <w:p>
            <w:pPr>
              <w:spacing w:after="0" w:line="240" w:lineRule="auto"/>
            </w:pPr>
            <w:r>
              <w:rPr>
                <w:rFonts w:ascii="Consolas" w:hAnsi="Consolas"/>
                <w:color w:val="1A1A1A"/>
                <w:sz w:val="18"/>
              </w:rPr>
              <w:t>llm = init_chat_model("claude-opus-4-8", max_tokens=4096)</w:t>
            </w:r>
          </w:p>
          <w:p>
            <w:pPr>
              <w:spacing w:after="0" w:line="240" w:lineRule="auto"/>
            </w:pPr>
            <w:r>
              <w:rPr>
                <w:rFonts w:ascii="Consolas" w:hAnsi="Consolas"/>
                <w:color w:val="1A1A1A"/>
                <w:sz w:val="18"/>
              </w:rPr>
              <w:t>structured = llm.with_structured_output(AnalysisResult)  # validated out</w:t>
            </w:r>
          </w:p>
        </w:tc>
      </w:tr>
    </w:tbl>
    <w:p>
      <w:pPr>
        <w:spacing w:after="120"/>
      </w:pPr>
    </w:p>
    <w:p>
      <w:pPr>
        <w:spacing w:after="240" w:before="0"/>
      </w:pPr>
      <w:r>
        <w:rPr>
          <w:b w:val="0"/>
          <w:i/>
          <w:color w:val="5B6677"/>
          <w:sz w:val="18"/>
        </w:rPr>
        <w:t>Figure 4. Model-agnostic wiring: the provider is inferred from the model name, and structured output yields a validated Pydantic object.</w:t>
      </w:r>
    </w:p>
    <w:p>
      <w:pPr>
        <w:pStyle w:val="ListBullet"/>
        <w:spacing w:after="80"/>
      </w:pPr>
      <w:r>
        <w:rPr>
          <w:b/>
          <w:color w:val="1B2A4A"/>
        </w:rPr>
        <w:t xml:space="preserve">Provider resolution. </w:t>
      </w:r>
      <w:r>
        <w:rPr>
          <w:color w:val="141B2E"/>
        </w:rPr>
        <w:t>The provider is taken from FINWF_MODEL_PROVIDER, else a provider:model shorthand, else inferred from the model-name prefix.</w:t>
      </w:r>
    </w:p>
    <w:p>
      <w:pPr>
        <w:pStyle w:val="ListBullet"/>
        <w:spacing w:after="80"/>
      </w:pPr>
      <w:r>
        <w:rPr>
          <w:b/>
          <w:color w:val="1B2A4A"/>
        </w:rPr>
        <w:t xml:space="preserve">Key-aware availability. </w:t>
      </w:r>
      <w:r>
        <w:rPr>
          <w:color w:val="141B2E"/>
        </w:rPr>
        <w:t>The offline gate checks the configured provider's key, so it is correct regardless of which provider you target; keyless providers such as a local Ollama are always considered available.</w:t>
      </w:r>
    </w:p>
    <w:p>
      <w:pPr>
        <w:pStyle w:val="ListBullet"/>
        <w:spacing w:after="80"/>
      </w:pPr>
      <w:r>
        <w:rPr>
          <w:b/>
          <w:color w:val="1B2A4A"/>
        </w:rPr>
        <w:t xml:space="preserve">Portable defaults. </w:t>
      </w:r>
      <w:r>
        <w:rPr>
          <w:color w:val="141B2E"/>
        </w:rPr>
        <w:t>The factory does not send temperature or a thinking budget — some models reject them — keeping it portable; pass overrides explicitly if a model needs them.</w:t>
      </w:r>
    </w:p>
    <w:p>
      <w:pPr>
        <w:pStyle w:val="ListBullet"/>
        <w:spacing w:after="80"/>
      </w:pPr>
      <w:r>
        <w:rPr>
          <w:b/>
          <w:color w:val="1B2A4A"/>
        </w:rPr>
        <w:t xml:space="preserve">Lazy imports. </w:t>
      </w:r>
      <w:r>
        <w:rPr>
          <w:color w:val="141B2E"/>
        </w:rPr>
        <w:t>LangChain and the provider integration package are imported lazily, so the data layer, registry, and finwf list work even without the LLM stack installed.</w:t>
      </w:r>
    </w:p>
    <w:p>
      <w:pPr>
        <w:spacing w:after="160" w:before="0"/>
      </w:pPr>
      <w:r>
        <w:rPr>
          <w:b w:val="0"/>
          <w:i w:val="0"/>
          <w:color w:val="141B2E"/>
          <w:sz w:val="21"/>
        </w:rPr>
        <w:t>Supported provider extras include OpenAI, Google, Groq, Mistral, and Ollama; Anthropic works out of the box. Choosing a different model is a matter of installing the extra and setting two environment variables.</w:t>
      </w:r>
    </w:p>
    <w:p>
      <w:pPr>
        <w:pStyle w:val="Heading1"/>
      </w:pPr>
      <w:r>
        <w:t>7. Graceful Degradation</w:t>
      </w:r>
    </w:p>
    <w:p>
      <w:pPr>
        <w:spacing w:after="160" w:before="0"/>
      </w:pPr>
      <w:r>
        <w:rPr>
          <w:b w:val="0"/>
          <w:i w:val="0"/>
          <w:color w:val="141B2E"/>
          <w:sz w:val="21"/>
        </w:rPr>
        <w:t>Every reasoning node checks a single flag in the graph state, use_llm:</w:t>
      </w:r>
    </w:p>
    <w:p>
      <w:pPr>
        <w:pStyle w:val="ListBullet"/>
        <w:spacing w:after="80"/>
      </w:pPr>
      <w:r>
        <w:rPr>
          <w:b/>
          <w:color w:val="1B2A4A"/>
        </w:rPr>
        <w:t xml:space="preserve">With a key (and not --offline): </w:t>
      </w:r>
      <w:r>
        <w:rPr>
          <w:color w:val="141B2E"/>
        </w:rPr>
        <w:t>call Claude.</w:t>
      </w:r>
    </w:p>
    <w:p>
      <w:pPr>
        <w:pStyle w:val="ListBullet"/>
        <w:spacing w:after="80"/>
      </w:pPr>
      <w:r>
        <w:rPr>
          <w:b/>
          <w:color w:val="1B2A4A"/>
        </w:rPr>
        <w:t xml:space="preserve">Without a key (or --offline): </w:t>
      </w:r>
      <w:r>
        <w:rPr>
          <w:color w:val="141B2E"/>
        </w:rPr>
        <w:t>use a transparent, rule-based analyst and a templated memo.</w:t>
      </w:r>
    </w:p>
    <w:p>
      <w:pPr>
        <w:spacing w:after="160" w:before="0"/>
      </w:pPr>
      <w:r>
        <w:rPr>
          <w:b w:val="0"/>
          <w:i w:val="0"/>
          <w:color w:val="141B2E"/>
          <w:sz w:val="21"/>
        </w:rPr>
        <w:t>This is what lets a reviewer install the package, generate samples, and get a complete end-to-end run with no API key and no internet. Critically, the fallback is also a safety net at runtime: if a live Claude call fails mid-run — a network blip, an auth error — the node catches it and falls back rather than crashing, and records that it did.</w:t>
      </w:r>
    </w:p>
    <w:p>
      <w:pPr>
        <w:spacing w:after="160" w:before="0"/>
      </w:pPr>
      <w:r>
        <w:rPr>
          <w:b w:val="0"/>
          <w:i w:val="0"/>
          <w:color w:val="141B2E"/>
          <w:sz w:val="21"/>
        </w:rPr>
        <w:t>The run's used_llm flag reports whether Claude actually produced the output, not merely that it was requested. An --offline run and a run whose live call failed both honestly report used_llm: false. Provenance, again, is the point: the metadata never overstates what produced the result.</w:t>
      </w:r>
    </w:p>
    <w:p>
      <w:pPr>
        <w:pStyle w:val="Heading1"/>
      </w:pPr>
      <w:r>
        <w:t>8. Extensibility</w:t>
      </w:r>
    </w:p>
    <w:p>
      <w:pPr>
        <w:spacing w:after="160" w:before="0"/>
      </w:pPr>
      <w:r>
        <w:rPr>
          <w:b w:val="0"/>
          <w:i w:val="0"/>
          <w:color w:val="141B2E"/>
          <w:sz w:val="21"/>
        </w:rPr>
        <w:t>A new workflow is a LangGraph graph plus a small adapter the registry and CLI understand. It implements the same four-method Workflow contract, registers itself in one line, and then appears in finwf list and runs via finwf run. Nothing in the core changes.</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class MyWorkflow(Workflow):</w:t>
            </w:r>
          </w:p>
          <w:p>
            <w:pPr>
              <w:spacing w:after="0" w:line="240" w:lineRule="auto"/>
            </w:pPr>
            <w:r>
              <w:rPr>
                <w:rFonts w:ascii="Consolas" w:hAnsi="Consolas"/>
                <w:color w:val="1A1A1A"/>
                <w:sz w:val="18"/>
              </w:rPr>
              <w:t xml:space="preserve">    name = "my-workflow"</w:t>
            </w:r>
          </w:p>
          <w:p>
            <w:pPr>
              <w:spacing w:after="0" w:line="240" w:lineRule="auto"/>
            </w:pPr>
            <w:r>
              <w:rPr>
                <w:rFonts w:ascii="Consolas" w:hAnsi="Consolas"/>
                <w:color w:val="1A1A1A"/>
                <w:sz w:val="18"/>
              </w:rPr>
              <w:t xml:space="preserve">    title = "My Workflow"</w:t>
            </w:r>
          </w:p>
          <w:p>
            <w:pPr>
              <w:spacing w:after="0" w:line="240" w:lineRule="auto"/>
            </w:pPr>
            <w:r>
              <w:rPr>
                <w:rFonts w:ascii="Consolas" w:hAnsi="Consolas"/>
                <w:color w:val="1A1A1A"/>
                <w:sz w:val="18"/>
              </w:rPr>
              <w:t xml:space="preserve">    description = "What it does, in one line."</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def build(self): return build_graph()</w:t>
            </w:r>
          </w:p>
          <w:p>
            <w:pPr>
              <w:spacing w:after="0" w:line="240" w:lineRule="auto"/>
            </w:pPr>
            <w:r>
              <w:rPr>
                <w:rFonts w:ascii="Consolas" w:hAnsi="Consolas"/>
                <w:color w:val="1A1A1A"/>
                <w:sz w:val="18"/>
              </w:rPr>
              <w:t xml:space="preserve">    def initial_state(self, symbol, offline=False, **_): ...</w:t>
            </w:r>
          </w:p>
          <w:p>
            <w:pPr>
              <w:spacing w:after="0" w:line="240" w:lineRule="auto"/>
            </w:pPr>
            <w:r>
              <w:rPr>
                <w:rFonts w:ascii="Consolas" w:hAnsi="Consolas"/>
                <w:color w:val="1A1A1A"/>
                <w:sz w:val="18"/>
              </w:rPr>
              <w:t xml:space="preserve">    def result_markdown(self, final_state): ...</w:t>
            </w:r>
          </w:p>
          <w:p>
            <w:pPr>
              <w:spacing w:after="0" w:line="240" w:lineRule="auto"/>
            </w:pPr>
            <w:r>
              <w:rPr>
                <w:rFonts w:ascii="Consolas" w:hAnsi="Consolas"/>
                <w:color w:val="1A1A1A"/>
                <w:sz w:val="18"/>
              </w:rPr>
              <w:t xml:space="preserve">    def metadata(self, final_state): ...</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registry.register(MyWorkflow())  # now in `finwf list`</w:t>
            </w:r>
          </w:p>
        </w:tc>
      </w:tr>
    </w:tbl>
    <w:p>
      <w:pPr>
        <w:spacing w:after="120"/>
      </w:pPr>
    </w:p>
    <w:p>
      <w:pPr>
        <w:spacing w:after="240" w:before="0"/>
      </w:pPr>
      <w:r>
        <w:rPr>
          <w:b w:val="0"/>
          <w:i/>
          <w:color w:val="5B6677"/>
          <w:sz w:val="18"/>
        </w:rPr>
        <w:t>Figure 5. The complete contract a new workflow implements before it is registered.</w:t>
      </w:r>
    </w:p>
    <w:p>
      <w:pPr>
        <w:spacing w:after="160" w:before="0"/>
      </w:pPr>
      <w:r>
        <w:rPr>
          <w:b w:val="0"/>
          <w:i w:val="0"/>
          <w:color w:val="141B2E"/>
          <w:sz w:val="21"/>
        </w:rPr>
        <w:t>New workflows reuse the existing data layer, the LLM factory, the structured-output pattern, and the report-rendering convention. The recommended practice is to keep a deterministic offline branch in every reasoning node and to mirror the existing tests, which run each graph in offline mode and assert on the result.</w:t>
      </w:r>
    </w:p>
    <w:p>
      <w:pPr>
        <w:pStyle w:val="Heading2"/>
      </w:pPr>
      <w:r>
        <w:t>8.1  Workflow catalogue</w:t>
      </w:r>
    </w:p>
    <w:tbl>
      <w:tblPr>
        <w:tblStyle w:val="TableGrid"/>
        <w:tblW w:type="auto" w:w="0"/>
        <w:jc w:val="center"/>
        <w:tblLook w:firstColumn="1" w:firstRow="1" w:lastColumn="0" w:lastRow="0" w:noHBand="0" w:noVBand="1" w:val="04A0"/>
      </w:tblPr>
      <w:tblGrid>
        <w:gridCol w:w="3072"/>
        <w:gridCol w:w="3072"/>
        <w:gridCol w:w="3072"/>
      </w:tblGrid>
      <w:tr>
        <w:tc>
          <w:tcPr>
            <w:tcW w:type="dxa" w:w="3600"/>
            <w:shd w:val="clear" w:color="auto" w:fill="1B2A4A"/>
            <w:tcMar>
              <w:top w:w="60" w:type="dxa"/>
              <w:bottom w:w="60" w:type="dxa"/>
              <w:start w:w="120" w:type="dxa"/>
              <w:end w:w="120" w:type="dxa"/>
            </w:tcMar>
          </w:tcPr>
          <w:p>
            <w:pPr>
              <w:spacing w:after="0"/>
            </w:pPr>
            <w:r>
              <w:rPr>
                <w:b/>
                <w:color w:val="FFFFFF"/>
                <w:sz w:val="19"/>
              </w:rPr>
              <w:t>Workflow</w:t>
            </w:r>
          </w:p>
        </w:tc>
        <w:tc>
          <w:tcPr>
            <w:tcW w:type="dxa" w:w="2736"/>
            <w:shd w:val="clear" w:color="auto" w:fill="1B2A4A"/>
            <w:tcMar>
              <w:top w:w="60" w:type="dxa"/>
              <w:bottom w:w="60" w:type="dxa"/>
              <w:start w:w="120" w:type="dxa"/>
              <w:end w:w="120" w:type="dxa"/>
            </w:tcMar>
          </w:tcPr>
          <w:p>
            <w:pPr>
              <w:spacing w:after="0"/>
            </w:pPr>
            <w:r>
              <w:rPr>
                <w:b/>
                <w:color w:val="FFFFFF"/>
                <w:sz w:val="19"/>
              </w:rPr>
              <w:t>Command</w:t>
            </w:r>
          </w:p>
        </w:tc>
        <w:tc>
          <w:tcPr>
            <w:tcW w:type="dxa" w:w="2016"/>
            <w:shd w:val="clear" w:color="auto" w:fill="1B2A4A"/>
            <w:tcMar>
              <w:top w:w="60" w:type="dxa"/>
              <w:bottom w:w="60" w:type="dxa"/>
              <w:start w:w="120" w:type="dxa"/>
              <w:end w:w="120" w:type="dxa"/>
            </w:tcMar>
          </w:tcPr>
          <w:p>
            <w:pPr>
              <w:spacing w:after="0"/>
            </w:pPr>
            <w:r>
              <w:rPr>
                <w:b/>
                <w:color w:val="FFFFFF"/>
                <w:sz w:val="19"/>
              </w:rPr>
              <w:t>Status</w:t>
            </w:r>
          </w:p>
        </w:tc>
      </w:tr>
      <w:tr>
        <w:tc>
          <w:tcPr>
            <w:tcW w:type="dxa" w:w="3600"/>
            <w:tcMar>
              <w:top w:w="60" w:type="dxa"/>
              <w:bottom w:w="60" w:type="dxa"/>
              <w:start w:w="120" w:type="dxa"/>
              <w:end w:w="120" w:type="dxa"/>
            </w:tcMar>
          </w:tcPr>
          <w:p>
            <w:pPr>
              <w:spacing w:after="0"/>
            </w:pPr>
            <w:r>
              <w:rPr>
                <w:color w:val="141B2E"/>
                <w:sz w:val="19"/>
              </w:rPr>
              <w:t>Equity research assistant</w:t>
            </w:r>
          </w:p>
        </w:tc>
        <w:tc>
          <w:tcPr>
            <w:tcW w:type="dxa" w:w="2736"/>
            <w:tcMar>
              <w:top w:w="60" w:type="dxa"/>
              <w:bottom w:w="60" w:type="dxa"/>
              <w:start w:w="120" w:type="dxa"/>
              <w:end w:w="120" w:type="dxa"/>
            </w:tcMar>
          </w:tcPr>
          <w:p>
            <w:pPr>
              <w:spacing w:after="0"/>
            </w:pPr>
            <w:r>
              <w:rPr>
                <w:color w:val="141B2E"/>
                <w:sz w:val="19"/>
              </w:rPr>
              <w:t>equity-research</w:t>
            </w:r>
          </w:p>
        </w:tc>
        <w:tc>
          <w:tcPr>
            <w:tcW w:type="dxa" w:w="2016"/>
            <w:tcMar>
              <w:top w:w="60" w:type="dxa"/>
              <w:bottom w:w="60" w:type="dxa"/>
              <w:start w:w="120" w:type="dxa"/>
              <w:end w:w="120" w:type="dxa"/>
            </w:tcMar>
          </w:tcPr>
          <w:p>
            <w:pPr>
              <w:spacing w:after="0"/>
            </w:pPr>
            <w:r>
              <w:rPr>
                <w:color w:val="141B2E"/>
                <w:sz w:val="19"/>
              </w:rPr>
              <w:t>Implemented</w:t>
            </w:r>
          </w:p>
        </w:tc>
      </w:tr>
      <w:tr>
        <w:tc>
          <w:tcPr>
            <w:tcW w:type="dxa" w:w="3600"/>
            <w:tcMar>
              <w:top w:w="60" w:type="dxa"/>
              <w:bottom w:w="60" w:type="dxa"/>
              <w:start w:w="120" w:type="dxa"/>
              <w:end w:w="120" w:type="dxa"/>
            </w:tcMar>
            <w:shd w:val="clear" w:color="auto" w:fill="F6F8FA"/>
          </w:tcPr>
          <w:p>
            <w:pPr>
              <w:spacing w:after="0"/>
            </w:pPr>
            <w:r>
              <w:rPr>
                <w:color w:val="141B2E"/>
                <w:sz w:val="19"/>
              </w:rPr>
              <w:t>Portfolio &amp; risk analytics</w:t>
            </w:r>
          </w:p>
        </w:tc>
        <w:tc>
          <w:tcPr>
            <w:tcW w:type="dxa" w:w="2736"/>
            <w:tcMar>
              <w:top w:w="60" w:type="dxa"/>
              <w:bottom w:w="60" w:type="dxa"/>
              <w:start w:w="120" w:type="dxa"/>
              <w:end w:w="120" w:type="dxa"/>
            </w:tcMar>
            <w:shd w:val="clear" w:color="auto" w:fill="F6F8FA"/>
          </w:tcPr>
          <w:p>
            <w:pPr>
              <w:spacing w:after="0"/>
            </w:pPr>
            <w:r>
              <w:rPr>
                <w:color w:val="141B2E"/>
                <w:sz w:val="19"/>
              </w:rPr>
              <w:t>portfolio</w:t>
            </w:r>
          </w:p>
        </w:tc>
        <w:tc>
          <w:tcPr>
            <w:tcW w:type="dxa" w:w="2016"/>
            <w:tcMar>
              <w:top w:w="60" w:type="dxa"/>
              <w:bottom w:w="60" w:type="dxa"/>
              <w:start w:w="120" w:type="dxa"/>
              <w:end w:w="120" w:type="dxa"/>
            </w:tcMar>
            <w:shd w:val="clear" w:color="auto" w:fill="F6F8FA"/>
          </w:tcPr>
          <w:p>
            <w:pPr>
              <w:spacing w:after="0"/>
            </w:pPr>
            <w:r>
              <w:rPr>
                <w:color w:val="141B2E"/>
                <w:sz w:val="19"/>
              </w:rPr>
              <w:t>Implemented</w:t>
            </w:r>
          </w:p>
        </w:tc>
      </w:tr>
      <w:tr>
        <w:tc>
          <w:tcPr>
            <w:tcW w:type="dxa" w:w="3600"/>
            <w:tcMar>
              <w:top w:w="60" w:type="dxa"/>
              <w:bottom w:w="60" w:type="dxa"/>
              <w:start w:w="120" w:type="dxa"/>
              <w:end w:w="120" w:type="dxa"/>
            </w:tcMar>
          </w:tcPr>
          <w:p>
            <w:pPr>
              <w:spacing w:after="0"/>
            </w:pPr>
            <w:r>
              <w:rPr>
                <w:color w:val="141B2E"/>
                <w:sz w:val="19"/>
              </w:rPr>
              <w:t>Financial document analysis</w:t>
            </w:r>
          </w:p>
        </w:tc>
        <w:tc>
          <w:tcPr>
            <w:tcW w:type="dxa" w:w="2736"/>
            <w:tcMar>
              <w:top w:w="60" w:type="dxa"/>
              <w:bottom w:w="60" w:type="dxa"/>
              <w:start w:w="120" w:type="dxa"/>
              <w:end w:w="120" w:type="dxa"/>
            </w:tcMar>
          </w:tcPr>
          <w:p>
            <w:pPr>
              <w:spacing w:after="0"/>
            </w:pPr>
            <w:r>
              <w:rPr>
                <w:color w:val="141B2E"/>
                <w:sz w:val="19"/>
              </w:rPr>
              <w:t>doc-analysis</w:t>
            </w:r>
          </w:p>
        </w:tc>
        <w:tc>
          <w:tcPr>
            <w:tcW w:type="dxa" w:w="2016"/>
            <w:tcMar>
              <w:top w:w="60" w:type="dxa"/>
              <w:bottom w:w="60" w:type="dxa"/>
              <w:start w:w="120" w:type="dxa"/>
              <w:end w:w="120" w:type="dxa"/>
            </w:tcMar>
          </w:tcPr>
          <w:p>
            <w:pPr>
              <w:spacing w:after="0"/>
            </w:pPr>
            <w:r>
              <w:rPr>
                <w:color w:val="141B2E"/>
                <w:sz w:val="19"/>
              </w:rPr>
              <w:t>Planned</w:t>
            </w:r>
          </w:p>
        </w:tc>
      </w:tr>
      <w:tr>
        <w:tc>
          <w:tcPr>
            <w:tcW w:type="dxa" w:w="3600"/>
            <w:tcMar>
              <w:top w:w="60" w:type="dxa"/>
              <w:bottom w:w="60" w:type="dxa"/>
              <w:start w:w="120" w:type="dxa"/>
              <w:end w:w="120" w:type="dxa"/>
            </w:tcMar>
            <w:shd w:val="clear" w:color="auto" w:fill="F6F8FA"/>
          </w:tcPr>
          <w:p>
            <w:pPr>
              <w:spacing w:after="0"/>
            </w:pPr>
            <w:r>
              <w:rPr>
                <w:color w:val="141B2E"/>
                <w:sz w:val="19"/>
              </w:rPr>
              <w:t>Market &amp; news monitor</w:t>
            </w:r>
          </w:p>
        </w:tc>
        <w:tc>
          <w:tcPr>
            <w:tcW w:type="dxa" w:w="2736"/>
            <w:tcMar>
              <w:top w:w="60" w:type="dxa"/>
              <w:bottom w:w="60" w:type="dxa"/>
              <w:start w:w="120" w:type="dxa"/>
              <w:end w:w="120" w:type="dxa"/>
            </w:tcMar>
            <w:shd w:val="clear" w:color="auto" w:fill="F6F8FA"/>
          </w:tcPr>
          <w:p>
            <w:pPr>
              <w:spacing w:after="0"/>
            </w:pPr>
            <w:r>
              <w:rPr>
                <w:color w:val="141B2E"/>
                <w:sz w:val="19"/>
              </w:rPr>
              <w:t>monitor</w:t>
            </w:r>
          </w:p>
        </w:tc>
        <w:tc>
          <w:tcPr>
            <w:tcW w:type="dxa" w:w="2016"/>
            <w:tcMar>
              <w:top w:w="60" w:type="dxa"/>
              <w:bottom w:w="60" w:type="dxa"/>
              <w:start w:w="120" w:type="dxa"/>
              <w:end w:w="120" w:type="dxa"/>
            </w:tcMar>
            <w:shd w:val="clear" w:color="auto" w:fill="F6F8FA"/>
          </w:tcPr>
          <w:p>
            <w:pPr>
              <w:spacing w:after="0"/>
            </w:pPr>
            <w:r>
              <w:rPr>
                <w:color w:val="141B2E"/>
                <w:sz w:val="19"/>
              </w:rPr>
              <w:t>Planned</w:t>
            </w:r>
          </w:p>
        </w:tc>
      </w:tr>
    </w:tbl>
    <w:p>
      <w:pPr>
        <w:spacing w:after="80"/>
      </w:pPr>
    </w:p>
    <w:p>
      <w:pPr>
        <w:spacing w:after="240" w:before="0"/>
      </w:pPr>
      <w:r>
        <w:rPr>
          <w:b w:val="0"/>
          <w:i/>
          <w:color w:val="5B6677"/>
          <w:sz w:val="18"/>
        </w:rPr>
        <w:t>Table 2. Two of four planned workflows are implemented; the framework is built so the remaining two slot in without changing the core.</w:t>
      </w:r>
    </w:p>
    <w:p>
      <w:pPr>
        <w:pStyle w:val="Heading1"/>
      </w:pPr>
      <w:r>
        <w:t>9. Getting Started</w:t>
      </w:r>
    </w:p>
    <w:p>
      <w:pPr>
        <w:spacing w:after="160" w:before="0"/>
      </w:pPr>
      <w:r>
        <w:rPr>
          <w:b w:val="0"/>
          <w:i w:val="0"/>
          <w:color w:val="141B2E"/>
          <w:sz w:val="21"/>
        </w:rPr>
        <w:t>The framework requires Python 3.10 or later. A complete offline run takes four commands:</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 1. Create and activate a virtual environment</w:t>
            </w:r>
          </w:p>
          <w:p>
            <w:pPr>
              <w:spacing w:after="0" w:line="240" w:lineRule="auto"/>
            </w:pPr>
            <w:r>
              <w:rPr>
                <w:rFonts w:ascii="Consolas" w:hAnsi="Consolas"/>
                <w:color w:val="1A1A1A"/>
                <w:sz w:val="18"/>
              </w:rPr>
              <w:t>py -3.12 -m venv .venv</w:t>
            </w:r>
          </w:p>
          <w:p>
            <w:pPr>
              <w:spacing w:after="0" w:line="240" w:lineRule="auto"/>
            </w:pPr>
            <w:r>
              <w:rPr>
                <w:rFonts w:ascii="Consolas" w:hAnsi="Consolas"/>
                <w:color w:val="1A1A1A"/>
                <w:sz w:val="18"/>
              </w:rPr>
              <w:t>.\.venv\Scripts\Activate.ps1</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2. Install (with live-data extras)</w:t>
            </w:r>
          </w:p>
          <w:p>
            <w:pPr>
              <w:spacing w:after="0" w:line="240" w:lineRule="auto"/>
            </w:pPr>
            <w:r>
              <w:rPr>
                <w:rFonts w:ascii="Consolas" w:hAnsi="Consolas"/>
                <w:color w:val="1A1A1A"/>
                <w:sz w:val="18"/>
              </w:rPr>
              <w:t>pip install -e ".[live,dev]"</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3. Generate the bundled sample data (reproducible, seeded)</w:t>
            </w:r>
          </w:p>
          <w:p>
            <w:pPr>
              <w:spacing w:after="0" w:line="240" w:lineRule="auto"/>
            </w:pPr>
            <w:r>
              <w:rPr>
                <w:rFonts w:ascii="Consolas" w:hAnsi="Consolas"/>
                <w:color w:val="1A1A1A"/>
                <w:sz w:val="18"/>
              </w:rPr>
              <w:t>python scripts/generate_samples.py</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4. Run a workflow — works offline, no API key needed</w:t>
            </w:r>
          </w:p>
          <w:p>
            <w:pPr>
              <w:spacing w:after="0" w:line="240" w:lineRule="auto"/>
            </w:pPr>
            <w:r>
              <w:rPr>
                <w:rFonts w:ascii="Consolas" w:hAnsi="Consolas"/>
                <w:color w:val="1A1A1A"/>
                <w:sz w:val="18"/>
              </w:rPr>
              <w:t>finwf run equity-research --ticker AAPL --offline</w:t>
            </w:r>
          </w:p>
        </w:tc>
      </w:tr>
    </w:tbl>
    <w:p>
      <w:pPr>
        <w:spacing w:after="120"/>
      </w:pPr>
    </w:p>
    <w:p>
      <w:pPr>
        <w:spacing w:after="240" w:before="0"/>
      </w:pPr>
      <w:r>
        <w:rPr>
          <w:b w:val="0"/>
          <w:i/>
          <w:color w:val="5B6677"/>
          <w:sz w:val="18"/>
        </w:rPr>
        <w:t>Figure 6. Zero-setup quickstart: no API key and no network connection required.</w:t>
      </w:r>
    </w:p>
    <w:p>
      <w:pPr>
        <w:spacing w:after="160" w:before="0"/>
      </w:pPr>
      <w:r>
        <w:rPr>
          <w:b w:val="0"/>
          <w:i w:val="0"/>
          <w:color w:val="141B2E"/>
          <w:sz w:val="21"/>
        </w:rPr>
        <w:t>To use Claude for real analysis, set the key and drop the offline flag:</w:t>
      </w:r>
    </w:p>
    <w:tbl>
      <w:tblPr>
        <w:tblW w:type="auto" w:w="0"/>
        <w:jc w:val="center"/>
        <w:tblLook w:firstColumn="1" w:firstRow="1" w:lastColumn="0" w:lastRow="0" w:noHBand="0" w:noVBand="1" w:val="04A0"/>
      </w:tblPr>
      <w:tblGrid>
        <w:gridCol w:w="9216"/>
      </w:tblGrid>
      <w:tr>
        <w:tc>
          <w:tcPr>
            <w:tcW w:type="dxa" w:w="9216"/>
            <w:shd w:val="clear" w:color="auto" w:fill="F2F4F7"/>
            <w:tcMar>
              <w:top w:w="100" w:type="dxa"/>
              <w:bottom w:w="100" w:type="dxa"/>
              <w:start w:w="160" w:type="dxa"/>
              <w:end w:w="160" w:type="dxa"/>
            </w:tcMar>
          </w:tcPr>
          <w:p>
            <w:pPr>
              <w:spacing w:after="0" w:line="240" w:lineRule="auto"/>
            </w:pPr>
            <w:r/>
            <w:r>
              <w:rPr>
                <w:rFonts w:ascii="Consolas" w:hAnsi="Consolas"/>
                <w:color w:val="1A1A1A"/>
                <w:sz w:val="18"/>
              </w:rPr>
              <w:t>$env:ANTHROPIC_API_KEY = "sk-ant-..."</w:t>
            </w:r>
          </w:p>
          <w:p>
            <w:pPr>
              <w:spacing w:after="0" w:line="240" w:lineRule="auto"/>
            </w:pPr>
            <w:r>
              <w:rPr>
                <w:rFonts w:ascii="Consolas" w:hAnsi="Consolas"/>
                <w:color w:val="1A1A1A"/>
                <w:sz w:val="18"/>
              </w:rPr>
              <w:t>finwf run equity-research --ticker MSFT</w:t>
            </w:r>
          </w:p>
          <w:p>
            <w:pPr>
              <w:spacing w:after="0" w:line="240" w:lineRule="auto"/>
            </w:pPr>
            <w:r>
              <w:rPr>
                <w:rFonts w:ascii="Consolas" w:hAnsi="Consolas"/>
                <w:color w:val="1A1A1A"/>
                <w:sz w:val="18"/>
              </w:rPr>
              <w:t>finwf run portfolio --holdings examples/sample_portfolio.csv</w:t>
            </w:r>
          </w:p>
        </w:tc>
      </w:tr>
    </w:tbl>
    <w:p>
      <w:pPr>
        <w:spacing w:after="120"/>
      </w:pPr>
    </w:p>
    <w:p>
      <w:pPr>
        <w:spacing w:after="240" w:before="0"/>
      </w:pPr>
      <w:r>
        <w:rPr>
          <w:b w:val="0"/>
          <w:i/>
          <w:color w:val="5B6677"/>
          <w:sz w:val="18"/>
        </w:rPr>
        <w:t>Figure 7. The same workflows, now backed by live data and Claude Opus 4.8.</w:t>
      </w:r>
    </w:p>
    <w:p>
      <w:pPr>
        <w:pStyle w:val="Heading1"/>
      </w:pPr>
      <w:r>
        <w:t>10. Conclusion</w:t>
      </w:r>
    </w:p>
    <w:p>
      <w:pPr>
        <w:spacing w:after="160" w:before="0"/>
      </w:pPr>
      <w:r>
        <w:rPr>
          <w:b w:val="0"/>
          <w:i w:val="0"/>
          <w:color w:val="141B2E"/>
          <w:sz w:val="21"/>
        </w:rPr>
        <w:t>Finance Agentic Workflow demonstrates that the qualities finance teams need from AI — auditability, reproducibility, and honesty about provenance — are achievable without sacrificing capability. The recipe is a deliberately small core: a deterministic LangGraph DAG instead of an open agent loop; a tool layer that always runs by falling back to seeded sample data; a provider-agnostic LLM factory with structured, validated output; and a provenance trail that follows every figure from source to deliverable and never overstates what produced it.</w:t>
      </w:r>
    </w:p>
    <w:p>
      <w:pPr>
        <w:spacing w:after="160" w:before="0"/>
      </w:pPr>
      <w:r>
        <w:rPr>
          <w:b w:val="0"/>
          <w:i w:val="0"/>
          <w:color w:val="141B2E"/>
          <w:sz w:val="21"/>
        </w:rPr>
        <w:t>Because the workflow surface is just four methods, the framework grows by addition rather than modification. The two planned workflows — financial document analysis and a market &amp; news monitor — plug into the same registry, tool layer, and CLI. The design goal throughout has been a system a reviewer can run in sixty seconds and trust the moment it finishes.</w:t>
      </w:r>
    </w:p>
    <w:p>
      <w:pPr>
        <w:spacing w:before="40" w:after="160"/>
        <w:pBdr>
          <w:bottom w:val="single" w:sz="6" w:space="1" w:color="D7DCE3"/>
        </w:pBdr>
      </w:pPr>
    </w:p>
    <w:p>
      <w:pPr>
        <w:spacing w:after="160" w:before="0"/>
      </w:pPr>
      <w:r>
        <w:rPr>
          <w:b w:val="0"/>
          <w:i/>
          <w:color w:val="5B6677"/>
          <w:sz w:val="18"/>
        </w:rPr>
        <w:t>Finance Agentic Workflow is released under the MIT License. This whitepaper accompanies the project's README and the architecture, workflows, and adding-a-workflow documents in the docs/ directory.</w:t>
      </w:r>
    </w:p>
    <w:sectPr w:rsidR="00FC693F" w:rsidRPr="0006063C" w:rsidSect="00034616">
      <w:footerReference w:type="default" r:id="rId9"/>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7"/>
        <w:sz w:val="16"/>
      </w:rPr>
      <w:t xml:space="preserve">Finance Agentic Workflow — Technical Whitepaper   ·   Page </w:t>
    </w:r>
    <w:r>
      <w:rPr>
        <w:color w:val="5B6677"/>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B2A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