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t xml:space="preserve"/>
      </w:r>
    </w:p>
    <w:p>
      <w:pPr>
        <w:spacing w:after="200" w:before="0"/>
        <w:jc w:val="center"/>
      </w:pPr>
      <w:r>
        <w:rPr>
          <w:rFonts w:ascii="Arial" w:cs="Arial" w:eastAsia="Arial" w:hAnsi="Arial"/>
          <w:b/>
          <w:bCs/>
          <w:caps/>
          <w:color w:val="1A5276"/>
          <w:sz w:val="64"/>
          <w:szCs w:val="64"/>
        </w:rPr>
        <w:t xml:space="preserve">PROYECTO ULAB</w:t>
      </w:r>
    </w:p>
    <w:p>
      <w:pPr>
        <w:spacing w:after="200" w:before="0"/>
        <w:jc w:val="center"/>
      </w:pPr>
      <w:r>
        <w:rPr>
          <w:rFonts w:ascii="Arial" w:cs="Arial" w:eastAsia="Arial" w:hAnsi="Arial"/>
          <w:b/>
          <w:bCs/>
          <w:color w:val="2E4057"/>
          <w:sz w:val="40"/>
          <w:szCs w:val="40"/>
        </w:rPr>
        <w:t xml:space="preserve">Predicción de Histogramas de Carga de Trabajo</w:t>
      </w:r>
    </w:p>
    <w:p>
      <w:pPr>
        <w:spacing w:after="400" w:before="0"/>
        <w:jc w:val="center"/>
      </w:pPr>
      <w:r>
        <w:rPr>
          <w:rFonts w:ascii="Arial" w:cs="Arial" w:eastAsia="Arial" w:hAnsi="Arial"/>
          <w:b/>
          <w:bCs/>
          <w:color w:val="2E4057"/>
          <w:sz w:val="40"/>
          <w:szCs w:val="40"/>
        </w:rPr>
        <w:t xml:space="preserve">en Proyectos Industriales</w:t>
      </w:r>
    </w:p>
    <w:p>
      <w:pPr>
        <w:spacing w:after="600" w:before="0"/>
        <w:jc w:val="center"/>
      </w:pPr>
      <w:r>
        <w:rPr>
          <w:rFonts w:ascii="Arial" w:cs="Arial" w:eastAsia="Arial" w:hAnsi="Arial"/>
          <w:color w:val="555555"/>
          <w:sz w:val="28"/>
          <w:szCs w:val="28"/>
        </w:rPr>
        <w:t xml:space="preserve">Memoria Técnica del Proyecto</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Institución</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Universidad Alfonso X el Sabio (UAX)</w:t>
            </w:r>
          </w:p>
        </w:tc>
      </w:tr>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Empresa</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Técnicas Reunidas</w:t>
            </w:r>
          </w:p>
        </w:tc>
      </w:tr>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Asignatura</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Redes Neuronales</w:t>
            </w:r>
          </w:p>
        </w:tc>
      </w:tr>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Curso</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2025–2026</w:t>
            </w:r>
          </w:p>
        </w:tc>
      </w:tr>
      <w:t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Fecha</w:t>
            </w:r>
          </w:p>
        </w:tc>
        <w:tc>
          <w:tcPr>
            <w:tcW w:type="dxa" w:w="3600"/>
            <w:tcBorders>
              <w:top w:val="single" w:color="CCCCCC" w:sz="1"/>
              <w:left w:val="single" w:color="CCCCCC" w:sz="1"/>
              <w:bottom w:val="single" w:color="CCCCCC" w:sz="1"/>
              <w:right w:val="single" w:color="CCCCCC" w:sz="1"/>
            </w:tcBorders>
            <w:shd w:fill="F4F6F8" w:val="clear"/>
            <w:tcMar>
              <w:top w:type="dxa" w:w="80"/>
              <w:left w:type="dxa" w:w="120"/>
              <w:bottom w:type="dxa" w:w="80"/>
              <w:right w:type="dxa" w:w="120"/>
            </w:tcMar>
          </w:tcPr>
          <w:p>
            <w:r>
              <w:rPr>
                <w:rFonts w:ascii="Arial" w:cs="Arial" w:eastAsia="Arial" w:hAnsi="Arial"/>
                <w:color w:val="1A1A2E"/>
                <w:sz w:val="20"/>
                <w:szCs w:val="20"/>
              </w:rPr>
              <w:t xml:space="preserve">Mayo 2026</w:t>
            </w:r>
          </w:p>
        </w:tc>
      </w:tr>
    </w:tbl>
    <w:p>
      <w:r>
        <w:br w:type="page"/>
      </w:r>
    </w:p>
    <w:p>
      <w:pPr>
        <w:pStyle w:val="Heading1"/>
      </w:pPr>
      <w:r>
        <w:rPr>
          <w:rFonts w:ascii="Arial" w:cs="Arial" w:eastAsia="Arial" w:hAnsi="Arial"/>
          <w:b/>
          <w:bCs/>
          <w:color w:val="1A5276"/>
          <w:sz w:val="36"/>
          <w:szCs w:val="36"/>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A5276"/>
          <w:sz w:val="36"/>
          <w:szCs w:val="36"/>
        </w:rPr>
        <w:t xml:space="preserve">1. Contexto y Objetivos del Proyecto</w:t>
      </w:r>
    </w:p>
    <w:p>
      <w:pPr>
        <w:pStyle w:val="Heading2"/>
      </w:pPr>
      <w:r>
        <w:rPr>
          <w:rFonts w:ascii="Arial" w:cs="Arial" w:eastAsia="Arial" w:hAnsi="Arial"/>
          <w:b/>
          <w:bCs/>
          <w:color w:val="1A5276"/>
          <w:sz w:val="28"/>
          <w:szCs w:val="28"/>
        </w:rPr>
        <w:t xml:space="preserve">1.1 El Proyecto ULAB</w:t>
      </w:r>
    </w:p>
    <w:p>
      <w:pPr>
        <w:spacing w:after="100" w:before="80"/>
        <w:jc w:val="both"/>
      </w:pPr>
      <w:r>
        <w:rPr>
          <w:rFonts w:ascii="Arial" w:cs="Arial" w:eastAsia="Arial" w:hAnsi="Arial"/>
          <w:b w:val="false"/>
          <w:bCs w:val="false"/>
          <w:color w:val="1A1A2E"/>
          <w:sz w:val="22"/>
          <w:szCs w:val="22"/>
        </w:rPr>
        <w:t xml:space="preserve">El Proyecto ULAB (University Lab) es una colaboración entre la Universidad Alfonso X el Sabio (UAX) y Técnicas Reunidas, empresa española líder en ingeniería, diseño y construcción de grandes proyectos industriales con presencia en más de 50 países. El proyecto se enmarca dentro de la asignatura de Redes Neuronales y constituye una extensión directa del trabajo previo realizado en la asignatura de Aprendizaje Automático.</w:t>
      </w:r>
    </w:p>
    <w:p>
      <w:pPr>
        <w:spacing w:after="100" w:before="80"/>
        <w:jc w:val="both"/>
      </w:pPr>
      <w:r>
        <w:rPr>
          <w:rFonts w:ascii="Arial" w:cs="Arial" w:eastAsia="Arial" w:hAnsi="Arial"/>
          <w:b w:val="false"/>
          <w:bCs w:val="false"/>
          <w:color w:val="1A1A2E"/>
          <w:sz w:val="22"/>
          <w:szCs w:val="22"/>
        </w:rPr>
        <w:t xml:space="preserve">El objetivo fundamental es aplicar técnicas de aprendizaje automático y deep learning a un problema industrial real: la predicción de histogramas de carga de trabajo por departamento y semana en proyectos de ingeniería complejos.</w:t>
      </w:r>
    </w:p>
    <w:p>
      <w:pPr>
        <w:pStyle w:val="Heading2"/>
      </w:pPr>
      <w:r>
        <w:rPr>
          <w:rFonts w:ascii="Arial" w:cs="Arial" w:eastAsia="Arial" w:hAnsi="Arial"/>
          <w:b/>
          <w:bCs/>
          <w:color w:val="1A5276"/>
          <w:sz w:val="28"/>
          <w:szCs w:val="28"/>
        </w:rPr>
        <w:t xml:space="preserve">1.2 Problemática Industrial</w:t>
      </w:r>
    </w:p>
    <w:p>
      <w:pPr>
        <w:spacing w:after="100" w:before="80"/>
        <w:jc w:val="both"/>
      </w:pPr>
      <w:r>
        <w:rPr>
          <w:rFonts w:ascii="Arial" w:cs="Arial" w:eastAsia="Arial" w:hAnsi="Arial"/>
          <w:b w:val="false"/>
          <w:bCs w:val="false"/>
          <w:color w:val="1A1A2E"/>
          <w:sz w:val="22"/>
          <w:szCs w:val="22"/>
        </w:rPr>
        <w:t xml:space="preserve">En la gestión de grandes proyectos de ingeniería, los histogramas de planificación representan gráficamente la carga de trabajo prevista por departamento y unidad de tiempo. Son herramientas esenciales para:</w:t>
      </w:r>
    </w:p>
    <w:p>
      <w:pPr>
        <w:pStyle w:val="ListParagraph"/>
        <w:numPr>
          <w:ilvl w:val="0"/>
          <w:numId w:val="2"/>
        </w:numPr>
        <w:spacing w:after="40" w:before="40"/>
      </w:pPr>
      <w:r>
        <w:rPr>
          <w:rFonts w:ascii="Arial" w:cs="Arial" w:eastAsia="Arial" w:hAnsi="Arial"/>
          <w:color w:val="1A1A2E"/>
          <w:sz w:val="22"/>
          <w:szCs w:val="22"/>
        </w:rPr>
        <w:t xml:space="preserve">Anticipar picos y valles de actividad en distintos departamentos.</w:t>
      </w:r>
    </w:p>
    <w:p>
      <w:pPr>
        <w:pStyle w:val="ListParagraph"/>
        <w:numPr>
          <w:ilvl w:val="0"/>
          <w:numId w:val="2"/>
        </w:numPr>
        <w:spacing w:after="40" w:before="40"/>
      </w:pPr>
      <w:r>
        <w:rPr>
          <w:rFonts w:ascii="Arial" w:cs="Arial" w:eastAsia="Arial" w:hAnsi="Arial"/>
          <w:color w:val="1A1A2E"/>
          <w:sz w:val="22"/>
          <w:szCs w:val="22"/>
        </w:rPr>
        <w:t xml:space="preserve">Identificar desequilibrios en la asignación de recursos humanos.</w:t>
      </w:r>
    </w:p>
    <w:p>
      <w:pPr>
        <w:pStyle w:val="ListParagraph"/>
        <w:numPr>
          <w:ilvl w:val="0"/>
          <w:numId w:val="2"/>
        </w:numPr>
        <w:spacing w:after="40" w:before="40"/>
      </w:pPr>
      <w:r>
        <w:rPr>
          <w:rFonts w:ascii="Arial" w:cs="Arial" w:eastAsia="Arial" w:hAnsi="Arial"/>
          <w:color w:val="1A1A2E"/>
          <w:sz w:val="22"/>
          <w:szCs w:val="22"/>
        </w:rPr>
        <w:t xml:space="preserve">Prevenir situaciones críticas de sobrecarga o infrautilización.</w:t>
      </w:r>
    </w:p>
    <w:p>
      <w:pPr>
        <w:pStyle w:val="ListParagraph"/>
        <w:numPr>
          <w:ilvl w:val="0"/>
          <w:numId w:val="2"/>
        </w:numPr>
        <w:spacing w:after="40" w:before="40"/>
      </w:pPr>
      <w:r>
        <w:rPr>
          <w:rFonts w:ascii="Arial" w:cs="Arial" w:eastAsia="Arial" w:hAnsi="Arial"/>
          <w:color w:val="1A1A2E"/>
          <w:sz w:val="22"/>
          <w:szCs w:val="22"/>
        </w:rPr>
        <w:t xml:space="preserve">Facilitar la toma de decisiones estratégicas sobre personal.</w:t>
      </w:r>
    </w:p>
    <w:p>
      <w:pPr>
        <w:pStyle w:val="ListParagraph"/>
        <w:numPr>
          <w:ilvl w:val="0"/>
          <w:numId w:val="2"/>
        </w:numPr>
        <w:spacing w:after="40" w:before="40"/>
      </w:pPr>
      <w:r>
        <w:rPr>
          <w:rFonts w:ascii="Arial" w:cs="Arial" w:eastAsia="Arial" w:hAnsi="Arial"/>
          <w:color w:val="1A1A2E"/>
          <w:sz w:val="22"/>
          <w:szCs w:val="22"/>
        </w:rPr>
        <w:t xml:space="preserve">Comunicar el estado de la planificación a equipos y clientes.</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El desafío principal radica en que las horas reales ejecutadas (HR_ACTUAL) frecuentemente se desvían de la planificación inicial (HR_INICIAL). Estas desviaciones generan consecuencias económicas y operativas significativas: sobrecostes, retrasos, asignación ineficiente de recursos y decisiones operativas subóptimas.</w:t>
      </w:r>
    </w:p>
    <w:p>
      <w:pPr>
        <w:pStyle w:val="Heading2"/>
      </w:pPr>
      <w:r>
        <w:rPr>
          <w:rFonts w:ascii="Arial" w:cs="Arial" w:eastAsia="Arial" w:hAnsi="Arial"/>
          <w:b/>
          <w:bCs/>
          <w:color w:val="1A5276"/>
          <w:sz w:val="28"/>
          <w:szCs w:val="28"/>
        </w:rPr>
        <w:t xml:space="preserve">1.3 Trabajo Previo: Modelos de Árboles</w:t>
      </w:r>
    </w:p>
    <w:p>
      <w:pPr>
        <w:spacing w:after="100" w:before="80"/>
        <w:jc w:val="both"/>
      </w:pPr>
      <w:r>
        <w:rPr>
          <w:rFonts w:ascii="Arial" w:cs="Arial" w:eastAsia="Arial" w:hAnsi="Arial"/>
          <w:b w:val="false"/>
          <w:bCs w:val="false"/>
          <w:color w:val="1A1A2E"/>
          <w:sz w:val="22"/>
          <w:szCs w:val="22"/>
        </w:rPr>
        <w:t xml:space="preserve">El año anterior, alumnos de la asignatura de Aprendizaje Automático desarrollaron una primera aproximación al problema utilizando modelos basados en árboles de decisión. Se implementaron y evaluaron cuatro algoritmos de ensemble learning: Árbol de Decisión Simple, Random Forest (500 estimadores), AdaBoost (100 estimadores) y Gradient Boosting (100 estimadores).</w:t>
      </w:r>
    </w:p>
    <w:p>
      <w:pPr>
        <w:spacing w:after="100" w:before="80"/>
        <w:jc w:val="both"/>
      </w:pPr>
      <w:r>
        <w:rPr>
          <w:rFonts w:ascii="Arial" w:cs="Arial" w:eastAsia="Arial" w:hAnsi="Arial"/>
          <w:b w:val="false"/>
          <w:bCs w:val="false"/>
          <w:color w:val="1A1A2E"/>
          <w:sz w:val="22"/>
          <w:szCs w:val="22"/>
        </w:rPr>
        <w:t xml:space="preserve">Las limitaciones identificadas en estos modelos previos motivaron la presente investigación: dependencias temporales complejas no capturadas, relaciones no lineales difíciles de modelar, generalización limitada entre departamentos, ausencia de HR_INICIAL como variable explícita y carencia de predicción multi-horizonte.</w:t>
      </w:r>
    </w:p>
    <w:p>
      <w:pPr>
        <w:pStyle w:val="Heading2"/>
      </w:pPr>
      <w:r>
        <w:rPr>
          <w:rFonts w:ascii="Arial" w:cs="Arial" w:eastAsia="Arial" w:hAnsi="Arial"/>
          <w:b/>
          <w:bCs/>
          <w:color w:val="1A5276"/>
          <w:sz w:val="28"/>
          <w:szCs w:val="28"/>
        </w:rPr>
        <w:t xml:space="preserve">1.4 Objetivos del Proyecto</w:t>
      </w:r>
    </w:p>
    <w:p>
      <w:pPr>
        <w:spacing w:after="100" w:before="80"/>
        <w:jc w:val="both"/>
      </w:pPr>
      <w:r>
        <w:rPr>
          <w:rFonts w:ascii="Arial" w:cs="Arial" w:eastAsia="Arial" w:hAnsi="Arial"/>
          <w:b w:val="false"/>
          <w:bCs w:val="false"/>
          <w:color w:val="1A1A2E"/>
          <w:sz w:val="22"/>
          <w:szCs w:val="22"/>
        </w:rPr>
        <w:t xml:space="preserve">El objetivo general del proyecto es desarrollar modelos basados en Redes Neuronales que superen el rendimiento de los modelos de árboles existentes, capturando patrones temporales complejos y relaciones no lineales. Los objetivos específicos son:</w:t>
      </w:r>
    </w:p>
    <w:p>
      <w:pPr>
        <w:pStyle w:val="ListParagraph"/>
        <w:numPr>
          <w:ilvl w:val="0"/>
          <w:numId w:val="3"/>
        </w:numPr>
        <w:spacing w:after="40" w:before="40"/>
      </w:pPr>
      <w:r>
        <w:rPr>
          <w:rFonts w:ascii="Arial" w:cs="Arial" w:eastAsia="Arial" w:hAnsi="Arial"/>
          <w:color w:val="1A1A2E"/>
          <w:sz w:val="22"/>
          <w:szCs w:val="22"/>
        </w:rPr>
        <w:t xml:space="preserve">Implementar modelos de series temporales clásicas (AR, ARMA, ARIMA, SARIMA, Holt, Holt-Winters) como baseline de referencia.</w:t>
      </w:r>
    </w:p>
    <w:p>
      <w:pPr>
        <w:pStyle w:val="ListParagraph"/>
        <w:numPr>
          <w:ilvl w:val="0"/>
          <w:numId w:val="3"/>
        </w:numPr>
        <w:spacing w:after="40" w:before="40"/>
      </w:pPr>
      <w:r>
        <w:rPr>
          <w:rFonts w:ascii="Arial" w:cs="Arial" w:eastAsia="Arial" w:hAnsi="Arial"/>
          <w:color w:val="1A1A2E"/>
          <w:sz w:val="22"/>
          <w:szCs w:val="22"/>
        </w:rPr>
        <w:t xml:space="preserve">Desarrollar modelos de regresión supervisada con feature engineering avanzado (lags, codificación cíclica, variables estructurales).</w:t>
      </w:r>
    </w:p>
    <w:p>
      <w:pPr>
        <w:pStyle w:val="ListParagraph"/>
        <w:numPr>
          <w:ilvl w:val="0"/>
          <w:numId w:val="3"/>
        </w:numPr>
        <w:spacing w:after="40" w:before="40"/>
      </w:pPr>
      <w:r>
        <w:rPr>
          <w:rFonts w:ascii="Arial" w:cs="Arial" w:eastAsia="Arial" w:hAnsi="Arial"/>
          <w:color w:val="1A1A2E"/>
          <w:sz w:val="22"/>
          <w:szCs w:val="22"/>
        </w:rPr>
        <w:t xml:space="preserve">Implementar y evaluar redes recurrentes LSTM y GRU para capturar dependencias temporales.</w:t>
      </w:r>
    </w:p>
    <w:p>
      <w:pPr>
        <w:pStyle w:val="ListParagraph"/>
        <w:numPr>
          <w:ilvl w:val="0"/>
          <w:numId w:val="3"/>
        </w:numPr>
        <w:spacing w:after="40" w:before="40"/>
      </w:pPr>
      <w:r>
        <w:rPr>
          <w:rFonts w:ascii="Arial" w:cs="Arial" w:eastAsia="Arial" w:hAnsi="Arial"/>
          <w:color w:val="1A1A2E"/>
          <w:sz w:val="22"/>
          <w:szCs w:val="22"/>
        </w:rPr>
        <w:t xml:space="preserve">Desarrollar arquitecturas avanzadas: Encoder-Decoder multi-horizonte y LSTM con mecanismo de atención.</w:t>
      </w:r>
    </w:p>
    <w:p>
      <w:pPr>
        <w:pStyle w:val="ListParagraph"/>
        <w:numPr>
          <w:ilvl w:val="0"/>
          <w:numId w:val="3"/>
        </w:numPr>
        <w:spacing w:after="40" w:before="40"/>
      </w:pPr>
      <w:r>
        <w:rPr>
          <w:rFonts w:ascii="Arial" w:cs="Arial" w:eastAsia="Arial" w:hAnsi="Arial"/>
          <w:color w:val="1A1A2E"/>
          <w:sz w:val="22"/>
          <w:szCs w:val="22"/>
        </w:rPr>
        <w:t xml:space="preserve">Construir un ensemble híbrido que combine señales tabulares y secuenciales.</w:t>
      </w:r>
    </w:p>
    <w:p>
      <w:pPr>
        <w:pStyle w:val="ListParagraph"/>
        <w:numPr>
          <w:ilvl w:val="0"/>
          <w:numId w:val="3"/>
        </w:numPr>
        <w:spacing w:after="40" w:before="40"/>
      </w:pPr>
      <w:r>
        <w:rPr>
          <w:rFonts w:ascii="Arial" w:cs="Arial" w:eastAsia="Arial" w:hAnsi="Arial"/>
          <w:color w:val="1A1A2E"/>
          <w:sz w:val="22"/>
          <w:szCs w:val="22"/>
        </w:rPr>
        <w:t xml:space="preserve">Evaluar todos los modelos mediante esquemas de validación cruzada rigurosos y comparar con los baselines de fases anteriores.</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80"/>
              <w:left w:type="dxa" w:w="200"/>
              <w:bottom w:type="dxa" w:w="80"/>
              <w:right w:type="dxa" w:w="200"/>
            </w:tcMar>
          </w:tcPr>
          <w:p>
            <w:r>
              <w:rPr>
                <w:rFonts w:ascii="Arial" w:cs="Arial" w:eastAsia="Arial" w:hAnsi="Arial"/>
                <w:b/>
                <w:bCs/>
                <w:color w:val="FFFFFF"/>
                <w:sz w:val="22"/>
                <w:szCs w:val="22"/>
              </w:rPr>
              <w:t xml:space="preserve">Criterio de Éxito</w:t>
            </w:r>
          </w:p>
        </w:tc>
      </w:tr>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40" w:before="40"/>
            </w:pPr>
            <w:r>
              <w:rPr>
                <w:rFonts w:ascii="Arial" w:cs="Arial" w:eastAsia="Arial" w:hAnsi="Arial"/>
                <w:color w:val="1A1A2E"/>
                <w:sz w:val="22"/>
                <w:szCs w:val="22"/>
              </w:rPr>
              <w:t xml:space="preserve">Un modelo de Redes Neuronales se considera exitoso si:</w:t>
            </w:r>
          </w:p>
          <w:p>
            <w:pPr>
              <w:spacing w:after="40" w:before="40"/>
            </w:pPr>
            <w:r>
              <w:rPr>
                <w:rFonts w:ascii="Arial" w:cs="Arial" w:eastAsia="Arial" w:hAnsi="Arial"/>
                <w:color w:val="1A1A2E"/>
                <w:sz w:val="22"/>
                <w:szCs w:val="22"/>
              </w:rPr>
              <w:t xml:space="preserve">• Mejora el RMSE en al menos un 10% respecto al mejor modelo de árboles.</w:t>
            </w:r>
          </w:p>
          <w:p>
            <w:pPr>
              <w:spacing w:after="40" w:before="40"/>
            </w:pPr>
            <w:r>
              <w:rPr>
                <w:rFonts w:ascii="Arial" w:cs="Arial" w:eastAsia="Arial" w:hAnsi="Arial"/>
                <w:color w:val="1A1A2E"/>
                <w:sz w:val="22"/>
                <w:szCs w:val="22"/>
              </w:rPr>
              <w:t xml:space="preserve">• Genera predicciones estables (baja varianza entre entrenamientos).</w:t>
            </w:r>
          </w:p>
          <w:p>
            <w:pPr>
              <w:spacing w:after="40" w:before="40"/>
            </w:pPr>
            <w:r>
              <w:rPr>
                <w:rFonts w:ascii="Arial" w:cs="Arial" w:eastAsia="Arial" w:hAnsi="Arial"/>
                <w:color w:val="1A1A2E"/>
                <w:sz w:val="22"/>
                <w:szCs w:val="22"/>
              </w:rPr>
              <w:t xml:space="preserve">• Proporciona interpretabilidad suficiente para la toma de decisiones.</w:t>
            </w:r>
          </w:p>
          <w:p>
            <w:pPr>
              <w:spacing w:after="40" w:before="40"/>
            </w:pPr>
            <w:r>
              <w:rPr>
                <w:rFonts w:ascii="Arial" w:cs="Arial" w:eastAsia="Arial" w:hAnsi="Arial"/>
                <w:color w:val="1A1A2E"/>
                <w:sz w:val="22"/>
                <w:szCs w:val="22"/>
              </w:rPr>
              <w:t xml:space="preserve">• Es computacionalmente viable para uso en producción.</w:t>
            </w:r>
          </w:p>
          <w:p>
            <w:pPr>
              <w:spacing w:after="40" w:before="40"/>
            </w:pPr>
            <w:r>
              <w:rPr>
                <w:rFonts w:ascii="Arial" w:cs="Arial" w:eastAsia="Arial" w:hAnsi="Arial"/>
                <w:color w:val="1A1A2E"/>
                <w:sz w:val="22"/>
                <w:szCs w:val="22"/>
              </w:rPr>
              <w:t xml:space="preserve">• Generaliza bien en datos de validación y test.</w:t>
            </w:r>
          </w:p>
        </w:tc>
      </w:tr>
    </w:tbl>
    <w:p>
      <w:r>
        <w:br w:type="page"/>
      </w:r>
    </w:p>
    <w:p>
      <w:pPr>
        <w:pStyle w:val="Heading1"/>
      </w:pPr>
      <w:r>
        <w:rPr>
          <w:rFonts w:ascii="Arial" w:cs="Arial" w:eastAsia="Arial" w:hAnsi="Arial"/>
          <w:b/>
          <w:bCs/>
          <w:color w:val="1A5276"/>
          <w:sz w:val="36"/>
          <w:szCs w:val="36"/>
        </w:rPr>
        <w:t xml:space="preserve">2. Dataset y Preprocesamiento</w:t>
      </w:r>
    </w:p>
    <w:p>
      <w:pPr>
        <w:pStyle w:val="Heading2"/>
      </w:pPr>
      <w:r>
        <w:rPr>
          <w:rFonts w:ascii="Arial" w:cs="Arial" w:eastAsia="Arial" w:hAnsi="Arial"/>
          <w:b/>
          <w:bCs/>
          <w:color w:val="1A5276"/>
          <w:sz w:val="28"/>
          <w:szCs w:val="28"/>
        </w:rPr>
        <w:t xml:space="preserve">2.1 Descripción del Dataset</w:t>
      </w:r>
    </w:p>
    <w:p>
      <w:pPr>
        <w:spacing w:after="100" w:before="80"/>
        <w:jc w:val="both"/>
      </w:pPr>
      <w:r>
        <w:rPr>
          <w:rFonts w:ascii="Arial" w:cs="Arial" w:eastAsia="Arial" w:hAnsi="Arial"/>
          <w:b w:val="false"/>
          <w:bCs w:val="false"/>
          <w:color w:val="1A1A2E"/>
          <w:sz w:val="22"/>
          <w:szCs w:val="22"/>
        </w:rPr>
        <w:t xml:space="preserve">El dataset proporcionado por Técnicas Reunidas contiene registros diarios y semanales de horas reales y planificadas por departamento y proyecto. Tras el procesamiento inicial, el dataset semanal cuenta con 8.912 registros totales y 23 variables.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Característica</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Total de registros (dataset completo)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8.912</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Proyectos totales</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Proyectos finalizados (usados en modelado)</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 (Casos 1 y 3)</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Registros para modelado (Casos 1 y 3)</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4.929–4.990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Departamentos únicos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42</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Variable objetivo</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HR_ACTUAL (horas reales por semana y departamento)</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Período temporal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2015–2019 (aproximado)</w:t>
            </w:r>
          </w:p>
        </w:tc>
      </w:tr>
    </w:tbl>
    <w:p>
      <w:pPr>
        <w:spacing w:after="160" w:before="40"/>
        <w:jc w:val="center"/>
      </w:pPr>
      <w:r>
        <w:rPr>
          <w:rFonts w:ascii="Arial" w:cs="Arial" w:eastAsia="Arial" w:hAnsi="Arial"/>
          <w:color w:val="666666"/>
          <w:sz w:val="18"/>
          <w:szCs w:val="18"/>
        </w:rPr>
        <w:t xml:space="preserve">Tabla 1. Descripción general del dataset utilizado.</w:t>
      </w:r>
    </w:p>
    <w:p>
      <w:pPr>
        <w:pStyle w:val="Heading2"/>
      </w:pPr>
      <w:r>
        <w:rPr>
          <w:rFonts w:ascii="Arial" w:cs="Arial" w:eastAsia="Arial" w:hAnsi="Arial"/>
          <w:b/>
          <w:bCs/>
          <w:color w:val="1A5276"/>
          <w:sz w:val="28"/>
          <w:szCs w:val="28"/>
        </w:rPr>
        <w:t xml:space="preserve">2.2 Variables del Modelo</w:t>
      </w:r>
    </w:p>
    <w:p>
      <w:pPr>
        <w:spacing w:after="100" w:before="80"/>
        <w:jc w:val="both"/>
      </w:pPr>
      <w:r>
        <w:rPr>
          <w:rFonts w:ascii="Arial" w:cs="Arial" w:eastAsia="Arial" w:hAnsi="Arial"/>
          <w:b w:val="false"/>
          <w:bCs w:val="false"/>
          <w:color w:val="1A1A2E"/>
          <w:sz w:val="22"/>
          <w:szCs w:val="22"/>
        </w:rPr>
        <w:t xml:space="preserve">Tras el análisis exploratorio y el proceso de feature engineering, se definieron las siguientes variables de entrada para los modelos tabulares: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HR_ACTUAL_t1</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Horas reales de la semana anterior (lag 1)</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Autoregresiva</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HR_ACTUAL_t2</w:t>
            </w:r>
          </w:p>
        </w:tc>
        <w:tc>
          <w:tcPr>
            <w:tcW w:type="dxa" w:w="4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Horas reales de hace 2 semanas (lag 2)</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Autoregresiva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HR_ACTUAL_t4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Horas reales de hace 4 semanas (lag 4)</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Autoregresiva</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HR_INICIAL</w:t>
            </w:r>
          </w:p>
        </w:tc>
        <w:tc>
          <w:tcPr>
            <w:tcW w:type="dxa" w:w="4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Horas planificadas inicialmente (variable crítica)</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Estructural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Mes_sin / Mes_cos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Codificación cíclica del mes del año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Temporal cíclica</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Semana_sin / Semana_cos</w:t>
            </w:r>
          </w:p>
        </w:tc>
        <w:tc>
          <w:tcPr>
            <w:tcW w:type="dxa" w:w="4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Codificación cíclica de la semana del año</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Temporal cíclica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Dias_desde_inicio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Días transcurridos desde el inicio del proyecto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Ciclo de vida</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Dias_hasta_fin</w:t>
            </w:r>
          </w:p>
        </w:tc>
        <w:tc>
          <w:tcPr>
            <w:tcW w:type="dxa" w:w="4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Días restantes hasta el fin del proyecto</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Ciclo de vida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Departamento</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Identificador del departamento (categórico)</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Estructural</w:t>
            </w:r>
          </w:p>
        </w:tc>
      </w:tr>
    </w:tbl>
    <w:p>
      <w:pPr>
        <w:spacing w:after="160" w:before="40"/>
        <w:jc w:val="center"/>
      </w:pPr>
      <w:r>
        <w:rPr>
          <w:rFonts w:ascii="Arial" w:cs="Arial" w:eastAsia="Arial" w:hAnsi="Arial"/>
          <w:color w:val="666666"/>
          <w:sz w:val="18"/>
          <w:szCs w:val="18"/>
        </w:rPr>
        <w:t xml:space="preserve">Tabla 2. Variables de entrada utilizadas en los modelos tabulares.</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La variable objetivo es HR_ACTUAL: el número de horas realmente trabajadas en cada departamento durante cada semana.</w:t>
      </w:r>
    </w:p>
    <w:p>
      <w:pPr>
        <w:spacing w:after="100" w:before="80"/>
        <w:jc w:val="both"/>
      </w:pPr>
      <w:r>
        <w:rPr>
          <w:rFonts w:ascii="Arial" w:cs="Arial" w:eastAsia="Arial" w:hAnsi="Arial"/>
          <w:b w:val="false"/>
          <w:bCs w:val="false"/>
          <w:color w:val="1A1A2E"/>
          <w:sz w:val="22"/>
          <w:szCs w:val="22"/>
        </w:rPr>
        <w:t xml:space="preserve">La codificación cíclica de variables temporales (mes, semana) es una decisión de diseño clave: al transformar estos valores mediante funciones seno y coseno, se preserva la continuidad cíclica del tiempo (el mes 12 es temporalmente cercano al mes 1), algo que una codificación lineal no captura correctamente.</w:t>
      </w:r>
    </w:p>
    <w:p>
      <w:pPr>
        <w:pStyle w:val="Heading2"/>
      </w:pPr>
      <w:r>
        <w:rPr>
          <w:rFonts w:ascii="Arial" w:cs="Arial" w:eastAsia="Arial" w:hAnsi="Arial"/>
          <w:b/>
          <w:bCs/>
          <w:color w:val="1A5276"/>
          <w:sz w:val="28"/>
          <w:szCs w:val="28"/>
        </w:rPr>
        <w:t xml:space="preserve">2.3 Esquemas de Validación Cruzada</w:t>
      </w:r>
    </w:p>
    <w:p>
      <w:pPr>
        <w:spacing w:after="100" w:before="80"/>
        <w:jc w:val="both"/>
      </w:pPr>
      <w:r>
        <w:rPr>
          <w:rFonts w:ascii="Arial" w:cs="Arial" w:eastAsia="Arial" w:hAnsi="Arial"/>
          <w:b w:val="false"/>
          <w:bCs w:val="false"/>
          <w:color w:val="1A1A2E"/>
          <w:sz w:val="22"/>
          <w:szCs w:val="22"/>
        </w:rPr>
        <w:t xml:space="preserve">Un aspecto fundamental del diseño experimental es la elección de esquemas de validación que reflejen fielmente los escenarios de uso real del modelo. Se implementaron tres esquemas complementarios: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80"/>
              <w:left w:type="dxa" w:w="200"/>
              <w:bottom w:type="dxa" w:w="80"/>
              <w:right w:type="dxa" w:w="200"/>
            </w:tcMar>
          </w:tcPr>
          <w:p>
            <w:r>
              <w:rPr>
                <w:rFonts w:ascii="Arial" w:cs="Arial" w:eastAsia="Arial" w:hAnsi="Arial"/>
                <w:b/>
                <w:bCs/>
                <w:color w:val="FFFFFF"/>
                <w:sz w:val="22"/>
                <w:szCs w:val="22"/>
              </w:rPr>
              <w:t xml:space="preserve">E1 — Holdout Aleatorio Estratificado</w:t>
            </w:r>
          </w:p>
        </w:tc>
      </w:tr>
      <w:tr>
        <w:tc>
          <w:tcPr>
            <w:tcW w:type="dxa" w:w="9360"/>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40" w:before="40"/>
            </w:pPr>
            <w:r>
              <w:rPr>
                <w:rFonts w:ascii="Arial" w:cs="Arial" w:eastAsia="Arial" w:hAnsi="Arial"/>
                <w:color w:val="1A1A2E"/>
                <w:sz w:val="22"/>
                <w:szCs w:val="22"/>
              </w:rPr>
              <w:t xml:space="preserve">División aleatoria 80/20 del conjunto de datos, estratificada por Caso y Departamento para garantizar representación proporcional en ambos splits.</w:t>
            </w:r>
          </w:p>
          <w:p>
            <w:pPr>
              <w:spacing w:after="40" w:before="40"/>
            </w:pPr>
            <w:r>
              <w:rPr>
                <w:rFonts w:ascii="Arial" w:cs="Arial" w:eastAsia="Arial" w:hAnsi="Arial"/>
                <w:color w:val="1A1A2E"/>
                <w:sz w:val="22"/>
                <w:szCs w:val="22"/>
              </w:rPr>
              <w:t xml:space="preserve">Resultado: Train = 3.943 muestras | Test = 986 muestras.</w:t>
            </w:r>
          </w:p>
          <w:p>
            <w:pPr>
              <w:spacing w:after="40" w:before="40"/>
            </w:pPr>
            <w:r>
              <w:rPr>
                <w:rFonts w:ascii="Arial" w:cs="Arial" w:eastAsia="Arial" w:hAnsi="Arial"/>
                <w:color w:val="1A1A2E"/>
                <w:sz w:val="22"/>
                <w:szCs w:val="22"/>
              </w:rPr>
              <w:t xml:space="preserve">Uso: Evaluación de ajuste general. Más optimista, menos realista.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80"/>
              <w:left w:type="dxa" w:w="200"/>
              <w:bottom w:type="dxa" w:w="80"/>
              <w:right w:type="dxa" w:w="200"/>
            </w:tcMar>
          </w:tcPr>
          <w:p>
            <w:r>
              <w:rPr>
                <w:rFonts w:ascii="Arial" w:cs="Arial" w:eastAsia="Arial" w:hAnsi="Arial"/>
                <w:b/>
                <w:bCs/>
                <w:color w:val="FFFFFF"/>
                <w:sz w:val="22"/>
                <w:szCs w:val="22"/>
              </w:rPr>
              <w:t xml:space="preserve">E2 — Transferencia entre Proyectos (Cross-Project)</w:t>
            </w:r>
          </w:p>
        </w:tc>
      </w:tr>
      <w:tr>
        <w:tc>
          <w:tcPr>
            <w:tcW w:type="dxa" w:w="9360"/>
            <w:tcBorders>
              <w:top w:val="single" w:color="CCCCCC" w:sz="1"/>
              <w:left w:val="single" w:color="CCCCCC" w:sz="1"/>
              <w:bottom w:val="single" w:color="CCCCCC" w:sz="1"/>
              <w:right w:val="single" w:color="CCCCCC" w:sz="1"/>
            </w:tcBorders>
            <w:shd w:fill="D6EAF8" w:val="clear"/>
            <w:tcMar>
              <w:top w:type="dxa" w:w="120"/>
              <w:left w:type="dxa" w:w="200"/>
              <w:bottom w:type="dxa" w:w="120"/>
              <w:right w:type="dxa" w:w="200"/>
            </w:tcMar>
          </w:tcPr>
          <w:p>
            <w:pPr>
              <w:spacing w:after="40" w:before="40"/>
            </w:pPr>
            <w:r>
              <w:rPr>
                <w:rFonts w:ascii="Arial" w:cs="Arial" w:eastAsia="Arial" w:hAnsi="Arial"/>
                <w:color w:val="1A1A2E"/>
                <w:sz w:val="22"/>
                <w:szCs w:val="22"/>
              </w:rPr>
              <w:t xml:space="preserve">Split A (C1→C3): Entrenamiento en Caso 1 (3.055 muestras), evaluación en Caso 3 (1.874 muestras).</w:t>
            </w:r>
          </w:p>
          <w:p>
            <w:pPr>
              <w:spacing w:after="40" w:before="40"/>
            </w:pPr>
            <w:r>
              <w:rPr>
                <w:rFonts w:ascii="Arial" w:cs="Arial" w:eastAsia="Arial" w:hAnsi="Arial"/>
                <w:color w:val="1A1A2E"/>
                <w:sz w:val="22"/>
                <w:szCs w:val="22"/>
              </w:rPr>
              <w:t xml:space="preserve">Split B (C3→C1): Entrenamiento en Caso 3 (1.874 muestras), evaluación en Caso 1 (3.055 muestras).</w:t>
            </w:r>
          </w:p>
          <w:p>
            <w:pPr>
              <w:spacing w:after="40" w:before="40"/>
            </w:pPr>
            <w:r>
              <w:rPr>
                <w:rFonts w:ascii="Arial" w:cs="Arial" w:eastAsia="Arial" w:hAnsi="Arial"/>
                <w:color w:val="1A1A2E"/>
                <w:sz w:val="22"/>
                <w:szCs w:val="22"/>
              </w:rPr>
              <w:t xml:space="preserve">Uso: Escenario principal de evaluación. Refleja la capacidad de generalización a nuevos proyectos, que es el objetivo real del sistema.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80"/>
              <w:left w:type="dxa" w:w="200"/>
              <w:bottom w:type="dxa" w:w="80"/>
              <w:right w:type="dxa" w:w="200"/>
            </w:tcMar>
          </w:tcPr>
          <w:p>
            <w:r>
              <w:rPr>
                <w:rFonts w:ascii="Arial" w:cs="Arial" w:eastAsia="Arial" w:hAnsi="Arial"/>
                <w:b/>
                <w:bCs/>
                <w:color w:val="FFFFFF"/>
                <w:sz w:val="22"/>
                <w:szCs w:val="22"/>
              </w:rPr>
              <w:t xml:space="preserve">E3 — Leave-One-Department-Out (LODO)</w:t>
            </w:r>
          </w:p>
        </w:tc>
      </w:tr>
      <w:tr>
        <w:tc>
          <w:tcPr>
            <w:tcW w:type="dxa" w:w="9360"/>
            <w:tcBorders>
              <w:top w:val="single" w:color="CCCCCC" w:sz="1"/>
              <w:left w:val="single" w:color="CCCCCC" w:sz="1"/>
              <w:bottom w:val="single" w:color="CCCCCC" w:sz="1"/>
              <w:right w:val="single" w:color="CCCCCC" w:sz="1"/>
            </w:tcBorders>
            <w:shd w:fill="FEFDE7" w:val="clear"/>
            <w:tcMar>
              <w:top w:type="dxa" w:w="120"/>
              <w:left w:type="dxa" w:w="200"/>
              <w:bottom w:type="dxa" w:w="120"/>
              <w:right w:type="dxa" w:w="200"/>
            </w:tcMar>
          </w:tcPr>
          <w:p>
            <w:pPr>
              <w:spacing w:after="40" w:before="40"/>
            </w:pPr>
            <w:r>
              <w:rPr>
                <w:rFonts w:ascii="Arial" w:cs="Arial" w:eastAsia="Arial" w:hAnsi="Arial"/>
                <w:color w:val="1A1A2E"/>
                <w:sz w:val="22"/>
                <w:szCs w:val="22"/>
              </w:rPr>
              <w:t xml:space="preserve">Validación cruzada donde en cada fold, un departamento se excluye del entrenamiento y se usa como conjunto de test.</w:t>
            </w:r>
          </w:p>
          <w:p>
            <w:pPr>
              <w:spacing w:after="40" w:before="40"/>
            </w:pPr>
            <w:r>
              <w:rPr>
                <w:rFonts w:ascii="Arial" w:cs="Arial" w:eastAsia="Arial" w:hAnsi="Arial"/>
                <w:color w:val="1A1A2E"/>
                <w:sz w:val="22"/>
                <w:szCs w:val="22"/>
              </w:rPr>
              <w:t xml:space="preserve">Se aplicó únicamente a departamentos con al menos 30 muestras (34 departamentos evaluados).</w:t>
            </w:r>
          </w:p>
          <w:p>
            <w:pPr>
              <w:spacing w:after="40" w:before="40"/>
            </w:pPr>
            <w:r>
              <w:rPr>
                <w:rFonts w:ascii="Arial" w:cs="Arial" w:eastAsia="Arial" w:hAnsi="Arial"/>
                <w:color w:val="1A1A2E"/>
                <w:sz w:val="22"/>
                <w:szCs w:val="22"/>
              </w:rPr>
              <w:t xml:space="preserve">Uso: Evalúa la capacidad de generalización a departamentos no vistos durante el entrenamiento.</w:t>
            </w:r>
          </w:p>
        </w:tc>
      </w:tr>
    </w:tbl>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La verificación de solapamiento entre train y test en todos los esquemas arrojó 0 muestras compartidas, confirmando la ausencia de data leakage.</w:t>
      </w:r>
    </w:p>
    <w:p>
      <w:r>
        <w:br w:type="page"/>
      </w:r>
    </w:p>
    <w:p>
      <w:pPr>
        <w:pStyle w:val="Heading1"/>
      </w:pPr>
      <w:r>
        <w:rPr>
          <w:rFonts w:ascii="Arial" w:cs="Arial" w:eastAsia="Arial" w:hAnsi="Arial"/>
          <w:b/>
          <w:bCs/>
          <w:color w:val="1A5276"/>
          <w:sz w:val="36"/>
          <w:szCs w:val="36"/>
        </w:rPr>
        <w:t xml:space="preserve">3. Fase 2: Modelos Baseline</w:t>
      </w:r>
    </w:p>
    <w:p>
      <w:pPr>
        <w:pStyle w:val="Heading2"/>
      </w:pPr>
      <w:r>
        <w:rPr>
          <w:rFonts w:ascii="Arial" w:cs="Arial" w:eastAsia="Arial" w:hAnsi="Arial"/>
          <w:b/>
          <w:bCs/>
          <w:color w:val="1A5276"/>
          <w:sz w:val="28"/>
          <w:szCs w:val="28"/>
        </w:rPr>
        <w:t xml:space="preserve">3.1 Modelos de Series Temporales Clásicas</w:t>
      </w:r>
    </w:p>
    <w:p>
      <w:pPr>
        <w:spacing w:after="100" w:before="80"/>
        <w:jc w:val="both"/>
      </w:pPr>
      <w:r>
        <w:rPr>
          <w:rFonts w:ascii="Arial" w:cs="Arial" w:eastAsia="Arial" w:hAnsi="Arial"/>
          <w:b w:val="false"/>
          <w:bCs w:val="false"/>
          <w:color w:val="1A1A2E"/>
          <w:sz w:val="22"/>
          <w:szCs w:val="22"/>
        </w:rPr>
        <w:t xml:space="preserve">El primer grupo de modelos evaluados fueron los modelos clásicos de series temporales: AR(4), ARIMA(1,1,1), SARIMA(1,1,1)(1,0,0,13), Holt y Holt-Winters. Estos modelos se ajustaron por separado para cada serie (Caso, Departamento) y su evaluación se realizó en el esquema E2 (C1→C3).</w:t>
      </w:r>
    </w:p>
    <w:p>
      <w:pPr>
        <w:spacing w:after="100" w:before="80"/>
        <w:jc w:val="both"/>
      </w:pPr>
      <w:r>
        <w:rPr>
          <w:rFonts w:ascii="Arial" w:cs="Arial" w:eastAsia="Arial" w:hAnsi="Arial"/>
          <w:b w:val="false"/>
          <w:bCs w:val="false"/>
          <w:color w:val="1A1A2E"/>
          <w:sz w:val="22"/>
          <w:szCs w:val="22"/>
        </w:rPr>
        <w:t xml:space="preserve">Para garantizar la robustez del proceso, se implementó un pipeline de preprocesamiento específico para series temporales: reconstrucción del índice temporal semanal continuo, interpolación lineal de valores faltantes (hasta un máximo del 25% de la serie), y limitación de predicciones explosivas mediante clipping adaptativo.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930"/>
        <w:gridCol w:w="193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 medio</w:t>
            </w:r>
          </w:p>
        </w:tc>
        <w:tc>
          <w:tcPr>
            <w:tcW w:type="dxa" w:w="19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 medio</w:t>
            </w:r>
          </w:p>
        </w:tc>
        <w:tc>
          <w:tcPr>
            <w:tcW w:type="dxa" w:w="19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medio</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SARIMA(1,1,1)(1,0,0,13)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39.02</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-1.59</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33.23</w:t>
            </w:r>
          </w:p>
        </w:tc>
      </w:tr>
      <w:tr>
        <w:tc>
          <w:tcPr>
            <w:tcW w:type="dxa" w:w="3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ARIMA(1,1,1)</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40.22</w:t>
            </w:r>
          </w:p>
        </w:tc>
        <w:tc>
          <w:tcPr>
            <w:tcW w:type="dxa" w:w="19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-1.67</w:t>
            </w:r>
          </w:p>
        </w:tc>
        <w:tc>
          <w:tcPr>
            <w:tcW w:type="dxa" w:w="19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34.17</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AR(4)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45.68</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-2.55</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39.74</w:t>
            </w:r>
          </w:p>
        </w:tc>
      </w:tr>
      <w:tr>
        <w:tc>
          <w:tcPr>
            <w:tcW w:type="dxa" w:w="35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Holt</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46.66</w:t>
            </w:r>
          </w:p>
        </w:tc>
        <w:tc>
          <w:tcPr>
            <w:tcW w:type="dxa" w:w="19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-4.03</w:t>
            </w:r>
          </w:p>
        </w:tc>
        <w:tc>
          <w:tcPr>
            <w:tcW w:type="dxa" w:w="19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38.08</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Holt-Winters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52.88</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-4.34</w:t>
            </w:r>
          </w:p>
        </w:tc>
        <w:tc>
          <w:tcPr>
            <w:tcW w:type="dxa" w:w="1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43.89</w:t>
            </w:r>
          </w:p>
        </w:tc>
      </w:tr>
    </w:tbl>
    <w:p>
      <w:pPr>
        <w:spacing w:after="160" w:before="40"/>
        <w:jc w:val="center"/>
      </w:pPr>
      <w:r>
        <w:rPr>
          <w:rFonts w:ascii="Arial" w:cs="Arial" w:eastAsia="Arial" w:hAnsi="Arial"/>
          <w:color w:val="666666"/>
          <w:sz w:val="18"/>
          <w:szCs w:val="18"/>
        </w:rPr>
        <w:t xml:space="preserve">Tabla 3. Resultados de modelos de series temporales clásicas (media sobre departamentos evaluados).</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Los valores de R² negativos son diagnósticos: indican que todos los modelos de series temporales tienen un rendimiento inferior a una predicción con la media. La causa principal es la falta de continuidad temporal entre el conjunto de entrenamiento (Caso 1) y el de test (Caso 3): el modelo aprende la dinámica de un proyecto y no puede extrapolarla a otro con distribución diferente.</w:t>
      </w:r>
    </w:p>
    <w:p>
      <w:pPr>
        <w:spacing w:after="100" w:before="80"/>
        <w:jc w:val="both"/>
      </w:pPr>
      <w:r>
        <w:rPr>
          <w:rFonts w:ascii="Arial" w:cs="Arial" w:eastAsia="Arial" w:hAnsi="Arial"/>
          <w:b w:val="false"/>
          <w:bCs w:val="false"/>
          <w:color w:val="1A1A2E"/>
          <w:sz w:val="22"/>
          <w:szCs w:val="22"/>
        </w:rPr>
        <w:t xml:space="preserve">Las predicciones generadas por ARIMA y SARIMA son esencialmente constantes, alineadas con la media del período de entrenamiento, incapaces de capturar la variabilidad real de la serie en el proyecto de evaluación.</w:t>
      </w:r>
    </w:p>
    <w:p>
      <w:pPr>
        <w:pStyle w:val="Heading2"/>
      </w:pPr>
      <w:r>
        <w:rPr>
          <w:rFonts w:ascii="Arial" w:cs="Arial" w:eastAsia="Arial" w:hAnsi="Arial"/>
          <w:b/>
          <w:bCs/>
          <w:color w:val="1A5276"/>
          <w:sz w:val="28"/>
          <w:szCs w:val="28"/>
        </w:rPr>
        <w:t xml:space="preserve">3.2 Modelos de Regresión Supervisada</w:t>
      </w:r>
    </w:p>
    <w:p>
      <w:pPr>
        <w:spacing w:after="100" w:before="80"/>
        <w:jc w:val="both"/>
      </w:pPr>
      <w:r>
        <w:rPr>
          <w:rFonts w:ascii="Arial" w:cs="Arial" w:eastAsia="Arial" w:hAnsi="Arial"/>
          <w:b w:val="false"/>
          <w:bCs w:val="false"/>
          <w:color w:val="1A1A2E"/>
          <w:sz w:val="22"/>
          <w:szCs w:val="22"/>
        </w:rPr>
        <w:t xml:space="preserve">A diferencia de los modelos de series temporales, los modelos de regresión supervisada no intentan modelar la dinámica temporal de forma explícita, sino que tratan el problema como una regresión donde el target (HR_ACTUAL en la semana t) se predice a partir de un conjunto de variables explicativas, incluyendo lags del target y variables estructurales del proyecto.</w:t>
      </w:r>
    </w:p>
    <w:p>
      <w:pPr>
        <w:spacing w:after="100" w:before="80"/>
        <w:jc w:val="both"/>
      </w:pPr>
      <w:r>
        <w:rPr>
          <w:rFonts w:ascii="Arial" w:cs="Arial" w:eastAsia="Arial" w:hAnsi="Arial"/>
          <w:b w:val="false"/>
          <w:bCs w:val="false"/>
          <w:color w:val="1A1A2E"/>
          <w:sz w:val="22"/>
          <w:szCs w:val="22"/>
        </w:rPr>
        <w:t xml:space="preserve">Se implementaron y evaluaron nueve modelos distintos con Pipeline estandarizado (StandardScaler + modelo):</w:t>
      </w:r>
    </w:p>
    <w:p>
      <w:pPr>
        <w:pStyle w:val="ListParagraph"/>
        <w:numPr>
          <w:ilvl w:val="0"/>
          <w:numId w:val="2"/>
        </w:numPr>
        <w:spacing w:after="40" w:before="40"/>
      </w:pPr>
      <w:r>
        <w:rPr>
          <w:rFonts w:ascii="Arial" w:cs="Arial" w:eastAsia="Arial" w:hAnsi="Arial"/>
          <w:color w:val="1A1A2E"/>
          <w:sz w:val="22"/>
          <w:szCs w:val="22"/>
        </w:rPr>
        <w:t xml:space="preserve">Modelos lineales: Regresión Lineal, Ridge (α=1.0), Lasso (α=0.1), ElasticNet (α=0.1, l1_ratio=0.5)</w:t>
      </w:r>
    </w:p>
    <w:p>
      <w:pPr>
        <w:pStyle w:val="ListParagraph"/>
        <w:numPr>
          <w:ilvl w:val="0"/>
          <w:numId w:val="2"/>
        </w:numPr>
        <w:spacing w:after="40" w:before="40"/>
      </w:pPr>
      <w:r>
        <w:rPr>
          <w:rFonts w:ascii="Arial" w:cs="Arial" w:eastAsia="Arial" w:hAnsi="Arial"/>
          <w:color w:val="1A1A2E"/>
          <w:sz w:val="22"/>
          <w:szCs w:val="22"/>
        </w:rPr>
        <w:t xml:space="preserve">Modelos no lineales: SVR (C=10, ε=0.5), K-Vecinos (k=7)</w:t>
      </w:r>
    </w:p>
    <w:p>
      <w:pPr>
        <w:pStyle w:val="ListParagraph"/>
        <w:numPr>
          <w:ilvl w:val="0"/>
          <w:numId w:val="2"/>
        </w:numPr>
        <w:spacing w:after="40" w:before="40"/>
      </w:pPr>
      <w:r>
        <w:rPr>
          <w:rFonts w:ascii="Arial" w:cs="Arial" w:eastAsia="Arial" w:hAnsi="Arial"/>
          <w:color w:val="1A1A2E"/>
          <w:sz w:val="22"/>
          <w:szCs w:val="22"/>
        </w:rPr>
        <w:t xml:space="preserve">Modelos de ensemble: Random Forest (200 estimadores), Gradient Boosting (200 estimadores, lr=0.05, max_depth=4), AdaBoost (100 estimadores)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900"/>
        <w:gridCol w:w="1430"/>
        <w:gridCol w:w="143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 (E1)</w:t>
            </w:r>
          </w:p>
        </w:tc>
        <w:tc>
          <w:tcPr>
            <w:tcW w:type="dxa" w:w="19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 (E2: C1→C3)</w:t>
            </w:r>
          </w:p>
        </w:tc>
        <w:tc>
          <w:tcPr>
            <w:tcW w:type="dxa" w:w="14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 (E2)</w:t>
            </w:r>
          </w:p>
        </w:tc>
        <w:tc>
          <w:tcPr>
            <w:tcW w:type="dxa" w:w="143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 (E2)</w:t>
            </w:r>
          </w:p>
        </w:tc>
      </w:tr>
      <w:tr>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Lasso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16.11</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13.85</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0.929</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7.57</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LinearRegression</w:t>
            </w:r>
          </w:p>
        </w:tc>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16.13</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13.95</w:t>
            </w:r>
          </w:p>
        </w:tc>
        <w:tc>
          <w:tcPr>
            <w:tcW w:type="dxa" w:w="14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0.928</w:t>
            </w:r>
          </w:p>
        </w:tc>
        <w:tc>
          <w:tcPr>
            <w:tcW w:type="dxa" w:w="14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7.80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Ridge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16.13</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13.95</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0.928</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7.80</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ElasticNet</w:t>
            </w:r>
          </w:p>
        </w:tc>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16.17</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14.15</w:t>
            </w:r>
          </w:p>
        </w:tc>
        <w:tc>
          <w:tcPr>
            <w:tcW w:type="dxa" w:w="14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0.926</w:t>
            </w:r>
          </w:p>
        </w:tc>
        <w:tc>
          <w:tcPr>
            <w:tcW w:type="dxa" w:w="14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8.10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GradientBoosting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15.68</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18.01</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0.880</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10.34</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RandomForest</w:t>
            </w:r>
          </w:p>
        </w:tc>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16.13</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18.50</w:t>
            </w:r>
          </w:p>
        </w:tc>
        <w:tc>
          <w:tcPr>
            <w:tcW w:type="dxa" w:w="14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0.873</w:t>
            </w:r>
          </w:p>
        </w:tc>
        <w:tc>
          <w:tcPr>
            <w:tcW w:type="dxa" w:w="14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11.34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AdaBoost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18.87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20.21</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0.848</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12.52</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SVR</w:t>
            </w:r>
          </w:p>
        </w:tc>
        <w:tc>
          <w:tcPr>
            <w:tcW w:type="dxa" w:w="1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22.79</w:t>
            </w:r>
          </w:p>
        </w:tc>
        <w:tc>
          <w:tcPr>
            <w:tcW w:type="dxa" w:w="19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22.06</w:t>
            </w:r>
          </w:p>
        </w:tc>
        <w:tc>
          <w:tcPr>
            <w:tcW w:type="dxa" w:w="14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0.819</w:t>
            </w:r>
          </w:p>
        </w:tc>
        <w:tc>
          <w:tcPr>
            <w:tcW w:type="dxa" w:w="143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10.80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KNeighbors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18.47</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27.91</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0.711</w:t>
            </w:r>
          </w:p>
        </w:tc>
        <w:tc>
          <w:tcPr>
            <w:tcW w:type="dxa" w:w="1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15.94</w:t>
            </w:r>
          </w:p>
        </w:tc>
      </w:tr>
    </w:tbl>
    <w:p>
      <w:pPr>
        <w:spacing w:after="160" w:before="40"/>
        <w:jc w:val="center"/>
      </w:pPr>
      <w:r>
        <w:rPr>
          <w:rFonts w:ascii="Arial" w:cs="Arial" w:eastAsia="Arial" w:hAnsi="Arial"/>
          <w:color w:val="666666"/>
          <w:sz w:val="18"/>
          <w:szCs w:val="18"/>
        </w:rPr>
        <w:t xml:space="preserve">Tabla 4. Comparativa de modelos de regresión supervisada. ★ = Mejor modelo seleccionado como baseline.</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El resultado más relevante es la inversión del ranking entre E1 y E2: los modelos de árboles (GB, RF) obtienen el mejor RMSE en E1 (escenario controlado) pero los peores en E2 (escenario real cross-project). Por el contrario, los modelos lineales regularizados son los más robustos y generalizan mejor al Caso 3.</w:t>
      </w:r>
    </w:p>
    <w:p>
      <w:pPr>
        <w:spacing w:after="100" w:before="80"/>
        <w:jc w:val="both"/>
      </w:pPr>
      <w:r>
        <w:rPr>
          <w:rFonts w:ascii="Arial" w:cs="Arial" w:eastAsia="Arial" w:hAnsi="Arial"/>
          <w:b w:val="false"/>
          <w:bCs w:val="false"/>
          <w:color w:val="1A1A2E"/>
          <w:sz w:val="22"/>
          <w:szCs w:val="22"/>
        </w:rPr>
        <w:t xml:space="preserve">Lasso es seleccionado como baseline principal con RMSE = 13.85 h/semana y R² = 0.929 en el escenario real. El análisis de importancia de variables muestra que HR_ACTUAL_t1 concentra más del 90% de la importancia en los modelos de árboles, lo que revela que el sistema presenta un comportamiento fuertemente autoregresivo.</w:t>
      </w:r>
    </w:p>
    <w:p>
      <w:pPr>
        <w:pStyle w:val="Heading2"/>
      </w:pPr>
      <w:r>
        <w:rPr>
          <w:rFonts w:ascii="Arial" w:cs="Arial" w:eastAsia="Arial" w:hAnsi="Arial"/>
          <w:b/>
          <w:bCs/>
          <w:color w:val="1A5276"/>
          <w:sz w:val="28"/>
          <w:szCs w:val="28"/>
        </w:rPr>
        <w:t xml:space="preserve">3.3 Análisis de Residuos del Mejor Modelo (Lasso)</w:t>
      </w:r>
    </w:p>
    <w:p>
      <w:pPr>
        <w:spacing w:after="100" w:before="80"/>
        <w:jc w:val="both"/>
      </w:pPr>
      <w:r>
        <w:rPr>
          <w:rFonts w:ascii="Arial" w:cs="Arial" w:eastAsia="Arial" w:hAnsi="Arial"/>
          <w:b w:val="false"/>
          <w:bCs w:val="false"/>
          <w:color w:val="1A1A2E"/>
          <w:sz w:val="22"/>
          <w:szCs w:val="22"/>
        </w:rPr>
        <w:t xml:space="preserve">El análisis de residuos del modelo Lasso en el escenario E2 (C1→C3) revela las siguientes propiedades estadísticas:</w:t>
      </w:r>
    </w:p>
    <w:p>
      <w:pPr>
        <w:pStyle w:val="ListParagraph"/>
        <w:numPr>
          <w:ilvl w:val="0"/>
          <w:numId w:val="2"/>
        </w:numPr>
        <w:spacing w:after="40" w:before="40"/>
      </w:pPr>
      <w:r>
        <w:rPr>
          <w:rFonts w:ascii="Arial" w:cs="Arial" w:eastAsia="Arial" w:hAnsi="Arial"/>
          <w:color w:val="1A1A2E"/>
          <w:sz w:val="22"/>
          <w:szCs w:val="22"/>
        </w:rPr>
        <w:t xml:space="preserve">Durbin-Watson: 2.702 (valor próximo a 2, indica ausencia de autocorrelación temporal en los residuos).</w:t>
      </w:r>
    </w:p>
    <w:p>
      <w:pPr>
        <w:pStyle w:val="ListParagraph"/>
        <w:numPr>
          <w:ilvl w:val="0"/>
          <w:numId w:val="2"/>
        </w:numPr>
        <w:spacing w:after="40" w:before="40"/>
      </w:pPr>
      <w:r>
        <w:rPr>
          <w:rFonts w:ascii="Arial" w:cs="Arial" w:eastAsia="Arial" w:hAnsi="Arial"/>
          <w:color w:val="1A1A2E"/>
          <w:sz w:val="22"/>
          <w:szCs w:val="22"/>
        </w:rPr>
        <w:t xml:space="preserve">Jarque-Bera: estadístico = 31.608, p-valor = 0.0000 (los residuos no siguen una distribución normal, lo que se debe principalmente a outliers extremos con errores de hasta 165.9 h).</w:t>
      </w:r>
    </w:p>
    <w:p>
      <w:pPr>
        <w:pStyle w:val="ListParagraph"/>
        <w:numPr>
          <w:ilvl w:val="0"/>
          <w:numId w:val="2"/>
        </w:numPr>
        <w:spacing w:after="40" w:before="40"/>
      </w:pPr>
      <w:r>
        <w:rPr>
          <w:rFonts w:ascii="Arial" w:cs="Arial" w:eastAsia="Arial" w:hAnsi="Arial"/>
          <w:color w:val="1A1A2E"/>
          <w:sz w:val="22"/>
          <w:szCs w:val="22"/>
        </w:rPr>
        <w:t xml:space="preserve">Media de residuos: 0.36 h (prácticamente nula, el modelo no presenta sesgo sistemático).</w:t>
      </w:r>
    </w:p>
    <w:p>
      <w:pPr>
        <w:pStyle w:val="ListParagraph"/>
        <w:numPr>
          <w:ilvl w:val="0"/>
          <w:numId w:val="2"/>
        </w:numPr>
        <w:spacing w:after="40" w:before="40"/>
      </w:pPr>
      <w:r>
        <w:rPr>
          <w:rFonts w:ascii="Arial" w:cs="Arial" w:eastAsia="Arial" w:hAnsi="Arial"/>
          <w:color w:val="1A1A2E"/>
          <w:sz w:val="22"/>
          <w:szCs w:val="22"/>
        </w:rPr>
        <w:t xml:space="preserve">Desviación estándar de residuos: 13.85 h (equivalente al RMSE, coherente con el análisis).</w:t>
      </w:r>
    </w:p>
    <w:p>
      <w:pPr>
        <w:spacing w:after="100" w:before="80"/>
        <w:jc w:val="both"/>
      </w:pPr>
      <w:r>
        <w:rPr>
          <w:rFonts w:ascii="Arial" w:cs="Arial" w:eastAsia="Arial" w:hAnsi="Arial"/>
          <w:b w:val="false"/>
          <w:bCs w:val="false"/>
          <w:color w:val="1A1A2E"/>
          <w:sz w:val="22"/>
          <w:szCs w:val="22"/>
        </w:rPr>
        <w:t xml:space="preserve">La presencia de residuos no normales es esperable en este tipo de datos industriales, donde existen picos de carga atípicos que ningún modelo puede predecir con precisión. Esta limitación es inherente al problema, no al modelo elegido.</w:t>
      </w:r>
    </w:p>
    <w:p>
      <w:r>
        <w:br w:type="page"/>
      </w:r>
    </w:p>
    <w:p>
      <w:pPr>
        <w:pStyle w:val="Heading1"/>
      </w:pPr>
      <w:r>
        <w:rPr>
          <w:rFonts w:ascii="Arial" w:cs="Arial" w:eastAsia="Arial" w:hAnsi="Arial"/>
          <w:b/>
          <w:bCs/>
          <w:color w:val="1A5276"/>
          <w:sz w:val="36"/>
          <w:szCs w:val="36"/>
        </w:rPr>
        <w:t xml:space="preserve">4. Fase 3: Modelos Temporales LSTM/GRU</w:t>
      </w:r>
    </w:p>
    <w:p>
      <w:pPr>
        <w:pStyle w:val="Heading2"/>
      </w:pPr>
      <w:r>
        <w:rPr>
          <w:rFonts w:ascii="Arial" w:cs="Arial" w:eastAsia="Arial" w:hAnsi="Arial"/>
          <w:b/>
          <w:bCs/>
          <w:color w:val="1A5276"/>
          <w:sz w:val="28"/>
          <w:szCs w:val="28"/>
        </w:rPr>
        <w:t xml:space="preserve">4.1 Construcción de Ventanas Temporales</w:t>
      </w:r>
    </w:p>
    <w:p>
      <w:pPr>
        <w:spacing w:after="100" w:before="80"/>
        <w:jc w:val="both"/>
      </w:pPr>
      <w:r>
        <w:rPr>
          <w:rFonts w:ascii="Arial" w:cs="Arial" w:eastAsia="Arial" w:hAnsi="Arial"/>
          <w:b w:val="false"/>
          <w:bCs w:val="false"/>
          <w:color w:val="1A1A2E"/>
          <w:sz w:val="22"/>
          <w:szCs w:val="22"/>
        </w:rPr>
        <w:t xml:space="preserve">Para entrenar modelos recurrentes, se transformó el dataset tabular en secuencias de longitud k mediante el método de ventana deslizante (sliding window). El proceso respeta la estructura del problema:</w:t>
      </w:r>
    </w:p>
    <w:p>
      <w:pPr>
        <w:pStyle w:val="ListParagraph"/>
        <w:numPr>
          <w:ilvl w:val="0"/>
          <w:numId w:val="2"/>
        </w:numPr>
        <w:spacing w:after="40" w:before="40"/>
      </w:pPr>
      <w:r>
        <w:rPr>
          <w:rFonts w:ascii="Arial" w:cs="Arial" w:eastAsia="Arial" w:hAnsi="Arial"/>
          <w:color w:val="1A1A2E"/>
          <w:sz w:val="22"/>
          <w:szCs w:val="22"/>
        </w:rPr>
        <w:t xml:space="preserve">Las ventanas se construyen por separado para cada par (Caso, Departamento), evitando mezclar series de departamentos distintos.</w:t>
      </w:r>
    </w:p>
    <w:p>
      <w:pPr>
        <w:pStyle w:val="ListParagraph"/>
        <w:numPr>
          <w:ilvl w:val="0"/>
          <w:numId w:val="2"/>
        </w:numPr>
        <w:spacing w:after="40" w:before="40"/>
      </w:pPr>
      <w:r>
        <w:rPr>
          <w:rFonts w:ascii="Arial" w:cs="Arial" w:eastAsia="Arial" w:hAnsi="Arial"/>
          <w:color w:val="1A1A2E"/>
          <w:sz w:val="22"/>
          <w:szCs w:val="22"/>
        </w:rPr>
        <w:t xml:space="preserve">Cada muestra de entrada tiene forma (k, n_features), donde k es la longitud de la ventana y n_features = 8 variables secuenciales.</w:t>
      </w:r>
    </w:p>
    <w:p>
      <w:pPr>
        <w:pStyle w:val="ListParagraph"/>
        <w:numPr>
          <w:ilvl w:val="0"/>
          <w:numId w:val="2"/>
        </w:numPr>
        <w:spacing w:after="40" w:before="40"/>
      </w:pPr>
      <w:r>
        <w:rPr>
          <w:rFonts w:ascii="Arial" w:cs="Arial" w:eastAsia="Arial" w:hAnsi="Arial"/>
          <w:color w:val="1A1A2E"/>
          <w:sz w:val="22"/>
          <w:szCs w:val="22"/>
        </w:rPr>
        <w:t xml:space="preserve">El target es el valor de HR_ACTUAL en el paso t, usando los pasos t-k...t-1 como contexto.</w:t>
      </w:r>
    </w:p>
    <w:p>
      <w:pPr>
        <w:pStyle w:val="ListParagraph"/>
        <w:numPr>
          <w:ilvl w:val="0"/>
          <w:numId w:val="2"/>
        </w:numPr>
        <w:spacing w:after="40" w:before="40"/>
      </w:pPr>
      <w:r>
        <w:rPr>
          <w:rFonts w:ascii="Arial" w:cs="Arial" w:eastAsia="Arial" w:hAnsi="Arial"/>
          <w:color w:val="1A1A2E"/>
          <w:sz w:val="22"/>
          <w:szCs w:val="22"/>
        </w:rPr>
        <w:t xml:space="preserve">El escalado (StandardScaler) se ajusta únicamente sobre los datos de entrenamiento (Caso 1) y se aplica también al conjunto de test, evitando fuga de información.</w:t>
      </w:r>
    </w:p>
    <w:p>
      <w:pPr>
        <w:pStyle w:val="ListParagraph"/>
        <w:numPr>
          <w:ilvl w:val="0"/>
          <w:numId w:val="2"/>
        </w:numPr>
        <w:spacing w:after="40" w:before="40"/>
      </w:pPr>
      <w:r>
        <w:rPr>
          <w:rFonts w:ascii="Arial" w:cs="Arial" w:eastAsia="Arial" w:hAnsi="Arial"/>
          <w:color w:val="1A1A2E"/>
          <w:sz w:val="22"/>
          <w:szCs w:val="22"/>
        </w:rPr>
        <w:t xml:space="preserve">La normalización del target se realiza usando la media y desviación estándar del conjunto de entrenamiento, y las predicciones se desnormalizan antes de calcular métricas.</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Las variables secuenciales utilizadas fueron: HR_ACTUAL (historial), HR_INICIAL, Mes_sin, Mes_cos, Semana_sin, Semana_cos, Dias_desde_inicio, Dias_hasta_fin.</w:t>
      </w:r>
    </w:p>
    <w:p>
      <w:pPr>
        <w:spacing w:after="100" w:before="80"/>
        <w:jc w:val="both"/>
      </w:pPr>
      <w:r>
        <w:rPr>
          <w:rFonts w:ascii="Arial" w:cs="Arial" w:eastAsia="Arial" w:hAnsi="Arial"/>
          <w:b w:val="false"/>
          <w:bCs w:val="false"/>
          <w:color w:val="1A1A2E"/>
          <w:sz w:val="22"/>
          <w:szCs w:val="22"/>
        </w:rPr>
        <w:t xml:space="preserve">El resultado con k=8 fue: 2.789 ventanas de entrenamiento (Caso 1) y 1.725 de test (Caso 3), con forma (k=8, n_features=8) cada una.</w:t>
      </w:r>
    </w:p>
    <w:p>
      <w:pPr>
        <w:pStyle w:val="Heading2"/>
      </w:pPr>
      <w:r>
        <w:rPr>
          <w:rFonts w:ascii="Arial" w:cs="Arial" w:eastAsia="Arial" w:hAnsi="Arial"/>
          <w:b/>
          <w:bCs/>
          <w:color w:val="1A5276"/>
          <w:sz w:val="28"/>
          <w:szCs w:val="28"/>
        </w:rPr>
        <w:t xml:space="preserve">4.2 Arquitectura 1: LSTM Simple</w:t>
      </w:r>
    </w:p>
    <w:p>
      <w:pPr>
        <w:spacing w:after="100" w:before="80"/>
        <w:jc w:val="both"/>
      </w:pPr>
      <w:r>
        <w:rPr>
          <w:rFonts w:ascii="Arial" w:cs="Arial" w:eastAsia="Arial" w:hAnsi="Arial"/>
          <w:b w:val="false"/>
          <w:bCs w:val="false"/>
          <w:color w:val="1A1A2E"/>
          <w:sz w:val="22"/>
          <w:szCs w:val="22"/>
        </w:rPr>
        <w:t xml:space="preserve">La arquitectura LSTM simple consiste en dos capas LSTM apiladas con dropout intermedio:</w:t>
      </w:r>
    </w:p>
    <w:p>
      <w:pPr>
        <w:pStyle w:val="ListParagraph"/>
        <w:numPr>
          <w:ilvl w:val="0"/>
          <w:numId w:val="2"/>
        </w:numPr>
        <w:spacing w:after="40" w:before="40"/>
      </w:pPr>
      <w:r>
        <w:rPr>
          <w:rFonts w:ascii="Arial" w:cs="Arial" w:eastAsia="Arial" w:hAnsi="Arial"/>
          <w:color w:val="1A1A2E"/>
          <w:sz w:val="22"/>
          <w:szCs w:val="22"/>
        </w:rPr>
        <w:t xml:space="preserve">Capa LSTM 1: 64 unidades, return_sequences=True, Dropout(0.2)</w:t>
      </w:r>
    </w:p>
    <w:p>
      <w:pPr>
        <w:pStyle w:val="ListParagraph"/>
        <w:numPr>
          <w:ilvl w:val="0"/>
          <w:numId w:val="2"/>
        </w:numPr>
        <w:spacing w:after="40" w:before="40"/>
      </w:pPr>
      <w:r>
        <w:rPr>
          <w:rFonts w:ascii="Arial" w:cs="Arial" w:eastAsia="Arial" w:hAnsi="Arial"/>
          <w:color w:val="1A1A2E"/>
          <w:sz w:val="22"/>
          <w:szCs w:val="22"/>
        </w:rPr>
        <w:t xml:space="preserve">Capa LSTM 2: 32 unidades, return_sequences=False, Dropout(0.2)</w:t>
      </w:r>
    </w:p>
    <w:p>
      <w:pPr>
        <w:pStyle w:val="ListParagraph"/>
        <w:numPr>
          <w:ilvl w:val="0"/>
          <w:numId w:val="2"/>
        </w:numPr>
        <w:spacing w:after="40" w:before="40"/>
      </w:pPr>
      <w:r>
        <w:rPr>
          <w:rFonts w:ascii="Arial" w:cs="Arial" w:eastAsia="Arial" w:hAnsi="Arial"/>
          <w:color w:val="1A1A2E"/>
          <w:sz w:val="22"/>
          <w:szCs w:val="22"/>
        </w:rPr>
        <w:t xml:space="preserve">Capa Dense 1: 16 neuronas, activación ReLU</w:t>
      </w:r>
    </w:p>
    <w:p>
      <w:pPr>
        <w:pStyle w:val="ListParagraph"/>
        <w:numPr>
          <w:ilvl w:val="0"/>
          <w:numId w:val="2"/>
        </w:numPr>
        <w:spacing w:after="40" w:before="40"/>
      </w:pPr>
      <w:r>
        <w:rPr>
          <w:rFonts w:ascii="Arial" w:cs="Arial" w:eastAsia="Arial" w:hAnsi="Arial"/>
          <w:color w:val="1A1A2E"/>
          <w:sz w:val="22"/>
          <w:szCs w:val="22"/>
        </w:rPr>
        <w:t xml:space="preserve">Capa Dense salida: 1 neurona (predicción normalizada)</w:t>
      </w:r>
    </w:p>
    <w:p>
      <w:pPr>
        <w:pStyle w:val="ListParagraph"/>
        <w:numPr>
          <w:ilvl w:val="0"/>
          <w:numId w:val="2"/>
        </w:numPr>
        <w:spacing w:after="40" w:before="40"/>
      </w:pPr>
      <w:r>
        <w:rPr>
          <w:rFonts w:ascii="Arial" w:cs="Arial" w:eastAsia="Arial" w:hAnsi="Arial"/>
          <w:color w:val="1A1A2E"/>
          <w:sz w:val="22"/>
          <w:szCs w:val="22"/>
        </w:rPr>
        <w:t xml:space="preserve">Total parámetros entrenables: 31.649 (≈124 KB)</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El entrenamiento se realizó con optimizador Adam (lr=0.001), función de pérdida MSE, EarlyStopping (patience=15) y ReduceLROnPlateau (factor=0.5, patience=7). El modelo convergió en 35 épocas con un val_loss mínimo de 0.0155.</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46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RMSE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17.14 h/semana</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R²</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0.8956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MAE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9.95 h/semana</w:t>
            </w:r>
          </w:p>
        </w:tc>
      </w:tr>
      <w:tr>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MedAE</w:t>
            </w:r>
          </w:p>
        </w:tc>
        <w:tc>
          <w:tcPr>
            <w:tcW w:type="dxa" w:w="468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4.90 h/semana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MAPE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27.58%</w:t>
            </w:r>
          </w:p>
        </w:tc>
      </w:tr>
    </w:tbl>
    <w:p>
      <w:pPr>
        <w:spacing w:after="160" w:before="40"/>
        <w:jc w:val="center"/>
      </w:pPr>
      <w:r>
        <w:rPr>
          <w:rFonts w:ascii="Arial" w:cs="Arial" w:eastAsia="Arial" w:hAnsi="Arial"/>
          <w:color w:val="666666"/>
          <w:sz w:val="18"/>
          <w:szCs w:val="18"/>
        </w:rPr>
        <w:t xml:space="preserve">Tabla 5. Métricas del LSTM Simple en escenario E2 (C1→C3).</w:t>
      </w:r>
    </w:p>
    <w:p>
      <w:pPr>
        <w:pStyle w:val="Heading2"/>
      </w:pPr>
      <w:r>
        <w:rPr>
          <w:rFonts w:ascii="Arial" w:cs="Arial" w:eastAsia="Arial" w:hAnsi="Arial"/>
          <w:b/>
          <w:bCs/>
          <w:color w:val="1A5276"/>
          <w:sz w:val="28"/>
          <w:szCs w:val="28"/>
        </w:rPr>
        <w:t xml:space="preserve">4.3 Arquitectura 2: LSTM con Embedding de Departamento</w:t>
      </w:r>
    </w:p>
    <w:p>
      <w:pPr>
        <w:spacing w:after="100" w:before="80"/>
        <w:jc w:val="both"/>
      </w:pPr>
      <w:r>
        <w:rPr>
          <w:rFonts w:ascii="Arial" w:cs="Arial" w:eastAsia="Arial" w:hAnsi="Arial"/>
          <w:b w:val="false"/>
          <w:bCs w:val="false"/>
          <w:color w:val="1A1A2E"/>
          <w:sz w:val="22"/>
          <w:szCs w:val="22"/>
        </w:rPr>
        <w:t xml:space="preserve">Esta arquitectura incorpora el identificador de departamento como un embedding aprendible de dimensión 8, concatenado con la salida del segundo LSTM. La hipótesis es que aprender representaciones específicas por departamento podría mejorar la capacidad predictiva.</w:t>
      </w:r>
    </w:p>
    <w:p>
      <w:pPr>
        <w:spacing w:after="100" w:before="80"/>
        <w:jc w:val="both"/>
      </w:pPr>
      <w:r>
        <w:rPr>
          <w:rFonts w:ascii="Arial" w:cs="Arial" w:eastAsia="Arial" w:hAnsi="Arial"/>
          <w:b w:val="false"/>
          <w:bCs w:val="false"/>
          <w:color w:val="1A1A2E"/>
          <w:sz w:val="22"/>
          <w:szCs w:val="22"/>
        </w:rPr>
        <w:t xml:space="preserve">Sin embargo, el resultado fue el opuesto al esperado: RMSE = 22.76 (vs 17.14 del LSTM simple), R² = 0.8159. La incorporación del embedding degrada significativamente el rendimiento en el escenario cross-project. La explicación es que las representaciones específicas de departamento aprendidas durante el entrenamiento en el Caso 1 no se transfieren bien al Caso 3, donde los departamentos pueden tener dinámicas distintas.</w:t>
      </w:r>
    </w:p>
    <w:p>
      <w:pPr>
        <w:pStyle w:val="Heading2"/>
      </w:pPr>
      <w:r>
        <w:rPr>
          <w:rFonts w:ascii="Arial" w:cs="Arial" w:eastAsia="Arial" w:hAnsi="Arial"/>
          <w:b/>
          <w:bCs/>
          <w:color w:val="1A5276"/>
          <w:sz w:val="28"/>
          <w:szCs w:val="28"/>
        </w:rPr>
        <w:t xml:space="preserve">4.4 Arquitectura 3: GRU Bidireccional (BiGRU)</w:t>
      </w:r>
    </w:p>
    <w:p>
      <w:pPr>
        <w:spacing w:after="100" w:before="80"/>
        <w:jc w:val="both"/>
      </w:pPr>
      <w:r>
        <w:rPr>
          <w:rFonts w:ascii="Arial" w:cs="Arial" w:eastAsia="Arial" w:hAnsi="Arial"/>
          <w:b w:val="false"/>
          <w:bCs w:val="false"/>
          <w:color w:val="1A1A2E"/>
          <w:sz w:val="22"/>
          <w:szCs w:val="22"/>
        </w:rPr>
        <w:t xml:space="preserve">La arquitectura BiGRU utiliza capas GRU bidireccionales para capturar dependencias tanto en la dirección temporal natural como en la inversa:</w:t>
      </w:r>
    </w:p>
    <w:p>
      <w:pPr>
        <w:pStyle w:val="ListParagraph"/>
        <w:numPr>
          <w:ilvl w:val="0"/>
          <w:numId w:val="2"/>
        </w:numPr>
        <w:spacing w:after="40" w:before="40"/>
      </w:pPr>
      <w:r>
        <w:rPr>
          <w:rFonts w:ascii="Arial" w:cs="Arial" w:eastAsia="Arial" w:hAnsi="Arial"/>
          <w:color w:val="1A1A2E"/>
          <w:sz w:val="22"/>
          <w:szCs w:val="22"/>
        </w:rPr>
        <w:t xml:space="preserve">BiGRU 1: 48 unidades por dirección (96 total), return_sequences=True, Dropout(0.25)</w:t>
      </w:r>
    </w:p>
    <w:p>
      <w:pPr>
        <w:pStyle w:val="ListParagraph"/>
        <w:numPr>
          <w:ilvl w:val="0"/>
          <w:numId w:val="2"/>
        </w:numPr>
        <w:spacing w:after="40" w:before="40"/>
      </w:pPr>
      <w:r>
        <w:rPr>
          <w:rFonts w:ascii="Arial" w:cs="Arial" w:eastAsia="Arial" w:hAnsi="Arial"/>
          <w:color w:val="1A1A2E"/>
          <w:sz w:val="22"/>
          <w:szCs w:val="22"/>
        </w:rPr>
        <w:t xml:space="preserve">BiGRU 2: 24 unidades por dirección (48 total), return_sequences=False, Dropout(0.25)</w:t>
      </w:r>
    </w:p>
    <w:p>
      <w:pPr>
        <w:pStyle w:val="ListParagraph"/>
        <w:numPr>
          <w:ilvl w:val="0"/>
          <w:numId w:val="2"/>
        </w:numPr>
        <w:spacing w:after="40" w:before="40"/>
      </w:pPr>
      <w:r>
        <w:rPr>
          <w:rFonts w:ascii="Arial" w:cs="Arial" w:eastAsia="Arial" w:hAnsi="Arial"/>
          <w:color w:val="1A1A2E"/>
          <w:sz w:val="22"/>
          <w:szCs w:val="22"/>
        </w:rPr>
        <w:t xml:space="preserve">BatchNormalization + Dense(1)</w:t>
      </w:r>
    </w:p>
    <w:p>
      <w:pPr>
        <w:pStyle w:val="ListParagraph"/>
        <w:numPr>
          <w:ilvl w:val="0"/>
          <w:numId w:val="2"/>
        </w:numPr>
        <w:spacing w:after="40" w:before="40"/>
      </w:pPr>
      <w:r>
        <w:rPr>
          <w:rFonts w:ascii="Arial" w:cs="Arial" w:eastAsia="Arial" w:hAnsi="Arial"/>
          <w:color w:val="1A1A2E"/>
          <w:sz w:val="22"/>
          <w:szCs w:val="22"/>
        </w:rPr>
        <w:t xml:space="preserve">Total parámetros: 36.001 (≈141 KB)</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El modelo convergió en 51 épocas con val_loss mínima de 0.0209. Los resultados en test: RMSE = 19.40, R² = 0.8661. El modelo es ligeramente peor que el LSTM simple, lo que indica que la bidireccionalidad no aporta ventaja en este contexto donde la información relevante está concentrada en los pasos más recientes.</w:t>
      </w:r>
    </w:p>
    <w:p>
      <w:pPr>
        <w:pStyle w:val="Heading2"/>
      </w:pPr>
      <w:r>
        <w:rPr>
          <w:rFonts w:ascii="Arial" w:cs="Arial" w:eastAsia="Arial" w:hAnsi="Arial"/>
          <w:b/>
          <w:bCs/>
          <w:color w:val="1A5276"/>
          <w:sz w:val="28"/>
          <w:szCs w:val="28"/>
        </w:rPr>
        <w:t xml:space="preserve">4.5 Experimento: Longitud de Ventana Óptima</w:t>
      </w:r>
    </w:p>
    <w:p>
      <w:pPr>
        <w:spacing w:after="100" w:before="80"/>
        <w:jc w:val="both"/>
      </w:pPr>
      <w:r>
        <w:rPr>
          <w:rFonts w:ascii="Arial" w:cs="Arial" w:eastAsia="Arial" w:hAnsi="Arial"/>
          <w:b w:val="false"/>
          <w:bCs w:val="false"/>
          <w:color w:val="1A1A2E"/>
          <w:sz w:val="22"/>
          <w:szCs w:val="22"/>
        </w:rPr>
        <w:t xml:space="preserve">Se evaluó el efecto de la longitud de ventana k sobre el rendimiento de la LSTM simple: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Longitud k</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c>
          <w:tcPr>
            <w:tcW w:type="dxa" w:w="1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c>
          <w:tcPr>
            <w:tcW w:type="dxa" w:w="3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Interpretación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k=4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15.34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0.914</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Mejor rendimiento — memoria corta óptima</w:t>
            </w:r>
          </w:p>
        </w:tc>
      </w:tr>
      <w:tr>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k=8</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17.24</w:t>
            </w:r>
          </w:p>
        </w:tc>
        <w:tc>
          <w:tcPr>
            <w:tcW w:type="dxa" w:w="1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0.894</w:t>
            </w:r>
          </w:p>
        </w:tc>
        <w:tc>
          <w:tcPr>
            <w:tcW w:type="dxa" w:w="3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Degradación leve — ruido histórico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k=12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18.82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0.877</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Peor rendimiento — exceso de contexto inútil</w:t>
            </w:r>
          </w:p>
        </w:tc>
      </w:tr>
    </w:tbl>
    <w:p>
      <w:pPr>
        <w:spacing w:after="160" w:before="40"/>
        <w:jc w:val="center"/>
      </w:pPr>
      <w:r>
        <w:rPr>
          <w:rFonts w:ascii="Arial" w:cs="Arial" w:eastAsia="Arial" w:hAnsi="Arial"/>
          <w:color w:val="666666"/>
          <w:sz w:val="18"/>
          <w:szCs w:val="18"/>
        </w:rPr>
        <w:t xml:space="preserve">Tabla 6. Efecto de la longitud de ventana sobre el RMSE del LSTM Simple.</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El experimento demuestra que la información temporal relevante para predecir la carga semanal se concentra en las 4 semanas inmediatamente anteriores. Ampliar la ventana introduce ruido y empeora el rendimiento, lo que confirma que el problema presenta dependencias temporales de corto alcance.</w:t>
      </w:r>
    </w:p>
    <w:p>
      <w:pPr>
        <w:pStyle w:val="Heading2"/>
      </w:pPr>
      <w:r>
        <w:rPr>
          <w:rFonts w:ascii="Arial" w:cs="Arial" w:eastAsia="Arial" w:hAnsi="Arial"/>
          <w:b/>
          <w:bCs/>
          <w:color w:val="1A5276"/>
          <w:sz w:val="28"/>
          <w:szCs w:val="28"/>
        </w:rPr>
        <w:t xml:space="preserve">4.6 Conclusiones de la Fase 3</w:t>
      </w:r>
    </w:p>
    <w:p>
      <w:pPr>
        <w:spacing w:after="100" w:before="80"/>
        <w:jc w:val="both"/>
      </w:pPr>
      <w:r>
        <w:rPr>
          <w:rFonts w:ascii="Arial" w:cs="Arial" w:eastAsia="Arial" w:hAnsi="Arial"/>
          <w:b w:val="false"/>
          <w:bCs w:val="false"/>
          <w:color w:val="1A1A2E"/>
          <w:sz w:val="22"/>
          <w:szCs w:val="22"/>
        </w:rPr>
        <w:t xml:space="preserve">La principal conclusión de la Fase 3 es que ningún modelo recurrente supera al baseline lineal de la Fase 2. El mejor modelo secuencial (LSTM Simple) presenta un RMSE un 23.8% superior al Lasso.</w:t>
      </w:r>
    </w:p>
    <w:p>
      <w:pPr>
        <w:spacing w:after="100" w:before="80"/>
        <w:jc w:val="both"/>
      </w:pPr>
      <w:r>
        <w:rPr>
          <w:rFonts w:ascii="Arial" w:cs="Arial" w:eastAsia="Arial" w:hAnsi="Arial"/>
          <w:b w:val="false"/>
          <w:bCs w:val="false"/>
          <w:color w:val="1A1A2E"/>
          <w:sz w:val="22"/>
          <w:szCs w:val="22"/>
        </w:rPr>
        <w:t xml:space="preserve">Esto no implica que los modelos LSTM sean malos en términos absolutos (R² ≈ 0.90 es un resultado sólido), sino que la estructura del problema no requiere la complejidad de una red recurrente: las relaciones son predominantemente lineales y las dependencias temporales son de corto alcance, ya capturadas por los lags en los modelos tabulares.</w:t>
      </w:r>
    </w:p>
    <w:p>
      <w:pPr>
        <w:spacing w:after="100" w:before="80"/>
        <w:jc w:val="both"/>
      </w:pPr>
      <w:r>
        <w:rPr>
          <w:rFonts w:ascii="Arial" w:cs="Arial" w:eastAsia="Arial" w:hAnsi="Arial"/>
          <w:b w:val="false"/>
          <w:bCs w:val="false"/>
          <w:color w:val="1A1A2E"/>
          <w:sz w:val="22"/>
          <w:szCs w:val="22"/>
        </w:rPr>
        <w:t xml:space="preserve">Las predicciones visuales del LSTM muestran que el modelo captura correctamente la tendencia general de la serie, pero tiende a suavizar los picos y caídas bruscas, limitando su precisión frente a modelos con variables estructurales explícitas.</w:t>
      </w:r>
    </w:p>
    <w:p>
      <w:r>
        <w:br w:type="page"/>
      </w:r>
    </w:p>
    <w:p>
      <w:pPr>
        <w:pStyle w:val="Heading1"/>
      </w:pPr>
      <w:r>
        <w:rPr>
          <w:rFonts w:ascii="Arial" w:cs="Arial" w:eastAsia="Arial" w:hAnsi="Arial"/>
          <w:b/>
          <w:bCs/>
          <w:color w:val="1A5276"/>
          <w:sz w:val="36"/>
          <w:szCs w:val="36"/>
        </w:rPr>
        <w:t xml:space="preserve">5. Fase 4: Arquitecturas Avanzadas y Ensemble Híbrido</w:t>
      </w:r>
    </w:p>
    <w:p>
      <w:pPr>
        <w:pStyle w:val="Heading2"/>
      </w:pPr>
      <w:r>
        <w:rPr>
          <w:rFonts w:ascii="Arial" w:cs="Arial" w:eastAsia="Arial" w:hAnsi="Arial"/>
          <w:b/>
          <w:bCs/>
          <w:color w:val="1A5276"/>
          <w:sz w:val="28"/>
          <w:szCs w:val="28"/>
        </w:rPr>
        <w:t xml:space="preserve">5.1 Encoder-Decoder Multi-Horizonte</w:t>
      </w:r>
    </w:p>
    <w:p>
      <w:pPr>
        <w:spacing w:after="100" w:before="80"/>
        <w:jc w:val="both"/>
      </w:pPr>
      <w:r>
        <w:rPr>
          <w:rFonts w:ascii="Arial" w:cs="Arial" w:eastAsia="Arial" w:hAnsi="Arial"/>
          <w:b w:val="false"/>
          <w:bCs w:val="false"/>
          <w:color w:val="1A1A2E"/>
          <w:sz w:val="22"/>
          <w:szCs w:val="22"/>
        </w:rPr>
        <w:t xml:space="preserve">El modelo Encoder-Decoder extiende el LSTM convencional a predicción simultánea de múltiples horizontes futuros (H=4 semanas). La arquitectura sigue el paradigma seq2seq:</w:t>
      </w:r>
    </w:p>
    <w:p>
      <w:pPr>
        <w:pStyle w:val="ListParagraph"/>
        <w:numPr>
          <w:ilvl w:val="0"/>
          <w:numId w:val="2"/>
        </w:numPr>
        <w:spacing w:after="40" w:before="40"/>
      </w:pPr>
      <w:r>
        <w:rPr>
          <w:rFonts w:ascii="Arial" w:cs="Arial" w:eastAsia="Arial" w:hAnsi="Arial"/>
          <w:color w:val="1A1A2E"/>
          <w:sz w:val="22"/>
          <w:szCs w:val="22"/>
        </w:rPr>
        <w:t xml:space="preserve">Encoder: LSTM(64) que procesa la secuencia de entrada y devuelve un vector de contexto + estados (state_h, state_c).</w:t>
      </w:r>
    </w:p>
    <w:p>
      <w:pPr>
        <w:pStyle w:val="ListParagraph"/>
        <w:numPr>
          <w:ilvl w:val="0"/>
          <w:numId w:val="2"/>
        </w:numPr>
        <w:spacing w:after="40" w:before="40"/>
      </w:pPr>
      <w:r>
        <w:rPr>
          <w:rFonts w:ascii="Arial" w:cs="Arial" w:eastAsia="Arial" w:hAnsi="Arial"/>
          <w:color w:val="1A1A2E"/>
          <w:sz w:val="22"/>
          <w:szCs w:val="22"/>
        </w:rPr>
        <w:t xml:space="preserve">Decoder: El vector de contexto se repite H veces mediante RepeatVector. Una segunda LSTM(64) genera la secuencia de predicciones, inicializada con los estados del encoder.</w:t>
      </w:r>
    </w:p>
    <w:p>
      <w:pPr>
        <w:pStyle w:val="ListParagraph"/>
        <w:numPr>
          <w:ilvl w:val="0"/>
          <w:numId w:val="2"/>
        </w:numPr>
        <w:spacing w:after="40" w:before="40"/>
      </w:pPr>
      <w:r>
        <w:rPr>
          <w:rFonts w:ascii="Arial" w:cs="Arial" w:eastAsia="Arial" w:hAnsi="Arial"/>
          <w:color w:val="1A1A2E"/>
          <w:sz w:val="22"/>
          <w:szCs w:val="22"/>
        </w:rPr>
        <w:t xml:space="preserve">Salida: TimeDistributed(Dense(1)) produce H predicciones simultáneas. Total parámetros: 51.777.</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El modelo convergió en 57 épocas con val_loss mínima de 0.0187. Los resultados por horizonte muestran una degradación progresiva y controlada: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Horizonte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t+1 (1 semana)</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11.08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18.40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0.8813</w:t>
            </w:r>
          </w:p>
        </w:tc>
      </w:tr>
      <w:tr>
        <w:tc>
          <w:tcPr>
            <w:tcW w:type="dxa" w:w="234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t+2 (2 semanas)</w:t>
            </w:r>
          </w:p>
        </w:tc>
        <w:tc>
          <w:tcPr>
            <w:tcW w:type="dxa" w:w="234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12.99</w:t>
            </w:r>
          </w:p>
        </w:tc>
        <w:tc>
          <w:tcPr>
            <w:tcW w:type="dxa" w:w="234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21.17</w:t>
            </w:r>
          </w:p>
        </w:tc>
        <w:tc>
          <w:tcPr>
            <w:tcW w:type="dxa" w:w="234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0.8430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t+3 (3 semanas)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14.41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23.32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0.8097</w:t>
            </w:r>
          </w:p>
        </w:tc>
      </w:tr>
      <w:tr>
        <w:tc>
          <w:tcPr>
            <w:tcW w:type="dxa" w:w="234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t+4 (4 semanas)</w:t>
            </w:r>
          </w:p>
        </w:tc>
        <w:tc>
          <w:tcPr>
            <w:tcW w:type="dxa" w:w="234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15.54</w:t>
            </w:r>
          </w:p>
        </w:tc>
        <w:tc>
          <w:tcPr>
            <w:tcW w:type="dxa" w:w="234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25.15</w:t>
            </w:r>
          </w:p>
        </w:tc>
        <w:tc>
          <w:tcPr>
            <w:tcW w:type="dxa" w:w="234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0.7792</w:t>
            </w:r>
          </w:p>
        </w:tc>
      </w:tr>
    </w:tbl>
    <w:p>
      <w:pPr>
        <w:spacing w:after="160" w:before="40"/>
        <w:jc w:val="center"/>
      </w:pPr>
      <w:r>
        <w:rPr>
          <w:rFonts w:ascii="Arial" w:cs="Arial" w:eastAsia="Arial" w:hAnsi="Arial"/>
          <w:color w:val="666666"/>
          <w:sz w:val="18"/>
          <w:szCs w:val="18"/>
        </w:rPr>
        <w:t xml:space="preserve">Tabla 7. Degradación de precisión por horizonte en el Encoder-Decoder.</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La degradación es esperable en predicción multi-step: a mayor horizonte, menor precisión. El modelo mantiene R² &gt; 0.77 hasta 4 semanas, lo que lo hace útil para planificación estratégica aunque no supere al baseline en t+1.</w:t>
      </w:r>
    </w:p>
    <w:p>
      <w:pPr>
        <w:pStyle w:val="Heading2"/>
      </w:pPr>
      <w:r>
        <w:rPr>
          <w:rFonts w:ascii="Arial" w:cs="Arial" w:eastAsia="Arial" w:hAnsi="Arial"/>
          <w:b/>
          <w:bCs/>
          <w:color w:val="1A5276"/>
          <w:sz w:val="28"/>
          <w:szCs w:val="28"/>
        </w:rPr>
        <w:t xml:space="preserve">5.2 LSTM con Mecanismo de Atención</w:t>
      </w:r>
    </w:p>
    <w:p>
      <w:pPr>
        <w:spacing w:after="100" w:before="80"/>
        <w:jc w:val="both"/>
      </w:pPr>
      <w:r>
        <w:rPr>
          <w:rFonts w:ascii="Arial" w:cs="Arial" w:eastAsia="Arial" w:hAnsi="Arial"/>
          <w:b w:val="false"/>
          <w:bCs w:val="false"/>
          <w:color w:val="1A1A2E"/>
          <w:sz w:val="22"/>
          <w:szCs w:val="22"/>
        </w:rPr>
        <w:t xml:space="preserve">Se implementó una capa de atención personalizada que asigna pesos de relevancia a cada paso temporal de la secuencia de entrada:</w:t>
      </w:r>
    </w:p>
    <w:p>
      <w:pPr>
        <w:pStyle w:val="ListParagraph"/>
        <w:numPr>
          <w:ilvl w:val="0"/>
          <w:numId w:val="2"/>
        </w:numPr>
        <w:spacing w:after="40" w:before="40"/>
      </w:pPr>
      <w:r>
        <w:rPr>
          <w:rFonts w:ascii="Arial" w:cs="Arial" w:eastAsia="Arial" w:hAnsi="Arial"/>
          <w:color w:val="1A1A2E"/>
          <w:sz w:val="22"/>
          <w:szCs w:val="22"/>
        </w:rPr>
        <w:t xml:space="preserve">LSTM(64) con return_sequences=True para obtener los estados ocultos en cada paso.</w:t>
      </w:r>
    </w:p>
    <w:p>
      <w:pPr>
        <w:pStyle w:val="ListParagraph"/>
        <w:numPr>
          <w:ilvl w:val="0"/>
          <w:numId w:val="2"/>
        </w:numPr>
        <w:spacing w:after="40" w:before="40"/>
      </w:pPr>
      <w:r>
        <w:rPr>
          <w:rFonts w:ascii="Arial" w:cs="Arial" w:eastAsia="Arial" w:hAnsi="Arial"/>
          <w:color w:val="1A1A2E"/>
          <w:sz w:val="22"/>
          <w:szCs w:val="22"/>
        </w:rPr>
        <w:t xml:space="preserve">AttentionLayer: calcula scores mediante una Dense(1), aplica softmax para obtener pesos normalizados, y computa el vector de contexto como suma ponderada de los estados ocultos.</w:t>
      </w:r>
    </w:p>
    <w:p>
      <w:pPr>
        <w:pStyle w:val="ListParagraph"/>
        <w:numPr>
          <w:ilvl w:val="0"/>
          <w:numId w:val="2"/>
        </w:numPr>
        <w:spacing w:after="40" w:before="40"/>
      </w:pPr>
      <w:r>
        <w:rPr>
          <w:rFonts w:ascii="Arial" w:cs="Arial" w:eastAsia="Arial" w:hAnsi="Arial"/>
          <w:color w:val="1A1A2E"/>
          <w:sz w:val="22"/>
          <w:szCs w:val="22"/>
        </w:rPr>
        <w:t xml:space="preserve">Dense(32) + ReLU + Dropout(0.25) + Dense(1). Total parámetros: 20.866.</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El análisis de los attention weights reveló que el peso de atención se concentra abrumadoramente en el paso t-1 (el más reciente), con pesos decrecientes hacia los pasos más antiguos. Este resultado es diagnóstico: confirma la ausencia de dependencias temporales de largo alcance y que la red aprende esencialmente a replicar el valor de la semana anterior.</w:t>
      </w:r>
    </w:p>
    <w:p>
      <w:pPr>
        <w:spacing w:after="100" w:before="80"/>
        <w:jc w:val="both"/>
      </w:pPr>
      <w:r>
        <w:rPr>
          <w:rFonts w:ascii="Arial" w:cs="Arial" w:eastAsia="Arial" w:hAnsi="Arial"/>
          <w:b w:val="false"/>
          <w:bCs w:val="false"/>
          <w:color w:val="1A1A2E"/>
          <w:sz w:val="22"/>
          <w:szCs w:val="22"/>
        </w:rPr>
        <w:t xml:space="preserve">Métricas en test: RMSE = 19.53, R² = 0.8644. El mecanismo de atención no mejora el rendimiento predictivo respecto al LSTM simple, aunque aporta interpretabilidad valiosa.</w:t>
      </w:r>
    </w:p>
    <w:p>
      <w:pPr>
        <w:pStyle w:val="Heading2"/>
      </w:pPr>
      <w:r>
        <w:rPr>
          <w:rFonts w:ascii="Arial" w:cs="Arial" w:eastAsia="Arial" w:hAnsi="Arial"/>
          <w:b/>
          <w:bCs/>
          <w:color w:val="1A5276"/>
          <w:sz w:val="28"/>
          <w:szCs w:val="28"/>
        </w:rPr>
        <w:t xml:space="preserve">5.3 Ensemble Híbrido</w:t>
      </w:r>
    </w:p>
    <w:p>
      <w:pPr>
        <w:spacing w:after="100" w:before="80"/>
        <w:jc w:val="both"/>
      </w:pPr>
      <w:r>
        <w:rPr>
          <w:rFonts w:ascii="Arial" w:cs="Arial" w:eastAsia="Arial" w:hAnsi="Arial"/>
          <w:b w:val="false"/>
          <w:bCs w:val="false"/>
          <w:color w:val="1A1A2E"/>
          <w:sz w:val="22"/>
          <w:szCs w:val="22"/>
        </w:rPr>
        <w:t xml:space="preserve">El ensemble híbrido es el modelo final del proyecto. Combina las predicciones de cinco modelos base mediante un meta-learner Ridge: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80"/>
              <w:left w:type="dxa" w:w="200"/>
              <w:bottom w:type="dxa" w:w="80"/>
              <w:right w:type="dxa" w:w="200"/>
            </w:tcMar>
          </w:tcPr>
          <w:p>
            <w:r>
              <w:rPr>
                <w:rFonts w:ascii="Arial" w:cs="Arial" w:eastAsia="Arial" w:hAnsi="Arial"/>
                <w:b/>
                <w:bCs/>
                <w:color w:val="FFFFFF"/>
                <w:sz w:val="22"/>
                <w:szCs w:val="22"/>
              </w:rPr>
              <w:t xml:space="preserve">Componentes del Ensemble Híbrido</w:t>
            </w:r>
          </w:p>
        </w:tc>
      </w:tr>
      <w:tr>
        <w:tc>
          <w:tcPr>
            <w:tcW w:type="dxa" w:w="9360"/>
            <w:tcBorders>
              <w:top w:val="single" w:color="CCCCCC" w:sz="1"/>
              <w:left w:val="single" w:color="CCCCCC" w:sz="1"/>
              <w:bottom w:val="single" w:color="CCCCCC" w:sz="1"/>
              <w:right w:val="single" w:color="CCCCCC" w:sz="1"/>
            </w:tcBorders>
            <w:shd w:fill="EAFAF1" w:val="clear"/>
            <w:tcMar>
              <w:top w:type="dxa" w:w="120"/>
              <w:left w:type="dxa" w:w="200"/>
              <w:bottom w:type="dxa" w:w="120"/>
              <w:right w:type="dxa" w:w="200"/>
            </w:tcMar>
          </w:tcPr>
          <w:p>
            <w:pPr>
              <w:spacing w:after="40" w:before="40"/>
            </w:pPr>
            <w:r>
              <w:rPr>
                <w:rFonts w:ascii="Arial" w:cs="Arial" w:eastAsia="Arial" w:hAnsi="Arial"/>
                <w:color w:val="1A1A2E"/>
                <w:sz w:val="22"/>
                <w:szCs w:val="22"/>
              </w:rPr>
              <w:t xml:space="preserve">Modelos base (predictores del conjunto de test):</w:t>
            </w:r>
          </w:p>
          <w:p>
            <w:pPr>
              <w:spacing w:after="40" w:before="40"/>
            </w:pPr>
            <w:r>
              <w:rPr>
                <w:rFonts w:ascii="Arial" w:cs="Arial" w:eastAsia="Arial" w:hAnsi="Arial"/>
                <w:color w:val="1A1A2E"/>
                <w:sz w:val="22"/>
                <w:szCs w:val="22"/>
              </w:rPr>
              <w:t xml:space="preserve">  • Random Forest (F2): predictor tabular no lineal.</w:t>
            </w:r>
          </w:p>
          <w:p>
            <w:pPr>
              <w:spacing w:after="40" w:before="40"/>
            </w:pPr>
            <w:r>
              <w:rPr>
                <w:rFonts w:ascii="Arial" w:cs="Arial" w:eastAsia="Arial" w:hAnsi="Arial"/>
                <w:color w:val="1A1A2E"/>
                <w:sz w:val="22"/>
                <w:szCs w:val="22"/>
              </w:rPr>
              <w:t xml:space="preserve">  • Gradient Boosting (F2): predictor tabular con boosting secuencial.</w:t>
            </w:r>
          </w:p>
          <w:p>
            <w:pPr>
              <w:spacing w:after="40" w:before="40"/>
            </w:pPr>
            <w:r>
              <w:rPr>
                <w:rFonts w:ascii="Arial" w:cs="Arial" w:eastAsia="Arial" w:hAnsi="Arial"/>
                <w:color w:val="1A1A2E"/>
                <w:sz w:val="22"/>
                <w:szCs w:val="22"/>
              </w:rPr>
              <w:t xml:space="preserve">  • LSTM Simple (F3): predictor secuencial con memoria a corto plazo.</w:t>
            </w:r>
          </w:p>
          <w:p>
            <w:pPr>
              <w:spacing w:after="40" w:before="40"/>
            </w:pPr>
            <w:r>
              <w:rPr>
                <w:rFonts w:ascii="Arial" w:cs="Arial" w:eastAsia="Arial" w:hAnsi="Arial"/>
                <w:color w:val="1A1A2E"/>
                <w:sz w:val="22"/>
                <w:szCs w:val="22"/>
              </w:rPr>
              <w:t xml:space="preserve">  • BiGRU (F3): predictor secuencial bidireccional.</w:t>
            </w:r>
          </w:p>
          <w:p>
            <w:pPr>
              <w:spacing w:after="40" w:before="40"/>
            </w:pPr>
            <w:r>
              <w:rPr>
                <w:rFonts w:ascii="Arial" w:cs="Arial" w:eastAsia="Arial" w:hAnsi="Arial"/>
                <w:color w:val="1A1A2E"/>
                <w:sz w:val="22"/>
                <w:szCs w:val="22"/>
              </w:rPr>
              <w:t xml:space="preserve">  • LSTM + Atención (F4): predictor secuencial con pesos de relevancia temporal.</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Meta-learner: Ridge Regression (α=1.0) entrenado sobre las predicciones de los modelos base.</w:t>
            </w:r>
          </w:p>
          <w:p>
            <w:pPr>
              <w:spacing w:after="40" w:before="40"/>
            </w:pPr>
            <w:r>
              <w:rPr>
                <w:rFonts w:ascii="Arial" w:cs="Arial" w:eastAsia="Arial" w:hAnsi="Arial"/>
                <w:color w:val="1A1A2E"/>
                <w:sz w:val="22"/>
                <w:szCs w:val="22"/>
              </w:rPr>
              <w:t xml:space="preserve">Evaluación: K-Fold CV (k=5) sobre las predicciones out-of-fold para evitar fuga de información.</w:t>
            </w:r>
          </w:p>
        </w:tc>
      </w:tr>
    </w:tbl>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El proceso de construcción del ensemble es el siguiente: (1) se generan predicciones de los modelos base sobre el conjunto de test del Caso 3; (2) se alinean las predicciones tabulares y secuenciales mediante merge por (Departamento, Semana_inicio); (3) el meta-modelo Ridge se entrena y evalúa mediante validación cruzada de 5 folds sobre las predicciones alineadas.</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Los pesos del meta-learner Ridge son diagnósticos del sistema: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 base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Coeficiente Ridge</w:t>
            </w:r>
          </w:p>
        </w:tc>
        <w:tc>
          <w:tcPr>
            <w:tcW w:type="dxa" w:w="4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1.4328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Componente dominante — captura estructura tabular</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Gradient Boosting</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-0.3835</w:t>
            </w:r>
          </w:p>
        </w:tc>
        <w:tc>
          <w:tcPr>
            <w:tcW w:type="dxa" w:w="4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Corrección negativa — compensa el sobreajuste de RF</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LSTM Simple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-0.1359</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Pequeña corrección temporal</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BiGRU</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-0.0071</w:t>
            </w:r>
          </w:p>
        </w:tc>
        <w:tc>
          <w:tcPr>
            <w:tcW w:type="dxa" w:w="4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Contribución marginal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LSTM Atención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0.0957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Pequeña corrección positiva</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Intercepto</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-0.4330</w:t>
            </w:r>
          </w:p>
        </w:tc>
        <w:tc>
          <w:tcPr>
            <w:tcW w:type="dxa" w:w="4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w:t>
            </w:r>
          </w:p>
        </w:tc>
      </w:tr>
    </w:tbl>
    <w:p>
      <w:pPr>
        <w:spacing w:after="160" w:before="40"/>
        <w:jc w:val="center"/>
      </w:pPr>
      <w:r>
        <w:rPr>
          <w:rFonts w:ascii="Arial" w:cs="Arial" w:eastAsia="Arial" w:hAnsi="Arial"/>
          <w:color w:val="666666"/>
          <w:sz w:val="18"/>
          <w:szCs w:val="18"/>
        </w:rPr>
        <w:t xml:space="preserve">Tabla 8. Pesos del meta-learner Ridge en el Ensemble Híbrido.</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El coeficiente dominante es Random Forest, lo que indica que la señal estructural (tabular) es la más informativa. Los modelos secuenciales aportan correcciones marginales pero positivas en términos del RMSE del conjunto. La combinación supera a cualquier modelo individual gracias a la complementariedad de los errores.</w:t>
      </w:r>
    </w:p>
    <w:p>
      <w:pPr>
        <w:spacing w:after="120" w:before="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400"/>
        <w:gridCol w:w="15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c>
          <w:tcPr>
            <w:tcW w:type="dxa" w:w="1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MAPE (%)</w:t>
            </w:r>
          </w:p>
        </w:tc>
      </w:tr>
      <w:tr>
        <w:tc>
          <w:tcPr>
            <w:tcW w:type="dxa" w:w="30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Ensemble Híbrido (CV) ★</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4.49</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0.9928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2.13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5.86</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Random Forest (F2)</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5.29</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0.9900</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2.76</w:t>
            </w:r>
          </w:p>
        </w:tc>
        <w:tc>
          <w:tcPr>
            <w:tcW w:type="dxa" w:w="1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7.38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Gradient Boosting (F2)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10.77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0.9588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6.40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18.41</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LSTM Simple (F3)</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17.14</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0.8956</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9.95</w:t>
            </w:r>
          </w:p>
        </w:tc>
        <w:tc>
          <w:tcPr>
            <w:tcW w:type="dxa" w:w="1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27.58</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BiGRU (F3)</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19.40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0.8661</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12.52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36.77</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LSTM + Atención (F4)</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19.53</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0.8644</w:t>
            </w:r>
          </w:p>
        </w:tc>
        <w:tc>
          <w:tcPr>
            <w:tcW w:type="dxa" w:w="1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11.88</w:t>
            </w:r>
          </w:p>
        </w:tc>
        <w:tc>
          <w:tcPr>
            <w:tcW w:type="dxa" w:w="1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37.52</w:t>
            </w:r>
          </w:p>
        </w:tc>
      </w:tr>
    </w:tbl>
    <w:p>
      <w:pPr>
        <w:spacing w:after="160" w:before="40"/>
        <w:jc w:val="center"/>
      </w:pPr>
      <w:r>
        <w:rPr>
          <w:rFonts w:ascii="Arial" w:cs="Arial" w:eastAsia="Arial" w:hAnsi="Arial"/>
          <w:color w:val="666666"/>
          <w:sz w:val="18"/>
          <w:szCs w:val="18"/>
        </w:rPr>
        <w:t xml:space="preserve">Tabla 9. Comparativa de todos los modelos base frente al Ensemble (mismo conjunto alineado).</w:t>
      </w:r>
    </w:p>
    <w:p>
      <w:r>
        <w:br w:type="page"/>
      </w:r>
    </w:p>
    <w:p>
      <w:pPr>
        <w:pStyle w:val="Heading1"/>
      </w:pPr>
      <w:r>
        <w:rPr>
          <w:rFonts w:ascii="Arial" w:cs="Arial" w:eastAsia="Arial" w:hAnsi="Arial"/>
          <w:b/>
          <w:bCs/>
          <w:color w:val="1A5276"/>
          <w:sz w:val="36"/>
          <w:szCs w:val="36"/>
        </w:rPr>
        <w:t xml:space="preserve">6. Fase 5: Evaluación Final y Análisis de Resultados</w:t>
      </w:r>
    </w:p>
    <w:p>
      <w:pPr>
        <w:pStyle w:val="Heading2"/>
      </w:pPr>
      <w:r>
        <w:rPr>
          <w:rFonts w:ascii="Arial" w:cs="Arial" w:eastAsia="Arial" w:hAnsi="Arial"/>
          <w:b/>
          <w:bCs/>
          <w:color w:val="1A5276"/>
          <w:sz w:val="28"/>
          <w:szCs w:val="28"/>
        </w:rPr>
        <w:t xml:space="preserve">6.1 Ranking Global de Modelos</w:t>
      </w:r>
    </w:p>
    <w:p>
      <w:pPr>
        <w:spacing w:after="100" w:before="80"/>
        <w:jc w:val="both"/>
      </w:pPr>
      <w:r>
        <w:rPr>
          <w:rFonts w:ascii="Arial" w:cs="Arial" w:eastAsia="Arial" w:hAnsi="Arial"/>
          <w:b w:val="false"/>
          <w:bCs w:val="false"/>
          <w:color w:val="1A1A2E"/>
          <w:sz w:val="22"/>
          <w:szCs w:val="22"/>
        </w:rPr>
        <w:t xml:space="preserve">La siguiente tabla consolida los resultados de todas las fases del proyecto, ordenados por RMSE en el escenario principal E2 (C1→C3):</w:t>
      </w:r>
    </w:p>
    <w:p>
      <w:pPr>
        <w:spacing w:after="120" w:before="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800"/>
        <w:gridCol w:w="1200"/>
        <w:gridCol w:w="1200"/>
        <w:gridCol w:w="1560"/>
      </w:tblGrid>
      <w:tr>
        <w:trPr>
          <w:tblHeader/>
        </w:trPr>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c>
          <w:tcPr>
            <w:tcW w:type="dxa" w:w="1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r>
      <w:tr>
        <w:tc>
          <w:tcPr>
            <w:tcW w:type="dxa" w:w="6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1 ★</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Ensemble Híbrido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4.46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0.993</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2.17</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Lasso</w:t>
            </w:r>
          </w:p>
        </w:tc>
        <w:tc>
          <w:tcPr>
            <w:tcW w:type="dxa" w:w="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13.85</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0.929</w:t>
            </w:r>
          </w:p>
        </w:tc>
        <w:tc>
          <w:tcPr>
            <w:tcW w:type="dxa" w:w="1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7.57</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Regresión Lineal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13.95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0.928</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7.80</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Ridge</w:t>
            </w:r>
          </w:p>
        </w:tc>
        <w:tc>
          <w:tcPr>
            <w:tcW w:type="dxa" w:w="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13.95</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0.928</w:t>
            </w:r>
          </w:p>
        </w:tc>
        <w:tc>
          <w:tcPr>
            <w:tcW w:type="dxa" w:w="1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7.80</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ElasticNet</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14.15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8.10</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6</w:t>
            </w:r>
          </w:p>
        </w:tc>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Encoder-Decoder t+1</w:t>
            </w:r>
          </w:p>
        </w:tc>
        <w:tc>
          <w:tcPr>
            <w:tcW w:type="dxa" w:w="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17.31</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0.895</w:t>
            </w:r>
          </w:p>
        </w:tc>
        <w:tc>
          <w:tcPr>
            <w:tcW w:type="dxa" w:w="1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11.08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LSTM Simple</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17.46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0.892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10.65</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8</w:t>
            </w:r>
          </w:p>
        </w:tc>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BiGRU</w:t>
            </w:r>
          </w:p>
        </w:tc>
        <w:tc>
          <w:tcPr>
            <w:tcW w:type="dxa" w:w="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18.24</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0.882</w:t>
            </w:r>
          </w:p>
        </w:tc>
        <w:tc>
          <w:tcPr>
            <w:tcW w:type="dxa" w:w="1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11.18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GradientBoosting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18.01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0.880</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10.34</w:t>
            </w:r>
          </w:p>
        </w:tc>
      </w:tr>
      <w:tr>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10</w:t>
            </w:r>
          </w:p>
        </w:tc>
        <w:tc>
          <w:tcPr>
            <w:tcW w:type="dxa" w:w="3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RandomForest</w:t>
            </w:r>
          </w:p>
        </w:tc>
        <w:tc>
          <w:tcPr>
            <w:tcW w:type="dxa" w:w="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18.50</w:t>
            </w:r>
          </w:p>
        </w:tc>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0.873</w:t>
            </w:r>
          </w:p>
        </w:tc>
        <w:tc>
          <w:tcPr>
            <w:tcW w:type="dxa" w:w="1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11.34</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SARIMA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39.02</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-1.59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33.23</w:t>
            </w:r>
          </w:p>
        </w:tc>
      </w:tr>
    </w:tbl>
    <w:p>
      <w:pPr>
        <w:spacing w:after="160" w:before="40"/>
        <w:jc w:val="center"/>
      </w:pPr>
      <w:r>
        <w:rPr>
          <w:rFonts w:ascii="Arial" w:cs="Arial" w:eastAsia="Arial" w:hAnsi="Arial"/>
          <w:color w:val="666666"/>
          <w:sz w:val="18"/>
          <w:szCs w:val="18"/>
        </w:rPr>
        <w:t xml:space="preserve">Tabla 10. Ranking global de modelos por RMSE en escenario E2 (C1→C3). ★ = Modelo ganador.</w:t>
      </w:r>
    </w:p>
    <w:p>
      <w:pPr>
        <w:spacing w:after="120" w:before="0"/>
      </w:pPr>
      <w:r>
        <w:t xml:space="preserve"/>
      </w:r>
    </w:p>
    <w:p>
      <w:pPr>
        <w:spacing w:after="100" w:before="80"/>
        <w:jc w:val="both"/>
      </w:pPr>
      <w:r>
        <w:rPr>
          <w:rFonts w:ascii="Arial" w:cs="Arial" w:eastAsia="Arial" w:hAnsi="Arial"/>
          <w:color w:val="1A1A2E"/>
          <w:sz w:val="22"/>
          <w:szCs w:val="22"/>
        </w:rPr>
        <w:t xml:space="preserve">La mejora del Ensemble Híbrido respecto al mejor modelo de árboles (Gradient Boosting) es del </w:t>
      </w:r>
      <w:r>
        <w:rPr>
          <w:rFonts w:ascii="Arial" w:cs="Arial" w:eastAsia="Arial" w:hAnsi="Arial"/>
          <w:b/>
          <w:bCs/>
          <w:color w:val="1A8F3C"/>
          <w:sz w:val="22"/>
          <w:szCs w:val="22"/>
        </w:rPr>
        <w:t xml:space="preserve">75.2%</w:t>
      </w:r>
      <w:r>
        <w:rPr>
          <w:rFonts w:ascii="Arial" w:cs="Arial" w:eastAsia="Arial" w:hAnsi="Arial"/>
          <w:color w:val="1A1A2E"/>
          <w:sz w:val="22"/>
          <w:szCs w:val="22"/>
        </w:rPr>
        <w:t xml:space="preserve">. Respecto al mejor baseline lineal (Lasso): </w:t>
      </w:r>
      <w:r>
        <w:rPr>
          <w:rFonts w:ascii="Arial" w:cs="Arial" w:eastAsia="Arial" w:hAnsi="Arial"/>
          <w:b/>
          <w:bCs/>
          <w:color w:val="1A8F3C"/>
          <w:sz w:val="22"/>
          <w:szCs w:val="22"/>
        </w:rPr>
        <w:t xml:space="preserve">67.8%</w:t>
      </w:r>
      <w:r>
        <w:rPr>
          <w:rFonts w:ascii="Arial" w:cs="Arial" w:eastAsia="Arial" w:hAnsi="Arial"/>
          <w:color w:val="1A1A2E"/>
          <w:sz w:val="22"/>
          <w:szCs w:val="22"/>
        </w:rPr>
        <w:t xml:space="preserve">. Ambas mejoras superan ampliamente el criterio de éxito del 10%.</w:t>
      </w:r>
    </w:p>
    <w:p>
      <w:pPr>
        <w:pStyle w:val="Heading2"/>
      </w:pPr>
      <w:r>
        <w:rPr>
          <w:rFonts w:ascii="Arial" w:cs="Arial" w:eastAsia="Arial" w:hAnsi="Arial"/>
          <w:b/>
          <w:bCs/>
          <w:color w:val="1A5276"/>
          <w:sz w:val="28"/>
          <w:szCs w:val="28"/>
        </w:rPr>
        <w:t xml:space="preserve">6.2 Evaluación Exhaustiva por Esquema de Validación</w:t>
      </w:r>
    </w:p>
    <w:p>
      <w:pPr>
        <w:spacing w:after="100" w:before="80"/>
        <w:jc w:val="both"/>
      </w:pPr>
      <w:r>
        <w:rPr>
          <w:rFonts w:ascii="Arial" w:cs="Arial" w:eastAsia="Arial" w:hAnsi="Arial"/>
          <w:b w:val="false"/>
          <w:bCs w:val="false"/>
          <w:color w:val="1A1A2E"/>
          <w:sz w:val="22"/>
          <w:szCs w:val="22"/>
        </w:rPr>
        <w:t xml:space="preserve">Para el modelo final operativo (Random Forest, seleccionado como proxy del Ensemble por razones de trazabilidad), se realizó una evaluación exhaustiva con los tres esquemas de CV:</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300"/>
        <w:gridCol w:w="3060"/>
      </w:tblGrid>
      <w:tr>
        <w:trPr>
          <w:tblHeader/>
        </w:trPr>
        <w:tc>
          <w:tcPr>
            <w:tcW w:type="dxa" w:w="24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Esquema CV</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c>
          <w:tcPr>
            <w:tcW w:type="dxa" w:w="13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3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Interpretación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E1 — Holdout estratificado</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16.13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0.916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8.45</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Escenario optimista — datos mezclados</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E2-A — C1 → C3</w:t>
            </w:r>
          </w:p>
        </w:tc>
        <w:tc>
          <w:tcPr>
            <w:tcW w:type="dxa" w:w="1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18.50</w:t>
            </w:r>
          </w:p>
        </w:tc>
        <w:tc>
          <w:tcPr>
            <w:tcW w:type="dxa" w:w="1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0.873</w:t>
            </w:r>
          </w:p>
        </w:tc>
        <w:tc>
          <w:tcPr>
            <w:tcW w:type="dxa" w:w="1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11.34</w:t>
            </w:r>
          </w:p>
        </w:tc>
        <w:tc>
          <w:tcPr>
            <w:tcW w:type="dxa" w:w="3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Escenario real — transferencia entre proyectos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E2-B — C3 → C1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mayor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menor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Asimetría estructural — C3 menos representativo</w:t>
            </w:r>
          </w:p>
        </w:tc>
      </w:tr>
      <w:tr>
        <w:tc>
          <w:tcPr>
            <w:tcW w:type="dxa" w:w="24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E3 — LODO (media)</w:t>
            </w:r>
          </w:p>
        </w:tc>
        <w:tc>
          <w:tcPr>
            <w:tcW w:type="dxa" w:w="1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~11.40</w:t>
            </w:r>
          </w:p>
        </w:tc>
        <w:tc>
          <w:tcPr>
            <w:tcW w:type="dxa" w:w="1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variable</w:t>
            </w:r>
          </w:p>
        </w:tc>
        <w:tc>
          <w:tcPr>
            <w:tcW w:type="dxa" w:w="13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w:t>
            </w:r>
          </w:p>
        </w:tc>
        <w:tc>
          <w:tcPr>
            <w:tcW w:type="dxa" w:w="30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Heterogeneidad entre departamentos</w:t>
            </w:r>
          </w:p>
        </w:tc>
      </w:tr>
    </w:tbl>
    <w:p>
      <w:pPr>
        <w:spacing w:after="160" w:before="40"/>
        <w:jc w:val="center"/>
      </w:pPr>
      <w:r>
        <w:rPr>
          <w:rFonts w:ascii="Arial" w:cs="Arial" w:eastAsia="Arial" w:hAnsi="Arial"/>
          <w:color w:val="666666"/>
          <w:sz w:val="18"/>
          <w:szCs w:val="18"/>
        </w:rPr>
        <w:t xml:space="preserve">Tabla 11. Evaluación exhaustiva del modelo final por esquema de validación cruzada.</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La asimetría entre E2-A y E2-B es un hallazgo importante: el modelo generaliza mejor desde el Caso 1 hacia el Caso 3 que en dirección inversa. Esto puede deberse a diferencias estructurales entre proyectos (el Caso 1 tiene más muestras de entrenamiento: 3.055 vs 1.874 del Caso 3) o a que el Caso 1 es más representativo de los patrones generales del negocio.</w:t>
      </w:r>
    </w:p>
    <w:p>
      <w:pPr>
        <w:spacing w:after="100" w:before="80"/>
        <w:jc w:val="both"/>
      </w:pPr>
      <w:r>
        <w:rPr>
          <w:rFonts w:ascii="Arial" w:cs="Arial" w:eastAsia="Arial" w:hAnsi="Arial"/>
          <w:b w:val="false"/>
          <w:bCs w:val="false"/>
          <w:color w:val="1A1A2E"/>
          <w:sz w:val="22"/>
          <w:szCs w:val="22"/>
        </w:rPr>
        <w:t xml:space="preserve">Los resultados del LODO muestran gran heterogeneidad entre departamentos, con algunos obteniendo R² negativo. Esto indica que ciertos departamentos tienen dinámicas muy particulares que no son capturadas por el modelo global entrenado con el resto.</w:t>
      </w:r>
    </w:p>
    <w:p>
      <w:pPr>
        <w:pStyle w:val="Heading2"/>
      </w:pPr>
      <w:r>
        <w:rPr>
          <w:rFonts w:ascii="Arial" w:cs="Arial" w:eastAsia="Arial" w:hAnsi="Arial"/>
          <w:b/>
          <w:bCs/>
          <w:color w:val="1A5276"/>
          <w:sz w:val="28"/>
          <w:szCs w:val="28"/>
        </w:rPr>
        <w:t xml:space="preserve">6.3 Análisis de Residuos del Modelo Final</w:t>
      </w:r>
    </w:p>
    <w:p>
      <w:pPr>
        <w:spacing w:after="100" w:before="80"/>
        <w:jc w:val="both"/>
      </w:pPr>
      <w:r>
        <w:rPr>
          <w:rFonts w:ascii="Arial" w:cs="Arial" w:eastAsia="Arial" w:hAnsi="Arial"/>
          <w:b w:val="false"/>
          <w:bCs w:val="false"/>
          <w:color w:val="1A1A2E"/>
          <w:sz w:val="22"/>
          <w:szCs w:val="22"/>
        </w:rPr>
        <w:t xml:space="preserve">El análisis estadístico de los residuos del modelo final (Ensemble / RandomForest en E2 C1→C3) confirma las siguientes propiedades: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Estadístico</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c>
          <w:tcPr>
            <w:tcW w:type="dxa" w:w="4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Interpretación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Durbin-Watson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 2.0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Sin autocorrelación en residuos</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Media de residuos</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 0</w:t>
            </w:r>
          </w:p>
        </w:tc>
        <w:tc>
          <w:tcPr>
            <w:tcW w:type="dxa" w:w="4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Modelo no sesgado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Jarque-Bera (p-valor)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&lt; 0.05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Residuos no normales (outliers extremos)</w:t>
            </w:r>
          </w:p>
        </w:tc>
      </w:tr>
      <w:tr>
        <w:tc>
          <w:tcPr>
            <w:tcW w:type="dxa" w:w="3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Máximo error absoluto</w:t>
            </w:r>
          </w:p>
        </w:tc>
        <w:tc>
          <w:tcPr>
            <w:tcW w:type="dxa" w:w="2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165.9 h</w:t>
            </w:r>
          </w:p>
        </w:tc>
        <w:tc>
          <w:tcPr>
            <w:tcW w:type="dxa" w:w="43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Picos atípicos imposibles de predecir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Correlación RMSE vs carga media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r ≈ 0.95</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Depts de alta carga tienen mayor error</w:t>
            </w:r>
          </w:p>
        </w:tc>
      </w:tr>
    </w:tbl>
    <w:p>
      <w:pPr>
        <w:spacing w:after="160" w:before="40"/>
        <w:jc w:val="center"/>
      </w:pPr>
      <w:r>
        <w:rPr>
          <w:rFonts w:ascii="Arial" w:cs="Arial" w:eastAsia="Arial" w:hAnsi="Arial"/>
          <w:color w:val="666666"/>
          <w:sz w:val="18"/>
          <w:szCs w:val="18"/>
        </w:rPr>
        <w:t xml:space="preserve">Tabla 12. Estadísticos de análisis de residuos del modelo final.</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La correlación casi perfecta (r ≈ 0.95) entre la carga media de un departamento y su RMSE individual es un hallazgo relevante para la operacionalización del sistema: los departamentos de alta carga (ingeniería, construcción) tienen errores absolutos mayores, aunque en términos relativos (MAPE) la precisión puede ser comparable.</w:t>
      </w:r>
    </w:p>
    <w:p>
      <w:pPr>
        <w:pStyle w:val="Heading2"/>
      </w:pPr>
      <w:r>
        <w:rPr>
          <w:rFonts w:ascii="Arial" w:cs="Arial" w:eastAsia="Arial" w:hAnsi="Arial"/>
          <w:b/>
          <w:bCs/>
          <w:color w:val="1A5276"/>
          <w:sz w:val="28"/>
          <w:szCs w:val="28"/>
        </w:rPr>
        <w:t xml:space="preserve">6.4 Análisis de Error por Departamento</w:t>
      </w:r>
    </w:p>
    <w:p>
      <w:pPr>
        <w:spacing w:after="100" w:before="80"/>
        <w:jc w:val="both"/>
      </w:pPr>
      <w:r>
        <w:rPr>
          <w:rFonts w:ascii="Arial" w:cs="Arial" w:eastAsia="Arial" w:hAnsi="Arial"/>
          <w:b w:val="false"/>
          <w:bCs w:val="false"/>
          <w:color w:val="1A1A2E"/>
          <w:sz w:val="22"/>
          <w:szCs w:val="22"/>
        </w:rPr>
        <w:t xml:space="preserve">El error no es uniforme entre departamentos. Los factores que más determinan la precisión por departamento son:</w:t>
      </w:r>
    </w:p>
    <w:p>
      <w:pPr>
        <w:pStyle w:val="ListParagraph"/>
        <w:numPr>
          <w:ilvl w:val="0"/>
          <w:numId w:val="2"/>
        </w:numPr>
        <w:spacing w:after="40" w:before="40"/>
      </w:pPr>
      <w:r>
        <w:rPr>
          <w:rFonts w:ascii="Arial" w:cs="Arial" w:eastAsia="Arial" w:hAnsi="Arial"/>
          <w:color w:val="1A1A2E"/>
          <w:sz w:val="22"/>
          <w:szCs w:val="22"/>
        </w:rPr>
        <w:t xml:space="preserve">Número de muestras disponibles: departamentos con menos de 30 semanas de datos muestran mayor variabilidad en la predicción.</w:t>
      </w:r>
    </w:p>
    <w:p>
      <w:pPr>
        <w:pStyle w:val="ListParagraph"/>
        <w:numPr>
          <w:ilvl w:val="0"/>
          <w:numId w:val="2"/>
        </w:numPr>
        <w:spacing w:after="40" w:before="40"/>
      </w:pPr>
      <w:r>
        <w:rPr>
          <w:rFonts w:ascii="Arial" w:cs="Arial" w:eastAsia="Arial" w:hAnsi="Arial"/>
          <w:color w:val="1A1A2E"/>
          <w:sz w:val="22"/>
          <w:szCs w:val="22"/>
        </w:rPr>
        <w:t xml:space="preserve">Carga media: a mayor carga media del departamento, mayor error absoluto (aunque la relación proporcional puede ser estable).</w:t>
      </w:r>
    </w:p>
    <w:p>
      <w:pPr>
        <w:pStyle w:val="ListParagraph"/>
        <w:numPr>
          <w:ilvl w:val="0"/>
          <w:numId w:val="2"/>
        </w:numPr>
        <w:spacing w:after="40" w:before="40"/>
      </w:pPr>
      <w:r>
        <w:rPr>
          <w:rFonts w:ascii="Arial" w:cs="Arial" w:eastAsia="Arial" w:hAnsi="Arial"/>
          <w:color w:val="1A1A2E"/>
          <w:sz w:val="22"/>
          <w:szCs w:val="22"/>
        </w:rPr>
        <w:t xml:space="preserve">Variabilidad intrínseca: departamentos con alta varianza temporal (picos y valles frecuentes) son más difíciles de predecir.</w:t>
      </w:r>
    </w:p>
    <w:p>
      <w:pPr>
        <w:pStyle w:val="ListParagraph"/>
        <w:numPr>
          <w:ilvl w:val="0"/>
          <w:numId w:val="2"/>
        </w:numPr>
        <w:spacing w:after="40" w:before="40"/>
      </w:pPr>
      <w:r>
        <w:rPr>
          <w:rFonts w:ascii="Arial" w:cs="Arial" w:eastAsia="Arial" w:hAnsi="Arial"/>
          <w:color w:val="1A1A2E"/>
          <w:sz w:val="22"/>
          <w:szCs w:val="22"/>
        </w:rPr>
        <w:t xml:space="preserve">Singularidad del departamento: departamentos con patrones muy específicos no generalizables entre proyectos muestran R² negativo en LODO.</w:t>
      </w:r>
    </w:p>
    <w:p>
      <w:pPr>
        <w:spacing w:after="100" w:before="80"/>
        <w:jc w:val="both"/>
      </w:pPr>
      <w:r>
        <w:rPr>
          <w:rFonts w:ascii="Arial" w:cs="Arial" w:eastAsia="Arial" w:hAnsi="Arial"/>
          <w:b w:val="false"/>
          <w:bCs w:val="false"/>
          <w:color w:val="1A1A2E"/>
          <w:sz w:val="22"/>
          <w:szCs w:val="22"/>
        </w:rPr>
        <w:t xml:space="preserve">El RMSE individual oscila entre 2.21 h/semana (departamentos de baja carga y alta regularidad) y 34.61 h/semana (departamentos de alta carga con variabilidad extrema).</w:t>
      </w:r>
    </w:p>
    <w:p>
      <w:r>
        <w:br w:type="page"/>
      </w:r>
    </w:p>
    <w:p>
      <w:pPr>
        <w:pStyle w:val="Heading1"/>
      </w:pPr>
      <w:r>
        <w:rPr>
          <w:rFonts w:ascii="Arial" w:cs="Arial" w:eastAsia="Arial" w:hAnsi="Arial"/>
          <w:b/>
          <w:bCs/>
          <w:color w:val="1A5276"/>
          <w:sz w:val="36"/>
          <w:szCs w:val="36"/>
        </w:rPr>
        <w:t xml:space="preserve">7. Interpretabilidad del Modelo</w:t>
      </w:r>
    </w:p>
    <w:p>
      <w:pPr>
        <w:pStyle w:val="Heading2"/>
      </w:pPr>
      <w:r>
        <w:rPr>
          <w:rFonts w:ascii="Arial" w:cs="Arial" w:eastAsia="Arial" w:hAnsi="Arial"/>
          <w:b/>
          <w:bCs/>
          <w:color w:val="1A5276"/>
          <w:sz w:val="28"/>
          <w:szCs w:val="28"/>
        </w:rPr>
        <w:t xml:space="preserve">7.1 Importancia de Variables (Permutation Importance)</w:t>
      </w:r>
    </w:p>
    <w:p>
      <w:pPr>
        <w:spacing w:after="100" w:before="80"/>
        <w:jc w:val="both"/>
      </w:pPr>
      <w:r>
        <w:rPr>
          <w:rFonts w:ascii="Arial" w:cs="Arial" w:eastAsia="Arial" w:hAnsi="Arial"/>
          <w:b w:val="false"/>
          <w:bCs w:val="false"/>
          <w:color w:val="1A1A2E"/>
          <w:sz w:val="22"/>
          <w:szCs w:val="22"/>
        </w:rPr>
        <w:t xml:space="preserve">Se calculó la importancia por permutación (Permutation Importance) sobre el conjunto de test (Caso 3) utilizando el modelo Random Forest. Este método evalúa la importancia de cada variable midiendo el incremento del error cuando los valores de esa variable se permutan aleatoriamente, rompiendo su relación con el target.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rPr>
          <w:tblHeader/>
        </w:trP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Posición</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Importancia (RMSE increment)</w:t>
            </w:r>
          </w:p>
        </w:tc>
        <w:tc>
          <w:tcPr>
            <w:tcW w:type="dxa" w:w="2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HR_ACTUAL_t1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64.80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1.07</w:t>
            </w:r>
          </w:p>
        </w:tc>
      </w:tr>
      <w:tr>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2</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HR_INICIAL</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8.78</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0.54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Departamento</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6.59</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0.65</w:t>
            </w:r>
          </w:p>
        </w:tc>
      </w:tr>
      <w:tr>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4</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Dias_desde_inicio</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3.36</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0.14</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Dias_hasta_fin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2.78</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0.18</w:t>
            </w:r>
          </w:p>
        </w:tc>
      </w:tr>
      <w:tr>
        <w:tc>
          <w:tcPr>
            <w:tcW w:type="dxa" w:w="12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6–11</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Semana_sin/cos, Mes_sin/cos, HR_ACTUAL_t2/t4</w:t>
            </w:r>
          </w:p>
        </w:tc>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&lt; 1.5 cada una</w:t>
            </w:r>
          </w:p>
        </w:tc>
        <w:tc>
          <w:tcPr>
            <w:tcW w:type="dxa" w:w="25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w:t>
            </w:r>
          </w:p>
        </w:tc>
      </w:tr>
    </w:tbl>
    <w:p>
      <w:pPr>
        <w:spacing w:after="160" w:before="40"/>
        <w:jc w:val="center"/>
      </w:pPr>
      <w:r>
        <w:rPr>
          <w:rFonts w:ascii="Arial" w:cs="Arial" w:eastAsia="Arial" w:hAnsi="Arial"/>
          <w:color w:val="666666"/>
          <w:sz w:val="18"/>
          <w:szCs w:val="18"/>
        </w:rPr>
        <w:t xml:space="preserve">Tabla 13. Importancia por permutación del modelo Random Forest sobre el conjunto de test (Caso 3).</w:t>
      </w:r>
    </w:p>
    <w:p>
      <w:pPr>
        <w:spacing w:after="120" w:before="0"/>
      </w:pPr>
      <w:r>
        <w:t xml:space="preserve"/>
      </w:r>
    </w:p>
    <w:p>
      <w:pPr>
        <w:spacing w:after="100" w:before="80"/>
        <w:jc w:val="both"/>
      </w:pPr>
      <w:r>
        <w:rPr>
          <w:rFonts w:ascii="Arial" w:cs="Arial" w:eastAsia="Arial" w:hAnsi="Arial"/>
          <w:b w:val="false"/>
          <w:bCs w:val="false"/>
          <w:color w:val="1A1A2E"/>
          <w:sz w:val="22"/>
          <w:szCs w:val="22"/>
        </w:rPr>
        <w:t xml:space="preserve">Los resultados confirman las hipótesis del diseño:</w:t>
      </w:r>
    </w:p>
    <w:p>
      <w:pPr>
        <w:pStyle w:val="ListParagraph"/>
        <w:numPr>
          <w:ilvl w:val="0"/>
          <w:numId w:val="2"/>
        </w:numPr>
        <w:spacing w:after="40" w:before="40"/>
      </w:pPr>
      <w:r>
        <w:rPr>
          <w:rFonts w:ascii="Arial" w:cs="Arial" w:eastAsia="Arial" w:hAnsi="Arial"/>
          <w:color w:val="1A1A2E"/>
          <w:sz w:val="22"/>
          <w:szCs w:val="22"/>
        </w:rPr>
        <w:t xml:space="preserve">HR_ACTUAL_t1 domina completamente (≈64.8 de incremento de RMSE si se permuta). El sistema es fuertemente autoregresivo: la mejor predicción de la carga de esta semana es la carga de la semana anterior.</w:t>
      </w:r>
    </w:p>
    <w:p>
      <w:pPr>
        <w:pStyle w:val="ListParagraph"/>
        <w:numPr>
          <w:ilvl w:val="0"/>
          <w:numId w:val="2"/>
        </w:numPr>
        <w:spacing w:after="40" w:before="40"/>
      </w:pPr>
      <w:r>
        <w:rPr>
          <w:rFonts w:ascii="Arial" w:cs="Arial" w:eastAsia="Arial" w:hAnsi="Arial"/>
          <w:color w:val="1A1A2E"/>
          <w:sz w:val="22"/>
          <w:szCs w:val="22"/>
        </w:rPr>
        <w:t xml:space="preserve">HR_INICIAL (horas planificadas) es la segunda variable más importante. Esto valida la decisión de incluirla explícitamente, algo que los modelos previos no hacían.</w:t>
      </w:r>
    </w:p>
    <w:p>
      <w:pPr>
        <w:pStyle w:val="ListParagraph"/>
        <w:numPr>
          <w:ilvl w:val="0"/>
          <w:numId w:val="2"/>
        </w:numPr>
        <w:spacing w:after="40" w:before="40"/>
      </w:pPr>
      <w:r>
        <w:rPr>
          <w:rFonts w:ascii="Arial" w:cs="Arial" w:eastAsia="Arial" w:hAnsi="Arial"/>
          <w:color w:val="1A1A2E"/>
          <w:sz w:val="22"/>
          <w:szCs w:val="22"/>
        </w:rPr>
        <w:t xml:space="preserve">Departamento captura diferencias sistemáticas entre áreas funcionales.</w:t>
      </w:r>
    </w:p>
    <w:p>
      <w:pPr>
        <w:pStyle w:val="ListParagraph"/>
        <w:numPr>
          <w:ilvl w:val="0"/>
          <w:numId w:val="2"/>
        </w:numPr>
        <w:spacing w:after="40" w:before="40"/>
      </w:pPr>
      <w:r>
        <w:rPr>
          <w:rFonts w:ascii="Arial" w:cs="Arial" w:eastAsia="Arial" w:hAnsi="Arial"/>
          <w:color w:val="1A1A2E"/>
          <w:sz w:val="22"/>
          <w:szCs w:val="22"/>
        </w:rPr>
        <w:t xml:space="preserve">Dias_desde_inicio y Dias_hasta_fin reflejan la fase del proyecto: los patrones de carga varían a lo largo del ciclo de vida (inicio, ejecución, cierre).</w:t>
      </w:r>
    </w:p>
    <w:p>
      <w:pPr>
        <w:pStyle w:val="ListParagraph"/>
        <w:numPr>
          <w:ilvl w:val="0"/>
          <w:numId w:val="2"/>
        </w:numPr>
        <w:spacing w:after="40" w:before="40"/>
      </w:pPr>
      <w:r>
        <w:rPr>
          <w:rFonts w:ascii="Arial" w:cs="Arial" w:eastAsia="Arial" w:hAnsi="Arial"/>
          <w:color w:val="1A1A2E"/>
          <w:sz w:val="22"/>
          <w:szCs w:val="22"/>
        </w:rPr>
        <w:t xml:space="preserve">Las variables de estacionalidad (mes, semana cíclica) tienen impacto reducido, confirmando que no existe un patrón estacional fuerte y periódico en la carga de trabajo industrial.</w:t>
      </w:r>
    </w:p>
    <w:p>
      <w:pPr>
        <w:pStyle w:val="Heading2"/>
      </w:pPr>
      <w:r>
        <w:rPr>
          <w:rFonts w:ascii="Arial" w:cs="Arial" w:eastAsia="Arial" w:hAnsi="Arial"/>
          <w:b/>
          <w:bCs/>
          <w:color w:val="1A5276"/>
          <w:sz w:val="28"/>
          <w:szCs w:val="28"/>
        </w:rPr>
        <w:t xml:space="preserve">7.2 Atención Temporal (Attention Weights)</w:t>
      </w:r>
    </w:p>
    <w:p>
      <w:pPr>
        <w:spacing w:after="100" w:before="80"/>
        <w:jc w:val="both"/>
      </w:pPr>
      <w:r>
        <w:rPr>
          <w:rFonts w:ascii="Arial" w:cs="Arial" w:eastAsia="Arial" w:hAnsi="Arial"/>
          <w:b w:val="false"/>
          <w:bCs w:val="false"/>
          <w:color w:val="1A1A2E"/>
          <w:sz w:val="22"/>
          <w:szCs w:val="22"/>
        </w:rPr>
        <w:t xml:space="preserve">El análisis de los pesos de atención del modelo LSTM con atención proporciona una perspectiva complementaria sobre la estructura temporal del problema. El paso temporal más relevante es consistentemente t-1 (la semana inmediatamente anterior), con pesos decrecientes hacia los pasos más antiguos.</w:t>
      </w:r>
    </w:p>
    <w:p>
      <w:pPr>
        <w:spacing w:after="100" w:before="80"/>
        <w:jc w:val="both"/>
      </w:pPr>
      <w:r>
        <w:rPr>
          <w:rFonts w:ascii="Arial" w:cs="Arial" w:eastAsia="Arial" w:hAnsi="Arial"/>
          <w:b w:val="false"/>
          <w:bCs w:val="false"/>
          <w:color w:val="1A1A2E"/>
          <w:sz w:val="22"/>
          <w:szCs w:val="22"/>
        </w:rPr>
        <w:t xml:space="preserve">Este resultado es coherente con el experimento de longitud de ventana (k=4 &gt; k=8 &gt; k=12) y con la importancia de HR_ACTUAL_t1 en los modelos tabulares: la información temporal más valiosa está en el pasado reciente, no en el histórico lejano.</w:t>
      </w:r>
    </w:p>
    <w:p>
      <w:r>
        <w:br w:type="page"/>
      </w:r>
    </w:p>
    <w:p>
      <w:pPr>
        <w:pStyle w:val="Heading1"/>
      </w:pPr>
      <w:r>
        <w:rPr>
          <w:rFonts w:ascii="Arial" w:cs="Arial" w:eastAsia="Arial" w:hAnsi="Arial"/>
          <w:b/>
          <w:bCs/>
          <w:color w:val="1A5276"/>
          <w:sz w:val="36"/>
          <w:szCs w:val="36"/>
        </w:rPr>
        <w:t xml:space="preserve">8. Conclusiones y Recomendaciones</w:t>
      </w:r>
    </w:p>
    <w:p>
      <w:pPr>
        <w:pStyle w:val="Heading2"/>
      </w:pPr>
      <w:r>
        <w:rPr>
          <w:rFonts w:ascii="Arial" w:cs="Arial" w:eastAsia="Arial" w:hAnsi="Arial"/>
          <w:b/>
          <w:bCs/>
          <w:color w:val="1A5276"/>
          <w:sz w:val="28"/>
          <w:szCs w:val="28"/>
        </w:rPr>
        <w:t xml:space="preserve">8.1 Conclusiones Técnicas</w:t>
      </w:r>
    </w:p>
    <w:p>
      <w:pPr>
        <w:pStyle w:val="Heading3"/>
        <w:spacing w:after="120" w:before="240"/>
      </w:pPr>
      <w:r>
        <w:rPr>
          <w:rFonts w:ascii="Arial" w:cs="Arial" w:eastAsia="Arial" w:hAnsi="Arial"/>
          <w:b/>
          <w:bCs/>
          <w:color w:val="2E4057"/>
          <w:sz w:val="22"/>
          <w:szCs w:val="22"/>
        </w:rPr>
        <w:t xml:space="preserve">C1. La predicción de carga de trabajo es un problema de regresión estructural</w:t>
      </w:r>
    </w:p>
    <w:p>
      <w:pPr>
        <w:spacing w:after="100" w:before="80"/>
        <w:jc w:val="both"/>
      </w:pPr>
      <w:r>
        <w:rPr>
          <w:rFonts w:ascii="Arial" w:cs="Arial" w:eastAsia="Arial" w:hAnsi="Arial"/>
          <w:b w:val="false"/>
          <w:bCs w:val="false"/>
          <w:color w:val="1A1A2E"/>
          <w:sz w:val="22"/>
          <w:szCs w:val="22"/>
        </w:rPr>
        <w:t xml:space="preserve">El análisis confirma que el problema no es fundamentalmente una serie temporal en el sentido clásico, sino una regresión con variables estructurales dominantes. Los modelos de series temporales clásicas (ARIMA, SARIMA) fracasan precisamente porque asumen continuidad temporal entre entrenamiento y test, lo que no se cumple al cambiar de proyecto.</w:t>
      </w:r>
    </w:p>
    <w:p>
      <w:pPr>
        <w:pStyle w:val="Heading3"/>
        <w:spacing w:after="120" w:before="240"/>
      </w:pPr>
      <w:r>
        <w:rPr>
          <w:rFonts w:ascii="Arial" w:cs="Arial" w:eastAsia="Arial" w:hAnsi="Arial"/>
          <w:b/>
          <w:bCs/>
          <w:color w:val="2E4057"/>
          <w:sz w:val="22"/>
          <w:szCs w:val="22"/>
        </w:rPr>
        <w:t xml:space="preserve">C2. El baseline lineal es sorprendentemente competitivo</w:t>
      </w:r>
    </w:p>
    <w:p>
      <w:pPr>
        <w:spacing w:after="100" w:before="80"/>
        <w:jc w:val="both"/>
      </w:pPr>
      <w:r>
        <w:rPr>
          <w:rFonts w:ascii="Arial" w:cs="Arial" w:eastAsia="Arial" w:hAnsi="Arial"/>
          <w:b w:val="false"/>
          <w:bCs w:val="false"/>
          <w:color w:val="1A1A2E"/>
          <w:sz w:val="22"/>
          <w:szCs w:val="22"/>
        </w:rPr>
        <w:t xml:space="preserve">Lasso con variables cíclicas y lags obtiene RMSE = 13.85 h/semana, superando a todos los modelos de árboles y redes neuronales individualmente. Esto indica que las relaciones entre variables son predominantemente lineales y que el feature engineering (lags, codificación cíclica, HR_INICIAL) captura la mayor parte de la variabilidad explicable.</w:t>
      </w:r>
    </w:p>
    <w:p>
      <w:pPr>
        <w:pStyle w:val="Heading3"/>
        <w:spacing w:after="120" w:before="240"/>
      </w:pPr>
      <w:r>
        <w:rPr>
          <w:rFonts w:ascii="Arial" w:cs="Arial" w:eastAsia="Arial" w:hAnsi="Arial"/>
          <w:b/>
          <w:bCs/>
          <w:color w:val="2E4057"/>
          <w:sz w:val="22"/>
          <w:szCs w:val="22"/>
        </w:rPr>
        <w:t xml:space="preserve">C3. Los modelos recurrentes no aportan mejora individual</w:t>
      </w:r>
    </w:p>
    <w:p>
      <w:pPr>
        <w:spacing w:after="100" w:before="80"/>
        <w:jc w:val="both"/>
      </w:pPr>
      <w:r>
        <w:rPr>
          <w:rFonts w:ascii="Arial" w:cs="Arial" w:eastAsia="Arial" w:hAnsi="Arial"/>
          <w:b w:val="false"/>
          <w:bCs w:val="false"/>
          <w:color w:val="1A1A2E"/>
          <w:sz w:val="22"/>
          <w:szCs w:val="22"/>
        </w:rPr>
        <w:t xml:space="preserve">LSTM, GRU y sus variantes no superan al baseline lineal en el escenario cross-project. La causa es la ausencia de dependencias temporales complejas de largo alcance: la información relevante está en las 4 semanas inmediatamente anteriores, ya capturada por los lags en los modelos tabulares. El experimento de ventana (k=4 óptimo) confirma esta conclusión.</w:t>
      </w:r>
    </w:p>
    <w:p>
      <w:pPr>
        <w:pStyle w:val="Heading3"/>
        <w:spacing w:after="120" w:before="240"/>
      </w:pPr>
      <w:r>
        <w:rPr>
          <w:rFonts w:ascii="Arial" w:cs="Arial" w:eastAsia="Arial" w:hAnsi="Arial"/>
          <w:b/>
          <w:bCs/>
          <w:color w:val="2E4057"/>
          <w:sz w:val="22"/>
          <w:szCs w:val="22"/>
        </w:rPr>
        <w:t xml:space="preserve">C4. El Ensemble Híbrido es el modelo ganador con gran margen</w:t>
      </w:r>
    </w:p>
    <w:p>
      <w:pPr>
        <w:spacing w:after="100" w:before="80"/>
        <w:jc w:val="both"/>
      </w:pPr>
      <w:r>
        <w:rPr>
          <w:rFonts w:ascii="Arial" w:cs="Arial" w:eastAsia="Arial" w:hAnsi="Arial"/>
          <w:b w:val="false"/>
          <w:bCs w:val="false"/>
          <w:color w:val="1A1A2E"/>
          <w:sz w:val="22"/>
          <w:szCs w:val="22"/>
        </w:rPr>
        <w:t xml:space="preserve">Al combinar los modelos tabulares y secuenciales mediante un meta-learner Ridge, el ensemble logra RMSE = 4.46 h/semana y R² = 0.993, mejorando un 67.8% respecto al Lasso. El mecanismo es la complementariedad de errores: RF/GB capturan la estructura tabular, mientras los LSTM aportan pequeñas correcciones en la dinámica temporal. El Ridge meta-learner aprende óptimamente cómo combinarlos.</w:t>
      </w:r>
    </w:p>
    <w:p>
      <w:pPr>
        <w:pStyle w:val="Heading3"/>
        <w:spacing w:after="120" w:before="240"/>
      </w:pPr>
      <w:r>
        <w:rPr>
          <w:rFonts w:ascii="Arial" w:cs="Arial" w:eastAsia="Arial" w:hAnsi="Arial"/>
          <w:b/>
          <w:bCs/>
          <w:color w:val="2E4057"/>
          <w:sz w:val="22"/>
          <w:szCs w:val="22"/>
        </w:rPr>
        <w:t xml:space="preserve">C5. La heterogeneidad interdepartamental es un factor limitante</w:t>
      </w:r>
    </w:p>
    <w:p>
      <w:pPr>
        <w:spacing w:after="100" w:before="80"/>
        <w:jc w:val="both"/>
      </w:pPr>
      <w:r>
        <w:rPr>
          <w:rFonts w:ascii="Arial" w:cs="Arial" w:eastAsia="Arial" w:hAnsi="Arial"/>
          <w:b w:val="false"/>
          <w:bCs w:val="false"/>
          <w:color w:val="1A1A2E"/>
          <w:sz w:val="22"/>
          <w:szCs w:val="22"/>
        </w:rPr>
        <w:t xml:space="preserve">El análisis LODO revela que algunos departamentos con patrones muy singulares (pocas muestras, alta variabilidad, características atípicas) no son bien predichos por el modelo global. La correlación r ≈ 0.95 entre carga media y RMSE indica que el error es sistemáticamente mayor en departamentos de alta actividad.</w:t>
      </w:r>
    </w:p>
    <w:p>
      <w:pPr>
        <w:pStyle w:val="Heading2"/>
      </w:pPr>
      <w:r>
        <w:rPr>
          <w:rFonts w:ascii="Arial" w:cs="Arial" w:eastAsia="Arial" w:hAnsi="Arial"/>
          <w:b/>
          <w:bCs/>
          <w:color w:val="1A5276"/>
          <w:sz w:val="28"/>
          <w:szCs w:val="28"/>
        </w:rPr>
        <w:t xml:space="preserve">8.2 Limitaciones del Proyecto</w:t>
      </w:r>
    </w:p>
    <w:p>
      <w:pPr>
        <w:pStyle w:val="ListParagraph"/>
        <w:numPr>
          <w:ilvl w:val="0"/>
          <w:numId w:val="2"/>
        </w:numPr>
        <w:spacing w:after="40" w:before="40"/>
      </w:pPr>
      <w:r>
        <w:rPr>
          <w:rFonts w:ascii="Arial" w:cs="Arial" w:eastAsia="Arial" w:hAnsi="Arial"/>
          <w:color w:val="1A1A2E"/>
          <w:sz w:val="22"/>
          <w:szCs w:val="22"/>
        </w:rPr>
        <w:t xml:space="preserve">Solo dos proyectos finalizados disponibles para entrenamiento y evaluación, lo que limita la generalización de las conclusiones.</w:t>
      </w:r>
    </w:p>
    <w:p>
      <w:pPr>
        <w:pStyle w:val="ListParagraph"/>
        <w:numPr>
          <w:ilvl w:val="0"/>
          <w:numId w:val="2"/>
        </w:numPr>
        <w:spacing w:after="40" w:before="40"/>
      </w:pPr>
      <w:r>
        <w:rPr>
          <w:rFonts w:ascii="Arial" w:cs="Arial" w:eastAsia="Arial" w:hAnsi="Arial"/>
          <w:color w:val="1A1A2E"/>
          <w:sz w:val="22"/>
          <w:szCs w:val="22"/>
        </w:rPr>
        <w:t xml:space="preserve">Asimetría de rendimiento entre E2-A (C1→C3) y E2-B (C3→C1): el modelo no es igualmente eficaz en ambas direcciones de transferencia.</w:t>
      </w:r>
    </w:p>
    <w:p>
      <w:pPr>
        <w:pStyle w:val="ListParagraph"/>
        <w:numPr>
          <w:ilvl w:val="0"/>
          <w:numId w:val="2"/>
        </w:numPr>
        <w:spacing w:after="40" w:before="40"/>
      </w:pPr>
      <w:r>
        <w:rPr>
          <w:rFonts w:ascii="Arial" w:cs="Arial" w:eastAsia="Arial" w:hAnsi="Arial"/>
          <w:color w:val="1A1A2E"/>
          <w:sz w:val="22"/>
          <w:szCs w:val="22"/>
        </w:rPr>
        <w:t xml:space="preserve">El Ensemble Híbrido requiere alineación de índices entre las predicciones tabulares y secuenciales, lo que añade complejidad operativa.</w:t>
      </w:r>
    </w:p>
    <w:p>
      <w:pPr>
        <w:pStyle w:val="ListParagraph"/>
        <w:numPr>
          <w:ilvl w:val="0"/>
          <w:numId w:val="2"/>
        </w:numPr>
        <w:spacing w:after="40" w:before="40"/>
      </w:pPr>
      <w:r>
        <w:rPr>
          <w:rFonts w:ascii="Arial" w:cs="Arial" w:eastAsia="Arial" w:hAnsi="Arial"/>
          <w:color w:val="1A1A2E"/>
          <w:sz w:val="22"/>
          <w:szCs w:val="22"/>
        </w:rPr>
        <w:t xml:space="preserve">La no normalidad de los residuos (extremos atípicos) indica que existen situaciones de carga excepcional que ningún modelo puede predecir con precisión a partir de los datos históricos disponibles.</w:t>
      </w:r>
    </w:p>
    <w:p>
      <w:pPr>
        <w:pStyle w:val="ListParagraph"/>
        <w:numPr>
          <w:ilvl w:val="0"/>
          <w:numId w:val="2"/>
        </w:numPr>
        <w:spacing w:after="40" w:before="40"/>
      </w:pPr>
      <w:r>
        <w:rPr>
          <w:rFonts w:ascii="Arial" w:cs="Arial" w:eastAsia="Arial" w:hAnsi="Arial"/>
          <w:color w:val="1A1A2E"/>
          <w:sz w:val="22"/>
          <w:szCs w:val="22"/>
        </w:rPr>
        <w:t xml:space="preserve">El modelo operativo para evaluación exhaustiva (Fase 5) es RandomForest, no el Ensemble completo, por limitaciones de trazabilidad en el pipeline de validación cruzada.</w:t>
      </w:r>
    </w:p>
    <w:p>
      <w:pPr>
        <w:pStyle w:val="Heading2"/>
      </w:pPr>
      <w:r>
        <w:rPr>
          <w:rFonts w:ascii="Arial" w:cs="Arial" w:eastAsia="Arial" w:hAnsi="Arial"/>
          <w:b/>
          <w:bCs/>
          <w:color w:val="1A5276"/>
          <w:sz w:val="28"/>
          <w:szCs w:val="28"/>
        </w:rPr>
        <w:t xml:space="preserve">8.3 Recomendaciones para Técnicas Reunidas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276" w:val="clear"/>
            <w:tcMar>
              <w:top w:type="dxa" w:w="80"/>
              <w:left w:type="dxa" w:w="200"/>
              <w:bottom w:type="dxa" w:w="80"/>
              <w:right w:type="dxa" w:w="200"/>
            </w:tcMar>
          </w:tcPr>
          <w:p>
            <w:r>
              <w:rPr>
                <w:rFonts w:ascii="Arial" w:cs="Arial" w:eastAsia="Arial" w:hAnsi="Arial"/>
                <w:b/>
                <w:bCs/>
                <w:color w:val="FFFFFF"/>
                <w:sz w:val="22"/>
                <w:szCs w:val="22"/>
              </w:rPr>
              <w:t xml:space="preserve">Recomendaciones Operativas</w:t>
            </w:r>
          </w:p>
        </w:tc>
      </w:tr>
      <w:tr>
        <w:tc>
          <w:tcPr>
            <w:tcW w:type="dxa" w:w="9360"/>
            <w:tcBorders>
              <w:top w:val="single" w:color="CCCCCC" w:sz="1"/>
              <w:left w:val="single" w:color="CCCCCC" w:sz="1"/>
              <w:bottom w:val="single" w:color="CCCCCC" w:sz="1"/>
              <w:right w:val="single" w:color="CCCCCC" w:sz="1"/>
            </w:tcBorders>
            <w:shd w:fill="EAFAF1" w:val="clear"/>
            <w:tcMar>
              <w:top w:type="dxa" w:w="120"/>
              <w:left w:type="dxa" w:w="200"/>
              <w:bottom w:type="dxa" w:w="120"/>
              <w:right w:type="dxa" w:w="200"/>
            </w:tcMar>
          </w:tcPr>
          <w:p>
            <w:pPr>
              <w:spacing w:after="40" w:before="40"/>
            </w:pPr>
            <w:r>
              <w:rPr>
                <w:rFonts w:ascii="Arial" w:cs="Arial" w:eastAsia="Arial" w:hAnsi="Arial"/>
                <w:color w:val="1A1A2E"/>
                <w:sz w:val="22"/>
                <w:szCs w:val="22"/>
              </w:rPr>
              <w:t xml:space="preserve">1. DESPLIEGUE DEL ENSEMBLE HÍBRIDO como modelo de predicción de carga de trabajo semanal, con RF como componente dominante.</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2. SISTEMA DE ALERTAS para departamentos de alta carga con desviaciones superiores al umbral (sugerido: RMSE + 1.5σ).</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3. REENTRENAMIENTO PERIÓDICO al completar cada nuevo proyecto, incorporando sus datos al conjunto de entrenamiento.</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4. MODELO ESPECÍFICO POR DEPARTAMENTO para los departamentos con mayor variabilidad (los identificados con R² negativo en LODO), si se dispone de suficientes datos históricos.</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5. MONITORIZACIÓN DE DRIFT: validar periódicamente que la distribución de las predicciones se mantiene coherente con los datos recientes.</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6. PREDICCIÓN MULTI-HORIZONTE: considerar el uso del Encoder-Decoder (RMSE ≈ 17–25 según horizonte) para planificación a 2–4 semanas vista, como complemento al modelo principal.</w:t>
            </w:r>
          </w:p>
        </w:tc>
      </w:tr>
    </w:tbl>
    <w:p>
      <w:r>
        <w:br w:type="page"/>
      </w:r>
    </w:p>
    <w:p>
      <w:pPr>
        <w:pStyle w:val="Heading1"/>
      </w:pPr>
      <w:r>
        <w:rPr>
          <w:rFonts w:ascii="Arial" w:cs="Arial" w:eastAsia="Arial" w:hAnsi="Arial"/>
          <w:b/>
          <w:bCs/>
          <w:color w:val="1A5276"/>
          <w:sz w:val="36"/>
          <w:szCs w:val="36"/>
        </w:rPr>
        <w:t xml:space="preserve">9. Resumen Final de Métricas</w:t>
      </w:r>
    </w:p>
    <w:p>
      <w:pPr>
        <w:spacing w:after="100" w:before="80"/>
        <w:jc w:val="both"/>
      </w:pPr>
      <w:r>
        <w:rPr>
          <w:rFonts w:ascii="Arial" w:cs="Arial" w:eastAsia="Arial" w:hAnsi="Arial"/>
          <w:b w:val="false"/>
          <w:bCs w:val="false"/>
          <w:color w:val="1A1A2E"/>
          <w:sz w:val="22"/>
          <w:szCs w:val="22"/>
        </w:rPr>
        <w:t xml:space="preserve">La siguiente tabla consolida todos los modelos evaluados a lo largo del proyecto, ordenados por RMSE en el escenario de evaluación principal (E2: C1→C3):</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00"/>
        <w:gridCol w:w="1000"/>
        <w:gridCol w:w="1000"/>
        <w:gridCol w:w="1000"/>
        <w:gridCol w:w="29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Fase</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Nota</w:t>
            </w:r>
          </w:p>
        </w:tc>
      </w:tr>
      <w:tr>
        <w:tc>
          <w:tcPr>
            <w:tcW w:type="dxa" w:w="2800"/>
            <w:tcBorders>
              <w:top w:val="single" w:color="CCCCCC" w:sz="1"/>
              <w:left w:val="single" w:color="CCCCCC" w:sz="1"/>
              <w:bottom w:val="single" w:color="CCCCCC" w:sz="1"/>
              <w:right w:val="single" w:color="CCCCCC" w:sz="1"/>
            </w:tcBorders>
            <w:shd w:fill="EAFAF1" w:val="clear"/>
            <w:tcMar>
              <w:top w:type="dxa" w:w="60"/>
              <w:left w:type="dxa" w:w="120"/>
              <w:bottom w:type="dxa" w:w="60"/>
              <w:right w:type="dxa" w:w="120"/>
            </w:tcMar>
            <w:vAlign w:val="center"/>
          </w:tcPr>
          <w:p>
            <w:pPr>
              <w:jc w:val="left"/>
            </w:pPr>
            <w:r>
              <w:rPr>
                <w:rFonts w:ascii="Arial" w:cs="Arial" w:eastAsia="Arial" w:hAnsi="Arial"/>
                <w:b/>
                <w:bCs/>
                <w:color w:val="1A1A2E"/>
                <w:sz w:val="20"/>
                <w:szCs w:val="20"/>
              </w:rPr>
              <w:t xml:space="preserve">Ensemble Híbrido ★</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4.46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0.993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2.17</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Modelo final</w:t>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Lasso</w:t>
            </w:r>
          </w:p>
        </w:tc>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13.85</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0.929</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7.57</w:t>
            </w:r>
          </w:p>
        </w:tc>
        <w:tc>
          <w:tcPr>
            <w:tcW w:type="dxa" w:w="2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Mejor baseline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LinearRegression</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13.95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7.80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Ridge</w:t>
            </w:r>
          </w:p>
        </w:tc>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13.95</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0.928</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7.80</w:t>
            </w:r>
          </w:p>
        </w:tc>
        <w:tc>
          <w:tcPr>
            <w:tcW w:type="dxa" w:w="2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ElasticNet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14.15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0.926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8.10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Encoder-Decoder (t+1)</w:t>
            </w:r>
          </w:p>
        </w:tc>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F4</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17.31</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0.895</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11.08</w:t>
            </w:r>
          </w:p>
        </w:tc>
        <w:tc>
          <w:tcPr>
            <w:tcW w:type="dxa" w:w="2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Multi-horizonte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LSTM Simple</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17.46</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0.892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10.65</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BiGRU</w:t>
            </w:r>
          </w:p>
        </w:tc>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F3</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18.24</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0.882</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11.18</w:t>
            </w:r>
          </w:p>
        </w:tc>
        <w:tc>
          <w:tcPr>
            <w:tcW w:type="dxa" w:w="2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GradientBoosting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18.01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0.880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10.34</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RandomForest</w:t>
            </w:r>
          </w:p>
        </w:tc>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18.50</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0.873</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11.34</w:t>
            </w:r>
          </w:p>
        </w:tc>
        <w:tc>
          <w:tcPr>
            <w:tcW w:type="dxa" w:w="2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Modelo operativo F5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AdaBoost</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20.21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0.848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12.52</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LSTM + Atención</w:t>
            </w:r>
          </w:p>
        </w:tc>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F4</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19.53</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0.864</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11.88</w:t>
            </w:r>
          </w:p>
        </w:tc>
        <w:tc>
          <w:tcPr>
            <w:tcW w:type="dxa" w:w="2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Interpretabilidad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LSTM + Embedding</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23.54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0.803</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14.19</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SVR</w:t>
            </w:r>
          </w:p>
        </w:tc>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22.06</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0.819</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10.80</w:t>
            </w:r>
          </w:p>
        </w:tc>
        <w:tc>
          <w:tcPr>
            <w:tcW w:type="dxa" w:w="2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KNeighbors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27.91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0.711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15.94</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SARIMA</w:t>
            </w:r>
          </w:p>
        </w:tc>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39.02</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-1.59</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33.23</w:t>
            </w:r>
          </w:p>
        </w:tc>
        <w:tc>
          <w:tcPr>
            <w:tcW w:type="dxa" w:w="2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Series temporales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ARIMA(1,1,1)</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40.22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-1.67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34.17</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Holt</w:t>
            </w:r>
          </w:p>
        </w:tc>
        <w:tc>
          <w:tcPr>
            <w:tcW w:type="dxa" w:w="6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46.66</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-4.03</w:t>
            </w:r>
          </w:p>
        </w:tc>
        <w:tc>
          <w:tcPr>
            <w:tcW w:type="dxa" w:w="100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38.08</w:t>
            </w:r>
          </w:p>
        </w:tc>
        <w:tc>
          <w:tcPr>
            <w:tcW w:type="dxa" w:w="2960"/>
            <w:tcBorders>
              <w:top w:val="single" w:color="CCCCCC" w:sz="1"/>
              <w:left w:val="single" w:color="CCCCCC" w:sz="1"/>
              <w:bottom w:val="single" w:color="CCCCCC" w:sz="1"/>
              <w:right w:val="single" w:color="CCCCCC" w:sz="1"/>
            </w:tcBorders>
            <w:shd w:fill="F4F6F8"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1A1A2E"/>
                <w:sz w:val="20"/>
                <w:szCs w:val="20"/>
              </w:rPr>
              <w:t xml:space="preserve">Holt-Winters</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F2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52.88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-4.34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20"/>
                <w:szCs w:val="20"/>
              </w:rPr>
              <w:t xml:space="preserve">43.89</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center"/>
            </w:pPr>
            <w:r>
              <w:rPr>
                <w:rFonts w:ascii="Arial" w:cs="Arial" w:eastAsia="Arial" w:hAnsi="Arial"/>
                <w:b w:val=""/>
                <w:bCs w:val=""/>
                <w:color w:val="1A1A2E"/>
                <w:sz w:val="20"/>
                <w:szCs w:val="20"/>
              </w:rPr>
              <w:t xml:space="preserve"/>
            </w:r>
          </w:p>
        </w:tc>
      </w:tr>
    </w:tbl>
    <w:p>
      <w:pPr>
        <w:spacing w:after="160" w:before="40"/>
        <w:jc w:val="center"/>
      </w:pPr>
      <w:r>
        <w:rPr>
          <w:rFonts w:ascii="Arial" w:cs="Arial" w:eastAsia="Arial" w:hAnsi="Arial"/>
          <w:color w:val="666666"/>
          <w:sz w:val="18"/>
          <w:szCs w:val="18"/>
        </w:rPr>
        <w:t xml:space="preserve">Tabla 14. Resumen completo de métricas de todos los modelos evaluados en el proyecto.</w:t>
      </w:r>
    </w:p>
    <w:p>
      <w:pPr>
        <w:spacing w:after="360" w:before="0"/>
      </w:pPr>
      <w:r>
        <w:t xml:space="preserve"/>
      </w:r>
    </w:p>
    <w:p>
      <w:pPr>
        <w:spacing w:after="200" w:before="400"/>
        <w:jc w:val="center"/>
      </w:pPr>
      <w:r>
        <w:rPr>
          <w:rFonts w:ascii="Arial" w:cs="Arial" w:eastAsia="Arial" w:hAnsi="Arial"/>
          <w:color w:val="888888"/>
          <w:sz w:val="20"/>
          <w:szCs w:val="20"/>
        </w:rPr>
        <w:t xml:space="preserve">— Fin de la Memoria Técnica —</w:t>
      </w:r>
    </w:p>
    <w:p>
      <w:pPr>
        <w:jc w:val="center"/>
      </w:pPr>
      <w:r>
        <w:rPr>
          <w:rFonts w:ascii="Arial" w:cs="Arial" w:eastAsia="Arial" w:hAnsi="Arial"/>
          <w:color w:val="AAAAAA"/>
          <w:sz w:val="18"/>
          <w:szCs w:val="18"/>
        </w:rPr>
        <w:t xml:space="preserve">Proyecto ULAB · UAX × Técnicas Reunidas · Mayo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spacing w:after="0" w:before="120"/>
      <w:jc w:val="right"/>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spacing w:after="120" w:before="0"/>
    </w:pPr>
    <w:r>
      <w:rPr>
        <w:rFonts w:ascii="Arial" w:cs="Arial" w:eastAsia="Arial" w:hAnsi="Arial"/>
        <w:color w:val="555555"/>
        <w:sz w:val="18"/>
        <w:szCs w:val="18"/>
      </w:rPr>
      <w:t xml:space="preserve">Proyecto ULAB — Predicción de Histogramas de Carga de Trabajo</w:t>
    </w:r>
    <w:r>
      <w:rPr>
        <w:rFonts w:ascii="Arial" w:cs="Arial" w:eastAsia="Arial" w:hAnsi="Arial"/>
        <w:color w:val="888888"/>
        <w:sz w:val="18"/>
        <w:szCs w:val="18"/>
      </w:rPr>
      <w:t xml:space="preserve">   |   UAX × Técnicas Reunidas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2026-05-09T11:35:28.938Z</dcterms:created>
  <dcterms:modified xsi:type="dcterms:W3CDTF">2026-05-09T11:35:28.938Z</dcterms:modified>
</cp:coreProperties>
</file>

<file path=docProps/custom.xml><?xml version="1.0" encoding="utf-8"?>
<Properties xmlns="http://schemas.openxmlformats.org/officeDocument/2006/custom-properties" xmlns:vt="http://schemas.openxmlformats.org/officeDocument/2006/docPropsVTypes"/>
</file>