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jc w:val="center"/>
        <w:bidi/>
      </w:pPr>
      <w:r>
        <w:rPr>
          <w:rFonts w:ascii="Arial" w:hAnsi="Arial" w:eastAsia="Arial Unicode MS" w:cs="Arial Unicode MS"/>
          <w:b/>
          <w:bCs/>
          <w:sz w:val="30"/>
          <w:szCs w:val="30"/>
          <w:lang w:val="ar-SA" w:eastAsia="en-US" w:bidi="ar-SA"/>
        </w:rPr>
        <w:t xml:space="preserve">ATP Internal Auditor Toolkit v1.0</w:t>
      </w:r>
    </w:p>
    <w:p>
      <w:pPr>
        <w:pStyle w:val="Heading1"/>
        <w:jc w:val="center"/>
        <w:bidi/>
      </w:pPr>
      <w:r>
        <w:rPr>
          <w:rFonts w:ascii="Arial" w:hAnsi="Arial" w:eastAsia="Arial Unicode MS" w:cs="Arial Unicode MS"/>
          <w:b/>
          <w:bCs/>
          <w:sz w:val="30"/>
          <w:szCs w:val="30"/>
          <w:lang w:val="ar-SA" w:eastAsia="en-US" w:bidi="ar-SA"/>
        </w:rPr>
        <w:t xml:space="preserve">برامج المراجعة التفصيلية</w:t>
      </w:r>
    </w:p>
    <w:p>
      <w:pPr>
        <w:jc w:val="center"/>
        <w:spacing w:after="240"/>
        <w:bidi/>
      </w:pPr>
      <w:r>
        <w:t xml:space="preserve">رمز الوثيقة: ATP-AP-001</w:t>
      </w:r>
    </w:p>
    <w:p>
      <w:pPr>
        <w:jc w:val="center"/>
        <w:spacing w:after="480"/>
        <w:bidi/>
      </w:pPr>
      <w:r>
        <w:rPr>
          <w:rFonts w:ascii="Arial" w:hAnsi="Arial" w:eastAsia="Arial Unicode MS" w:cs="Arial Unicode MS"/>
          <w:i/>
          <w:iCs/>
          <w:color w:val="6b7280"/>
          <w:lang w:val="ar-SA" w:eastAsia="en-US" w:bidi="ar-SA"/>
        </w:rPr>
        <w:t xml:space="preserve">[مساحة مخصصة لشعار الجهة - ATP Logo Placeholder]</w:t>
      </w:r>
    </w:p>
    <w:p>
      <w:pPr>
        <w:pStyle w:val="Heading1"/>
        <w:jc w:val="center"/>
        <w:bidi/>
      </w:pPr>
      <w:r>
        <w:rPr>
          <w:rFonts w:ascii="Arial" w:hAnsi="Arial" w:eastAsia="Arial Unicode MS" w:cs="Arial Unicode MS"/>
          <w:b/>
          <w:bCs/>
          <w:sz w:val="30"/>
          <w:szCs w:val="30"/>
          <w:lang w:val="ar-SA" w:eastAsia="en-US" w:bidi="ar-SA"/>
        </w:rPr>
        <w:t xml:space="preserve">بيانات الوثيقة</w:t>
      </w:r>
    </w:p>
    <w:tbl>
      <w:tblPr>
        <w:tblW w:w="0" w:type="auto"/>
        <w:jc w:val="center"/>
        <w:tblBorders>
          <w:top w:val="single" w:sz="4" w:color="d1d5db" w:space="0"/>
          <w:left w:val="single" w:sz="4" w:color="d1d5db" w:space="0"/>
          <w:bottom w:val="single" w:sz="4" w:color="d1d5db" w:space="0"/>
          <w:right w:val="single" w:sz="4" w:color="d1d5db" w:space="0"/>
          <w:insideH w:val="single" w:sz="4" w:color="d1d5db" w:space="0"/>
          <w:insideV w:val="single" w:sz="4" w:color="d1d5db" w:space="0"/>
        </w:tblBorders>
      </w:tblPr>
      <w:tblGrid>
        <w:gridCol/>
        <w:gridCol/>
      </w:tblGrid>
      <w:tr>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البيان</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القيمة / الوصف</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اسم الوثيقة</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برامج المراجعة الداخلية التفصيلية</w:t>
            </w:r>
          </w:p>
        </w:tc>
      </w:tr>
      <w:tr>
        <w:tc>
          <w:p>
            <w:pPr>
              <w:jc w:val="right"/>
            </w:pPr>
            <w:r>
              <w:rPr>
                <w:rFonts w:ascii="Arial" w:hAnsi="Arial" w:eastAsia="Arial Unicode MS" w:cs="Arial Unicode MS"/>
                <w:color w:val="000000"/>
                <w:sz w:val="20"/>
                <w:szCs w:val="20"/>
                <w:lang w:val="ar-SA" w:eastAsia="en-US" w:bidi="ar-SA"/>
              </w:rPr>
              <w:t xml:space="preserve">رمز الوثيقة</w:t>
            </w:r>
          </w:p>
        </w:tc>
        <w:tc>
          <w:p>
            <w:pPr>
              <w:jc w:val="right"/>
            </w:pPr>
            <w:r>
              <w:rPr>
                <w:rFonts w:ascii="Arial" w:hAnsi="Arial" w:eastAsia="Arial Unicode MS" w:cs="Arial Unicode MS"/>
                <w:color w:val="000000"/>
                <w:sz w:val="20"/>
                <w:szCs w:val="20"/>
                <w:lang w:val="ar-SA" w:eastAsia="en-US" w:bidi="ar-SA"/>
              </w:rPr>
              <w:t xml:space="preserve">ATP-AP-001</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الإصدار</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1.0</w:t>
            </w:r>
          </w:p>
        </w:tc>
      </w:tr>
      <w:tr>
        <w:tc>
          <w:p>
            <w:pPr>
              <w:jc w:val="right"/>
            </w:pPr>
            <w:r>
              <w:rPr>
                <w:rFonts w:ascii="Arial" w:hAnsi="Arial" w:eastAsia="Arial Unicode MS" w:cs="Arial Unicode MS"/>
                <w:color w:val="000000"/>
                <w:sz w:val="20"/>
                <w:szCs w:val="20"/>
                <w:lang w:val="ar-SA" w:eastAsia="en-US" w:bidi="ar-SA"/>
              </w:rPr>
              <w:t xml:space="preserve">تاريخ الإصدار</w:t>
            </w:r>
          </w:p>
        </w:tc>
        <w:tc>
          <w:p>
            <w:pPr>
              <w:jc w:val="right"/>
            </w:pPr>
            <w:r>
              <w:rPr>
                <w:rFonts w:ascii="Arial" w:hAnsi="Arial" w:eastAsia="Arial Unicode MS" w:cs="Arial Unicode MS"/>
                <w:color w:val="000000"/>
                <w:sz w:val="20"/>
                <w:szCs w:val="20"/>
                <w:lang w:val="ar-SA" w:eastAsia="en-US" w:bidi="ar-SA"/>
              </w:rPr>
              <w:t xml:space="preserve">[قابل للتعبئة]</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حالة الوثيقة</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مسودة / قيد المراجعة / معتمدة</w:t>
            </w:r>
          </w:p>
        </w:tc>
      </w:tr>
      <w:tr>
        <w:tc>
          <w:p>
            <w:pPr>
              <w:jc w:val="right"/>
            </w:pPr>
            <w:r>
              <w:rPr>
                <w:rFonts w:ascii="Arial" w:hAnsi="Arial" w:eastAsia="Arial Unicode MS" w:cs="Arial Unicode MS"/>
                <w:color w:val="000000"/>
                <w:sz w:val="20"/>
                <w:szCs w:val="20"/>
                <w:lang w:val="ar-SA" w:eastAsia="en-US" w:bidi="ar-SA"/>
              </w:rPr>
              <w:t xml:space="preserve">مالك الوثيقة</w:t>
            </w:r>
          </w:p>
        </w:tc>
        <w:tc>
          <w:p>
            <w:pPr>
              <w:jc w:val="right"/>
            </w:pPr>
            <w:r>
              <w:rPr>
                <w:rFonts w:ascii="Arial" w:hAnsi="Arial" w:eastAsia="Arial Unicode MS" w:cs="Arial Unicode MS"/>
                <w:color w:val="000000"/>
                <w:sz w:val="20"/>
                <w:szCs w:val="20"/>
                <w:lang w:val="ar-SA" w:eastAsia="en-US" w:bidi="ar-SA"/>
              </w:rPr>
              <w:t xml:space="preserve">[قابل للتعبئة]</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جهة الاعتماد</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[قابل للتعبئة]</w:t>
            </w:r>
          </w:p>
        </w:tc>
      </w:tr>
      <w:tr>
        <w:tc>
          <w:p>
            <w:pPr>
              <w:jc w:val="right"/>
            </w:pPr>
            <w:r>
              <w:rPr>
                <w:rFonts w:ascii="Arial" w:hAnsi="Arial" w:eastAsia="Arial Unicode MS" w:cs="Arial Unicode MS"/>
                <w:color w:val="000000"/>
                <w:sz w:val="20"/>
                <w:szCs w:val="20"/>
                <w:lang w:val="ar-SA" w:eastAsia="en-US" w:bidi="ar-SA"/>
              </w:rPr>
              <w:t xml:space="preserve">دورية المراجعة</w:t>
            </w:r>
          </w:p>
        </w:tc>
        <w:tc>
          <w:p>
            <w:pPr>
              <w:jc w:val="right"/>
            </w:pPr>
            <w:r>
              <w:rPr>
                <w:rFonts w:ascii="Arial" w:hAnsi="Arial" w:eastAsia="Arial Unicode MS" w:cs="Arial Unicode MS"/>
                <w:color w:val="000000"/>
                <w:sz w:val="20"/>
                <w:szCs w:val="20"/>
                <w:lang w:val="ar-SA" w:eastAsia="en-US" w:bidi="ar-SA"/>
              </w:rPr>
              <w:t xml:space="preserve">سنوية أو عند الحاجة</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مستوى السرية</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داخلي / سري</w:t>
            </w:r>
          </w:p>
        </w:tc>
      </w:tr>
    </w:tbl>
    <w:p>
      <w:pPr>
        <w:jc w:val="center"/>
        <w:spacing w:before="60" w:after="240"/>
      </w:pPr>
      <w:r>
        <w:rPr>
          <w:rFonts w:ascii="Arial" w:hAnsi="Arial" w:eastAsia="Arial Unicode MS" w:cs="Arial Unicode MS"/>
          <w:i/>
          <w:iCs/>
          <w:color w:val="4b5563"/>
          <w:sz w:val="20"/>
          <w:szCs w:val="20"/>
          <w:lang w:val="ar-SA" w:eastAsia="en-US" w:bidi="ar-SA"/>
        </w:rPr>
        <w:t xml:space="preserve">جدول بيانات الوثيقة</w:t>
      </w:r>
    </w:p>
    <w:p>
      <w:pPr>
        <w:pStyle w:val="Heading1"/>
        <w:jc w:val="center"/>
        <w:bidi/>
      </w:pPr>
      <w:r>
        <w:rPr>
          <w:rFonts w:ascii="Arial" w:hAnsi="Arial" w:eastAsia="Arial Unicode MS" w:cs="Arial Unicode MS"/>
          <w:b/>
          <w:bCs/>
          <w:sz w:val="30"/>
          <w:szCs w:val="30"/>
          <w:lang w:val="ar-SA" w:eastAsia="en-US" w:bidi="ar-SA"/>
        </w:rPr>
        <w:t xml:space="preserve">سجل التعديلات</w:t>
      </w:r>
    </w:p>
    <w:tbl>
      <w:tblPr>
        <w:tblW w:w="0" w:type="auto"/>
        <w:jc w:val="center"/>
        <w:tblBorders>
          <w:top w:val="single" w:sz="4" w:color="d1d5db" w:space="0"/>
          <w:left w:val="single" w:sz="4" w:color="d1d5db" w:space="0"/>
          <w:bottom w:val="single" w:sz="4" w:color="d1d5db" w:space="0"/>
          <w:right w:val="single" w:sz="4" w:color="d1d5db" w:space="0"/>
          <w:insideH w:val="single" w:sz="4" w:color="d1d5db" w:space="0"/>
          <w:insideV w:val="single" w:sz="4" w:color="d1d5db" w:space="0"/>
        </w:tblBorders>
      </w:tblPr>
      <w:tblGrid>
        <w:gridCol/>
        <w:gridCol/>
        <w:gridCol/>
        <w:gridCol/>
        <w:gridCol/>
        <w:gridCol/>
      </w:tblGrid>
      <w:tr>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الإصدار</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التاريخ</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وصف التعديل</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أعده</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راجعه</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اعتمده</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1.0</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[قابل للتعبئة]</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الإصدار الأولي للحقيبة</w:t>
            </w:r>
          </w:p>
        </w:tc>
        <w:tc>
          <w:tcPr>
            <w:shd w:val="clear" w:color="auto" w:fill="f9fafb"/>
          </w:tcPr>
          <w:p>
            <w:pPr>
              <w:jc w:val="right"/>
            </w:pPr>
          </w:p>
        </w:tc>
        <w:tc>
          <w:tcPr>
            <w:shd w:val="clear" w:color="auto" w:fill="f9fafb"/>
          </w:tcPr>
          <w:p>
            <w:pPr>
              <w:jc w:val="right"/>
            </w:pPr>
          </w:p>
        </w:tc>
        <w:tc>
          <w:tcPr>
            <w:shd w:val="clear" w:color="auto" w:fill="f9fafb"/>
          </w:tcPr>
          <w:p>
            <w:pPr>
              <w:jc w:val="right"/>
            </w:pPr>
          </w:p>
        </w:tc>
      </w:tr>
    </w:tbl>
    <w:p>
      <w:pPr>
        <w:jc w:val="center"/>
        <w:spacing w:before="60" w:after="240"/>
      </w:pPr>
      <w:r>
        <w:rPr>
          <w:rFonts w:ascii="Arial" w:hAnsi="Arial" w:eastAsia="Arial Unicode MS" w:cs="Arial Unicode MS"/>
          <w:i/>
          <w:iCs/>
          <w:color w:val="4b5563"/>
          <w:sz w:val="20"/>
          <w:szCs w:val="20"/>
          <w:lang w:val="ar-SA" w:eastAsia="en-US" w:bidi="ar-SA"/>
        </w:rPr>
        <w:t xml:space="preserve">سجل إصدارات وتعديلات الوثيقة</w:t>
      </w:r>
    </w:p>
    <w:p>
      <w:pPr>
        <w:pStyle w:val="Heading1"/>
        <w:jc w:val="center"/>
        <w:bidi/>
      </w:pPr>
      <w:r>
        <w:rPr>
          <w:rFonts w:ascii="Arial" w:hAnsi="Arial" w:eastAsia="Arial Unicode MS" w:cs="Arial Unicode MS"/>
          <w:b/>
          <w:bCs/>
          <w:sz w:val="30"/>
          <w:szCs w:val="30"/>
          <w:lang w:val="ar-SA" w:eastAsia="en-US" w:bidi="ar-SA"/>
        </w:rPr>
        <w:t xml:space="preserve">مقدمة برامج المراجعة</w:t>
      </w:r>
    </w:p>
    <w:p>
      <w:pPr>
        <w:jc w:val="center"/>
        <w:bidi/>
      </w:pPr>
      <w:r>
        <w:t xml:space="preserve">يحتوي هذا الملف على 24 برنامج مراجعة تفصيلي يغطي الدورات التشغيلية والمالية الرئيسية في الجهة. تم تصميم كل برنامج ليوفر إطاراً منهجياً للمراجع الداخلي، يتضمن الأهداف، النطاق، المخاطر، الضوابط المتوقعة، وإجراءات الاختبار المطلوبة.</w:t>
      </w:r>
    </w:p>
    <w:p>
      <w:pPr>
        <w:jc w:val="center"/>
        <w:bidi/>
      </w:pPr>
      <w:r>
        <w:t xml:space="preserve">يجب على المراجع تكييف هذه البرامج وفقاً لطبيعة العمل وحجم المخاطر في كل مهمة، وتوثيق أي انحراف عن الإجراءات القياسية في أوراق العمل.</w:t>
      </w:r>
    </w:p>
    <w:p>
      <w:pPr>
        <w:pStyle w:val="Heading1"/>
        <w:jc w:val="center"/>
        <w:bidi/>
      </w:pPr>
      <w:r>
        <w:rPr>
          <w:rFonts w:ascii="Arial" w:hAnsi="Arial" w:eastAsia="Arial Unicode MS" w:cs="Arial Unicode MS"/>
          <w:b/>
          <w:bCs/>
          <w:sz w:val="30"/>
          <w:szCs w:val="30"/>
          <w:lang w:val="ar-SA" w:eastAsia="en-US" w:bidi="ar-SA"/>
        </w:rPr>
        <w:t xml:space="preserve">1. برنامج مراجعة الخزينة (ATP-AP-CSH-001)</w:t>
      </w:r>
    </w:p>
    <w:p>
      <w:pPr>
        <w:pStyle w:val="Heading2"/>
        <w:bidi/>
      </w:pPr>
      <w:r>
        <w:rPr>
          <w:rFonts w:ascii="Arial" w:hAnsi="Arial" w:eastAsia="Arial Unicode MS" w:cs="Arial Unicode MS"/>
          <w:b/>
          <w:bCs/>
          <w:sz w:val="28"/>
          <w:szCs w:val="28"/>
          <w:lang w:val="ar-SA" w:eastAsia="en-US" w:bidi="ar-SA"/>
        </w:rPr>
        <w:t xml:space="preserve">الهدف والنطاق</w:t>
      </w:r>
    </w:p>
    <w:p>
      <w:pPr>
        <w:bidi/>
      </w:pPr>
      <w:r>
        <w:t xml:space="preserve">التأكد من سلامة عمليات استلام وصرف النقدية، وجود الرقابة الفعالة على الصناديق والعهد، ودقة تسجيل الحركات النقدية في السجلات المالية.</w:t>
      </w:r>
    </w:p>
    <w:p>
      <w:pPr>
        <w:pStyle w:val="Heading2"/>
        <w:bidi/>
      </w:pPr>
      <w:r>
        <w:rPr>
          <w:rFonts w:ascii="Arial" w:hAnsi="Arial" w:eastAsia="Arial Unicode MS" w:cs="Arial Unicode MS"/>
          <w:b/>
          <w:bCs/>
          <w:sz w:val="28"/>
          <w:szCs w:val="28"/>
          <w:lang w:val="ar-SA" w:eastAsia="en-US" w:bidi="ar-SA"/>
        </w:rPr>
        <w:t xml:space="preserve">المخاطر والضوابط</w:t>
      </w:r>
    </w:p>
    <w:tbl>
      <w:tblPr>
        <w:tblW w:w="0" w:type="auto"/>
        <w:jc w:val="center"/>
        <w:tblBorders>
          <w:top w:val="single" w:sz="4" w:color="d1d5db" w:space="0"/>
          <w:left w:val="single" w:sz="4" w:color="d1d5db" w:space="0"/>
          <w:bottom w:val="single" w:sz="4" w:color="d1d5db" w:space="0"/>
          <w:right w:val="single" w:sz="4" w:color="d1d5db" w:space="0"/>
          <w:insideH w:val="single" w:sz="4" w:color="d1d5db" w:space="0"/>
          <w:insideV w:val="single" w:sz="4" w:color="d1d5db" w:space="0"/>
        </w:tblBorders>
      </w:tblPr>
      <w:tblGrid>
        <w:gridCol/>
        <w:gridCol/>
        <w:gridCol/>
      </w:tblGrid>
      <w:tr>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الخطر</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الضابط المتوقع</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إجراء الاختبار</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اختلاس النقدية</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الفصل بين مهام الاستلام والصرف والتسجيل</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مراقبة عملية الجرد المفاجئ ومراجعة سجلات العهد</w:t>
            </w:r>
          </w:p>
        </w:tc>
      </w:tr>
      <w:tr>
        <w:tc>
          <w:p>
            <w:pPr>
              <w:jc w:val="right"/>
            </w:pPr>
            <w:r>
              <w:rPr>
                <w:rFonts w:ascii="Arial" w:hAnsi="Arial" w:eastAsia="Arial Unicode MS" w:cs="Arial Unicode MS"/>
                <w:color w:val="000000"/>
                <w:sz w:val="20"/>
                <w:szCs w:val="20"/>
                <w:lang w:val="ar-SA" w:eastAsia="en-US" w:bidi="ar-SA"/>
              </w:rPr>
              <w:t xml:space="preserve">صرف دون اعتماد</w:t>
            </w:r>
          </w:p>
        </w:tc>
        <w:tc>
          <w:p>
            <w:pPr>
              <w:jc w:val="right"/>
            </w:pPr>
            <w:r>
              <w:rPr>
                <w:rFonts w:ascii="Arial" w:hAnsi="Arial" w:eastAsia="Arial Unicode MS" w:cs="Arial Unicode MS"/>
                <w:color w:val="000000"/>
                <w:sz w:val="20"/>
                <w:szCs w:val="20"/>
                <w:lang w:val="ar-SA" w:eastAsia="en-US" w:bidi="ar-SA"/>
              </w:rPr>
              <w:t xml:space="preserve">وجود حدود صلاحية واضحة للتوقيع</w:t>
            </w:r>
          </w:p>
        </w:tc>
        <w:tc>
          <w:p>
            <w:pPr>
              <w:jc w:val="right"/>
            </w:pPr>
            <w:r>
              <w:rPr>
                <w:rFonts w:ascii="Arial" w:hAnsi="Arial" w:eastAsia="Arial Unicode MS" w:cs="Arial Unicode MS"/>
                <w:color w:val="000000"/>
                <w:sz w:val="20"/>
                <w:szCs w:val="20"/>
                <w:lang w:val="ar-SA" w:eastAsia="en-US" w:bidi="ar-SA"/>
              </w:rPr>
              <w:t xml:space="preserve">فحص عينات من سندات الصرف للتأكد من التوقيعات</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عدم دقة السجلات</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المطابقة اليومية بين الصندوق والسجلات</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إعادة حساب أرصدة الصناديق ومطابقتها مع الأستاذ العام</w:t>
            </w:r>
          </w:p>
        </w:tc>
      </w:tr>
    </w:tbl>
    <w:p>
      <w:pPr>
        <w:jc w:val="center"/>
        <w:spacing w:before="60" w:after="240"/>
      </w:pPr>
      <w:r>
        <w:rPr>
          <w:rFonts w:ascii="Arial" w:hAnsi="Arial" w:eastAsia="Arial Unicode MS" w:cs="Arial Unicode MS"/>
          <w:i/>
          <w:iCs/>
          <w:color w:val="4b5563"/>
          <w:sz w:val="20"/>
          <w:szCs w:val="20"/>
          <w:lang w:val="ar-SA" w:eastAsia="en-US" w:bidi="ar-SA"/>
        </w:rPr>
        <w:t xml:space="preserve">مصفوفة المخاطر والضوابط - الخزينة</w:t>
      </w:r>
    </w:p>
    <w:p>
      <w:pPr>
        <w:pStyle w:val="Heading2"/>
        <w:bidi/>
      </w:pPr>
      <w:r>
        <w:rPr>
          <w:rFonts w:ascii="Arial" w:hAnsi="Arial" w:eastAsia="Arial Unicode MS" w:cs="Arial Unicode MS"/>
          <w:b/>
          <w:bCs/>
          <w:sz w:val="28"/>
          <w:szCs w:val="28"/>
          <w:lang w:val="ar-SA" w:eastAsia="en-US" w:bidi="ar-SA"/>
        </w:rPr>
        <w:t xml:space="preserve">إجراءات الاختبار التفصيلية</w:t>
      </w:r>
    </w:p>
    <w:tbl>
      <w:tblPr>
        <w:tblW w:w="0" w:type="auto"/>
        <w:jc w:val="center"/>
        <w:tblBorders>
          <w:top w:val="single" w:sz="4" w:color="d1d5db" w:space="0"/>
          <w:left w:val="single" w:sz="4" w:color="d1d5db" w:space="0"/>
          <w:bottom w:val="single" w:sz="4" w:color="d1d5db" w:space="0"/>
          <w:right w:val="single" w:sz="4" w:color="d1d5db" w:space="0"/>
          <w:insideH w:val="single" w:sz="4" w:color="d1d5db" w:space="0"/>
          <w:insideV w:val="single" w:sz="4" w:color="d1d5db" w:space="0"/>
        </w:tblBorders>
      </w:tblPr>
      <w:tblGrid>
        <w:gridCol/>
        <w:gridCol/>
        <w:gridCol/>
        <w:gridCol/>
        <w:gridCol/>
      </w:tblGrid>
      <w:tr>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رقم الإجراء</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الهدف</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الدليل المطلوب</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النتيجة</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مرجع ورقة العمل</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1</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التأكد من وجود جرد مفاجئ للصندوق الرئيسي والفرعي</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محضر الجرد الموقع</w:t>
            </w:r>
          </w:p>
        </w:tc>
        <w:tc>
          <w:tcPr>
            <w:shd w:val="clear" w:color="auto" w:fill="f9fafb"/>
          </w:tcPr>
          <w:p>
            <w:pPr>
              <w:jc w:val="right"/>
            </w:pPr>
          </w:p>
        </w:tc>
        <w:tc>
          <w:tcPr>
            <w:shd w:val="clear" w:color="auto" w:fill="f9fafb"/>
          </w:tcPr>
          <w:p>
            <w:pPr>
              <w:jc w:val="right"/>
            </w:pPr>
          </w:p>
        </w:tc>
      </w:tr>
      <w:tr>
        <w:tc>
          <w:p>
            <w:pPr>
              <w:jc w:val="right"/>
            </w:pPr>
            <w:r>
              <w:rPr>
                <w:rFonts w:ascii="Arial" w:hAnsi="Arial" w:eastAsia="Arial Unicode MS" w:cs="Arial Unicode MS"/>
                <w:color w:val="000000"/>
                <w:sz w:val="20"/>
                <w:szCs w:val="20"/>
                <w:lang w:val="ar-SA" w:eastAsia="en-US" w:bidi="ar-SA"/>
              </w:rPr>
              <w:t xml:space="preserve">2</w:t>
            </w:r>
          </w:p>
        </w:tc>
        <w:tc>
          <w:p>
            <w:pPr>
              <w:jc w:val="right"/>
            </w:pPr>
            <w:r>
              <w:rPr>
                <w:rFonts w:ascii="Arial" w:hAnsi="Arial" w:eastAsia="Arial Unicode MS" w:cs="Arial Unicode MS"/>
                <w:color w:val="000000"/>
                <w:sz w:val="20"/>
                <w:szCs w:val="20"/>
                <w:lang w:val="ar-SA" w:eastAsia="en-US" w:bidi="ar-SA"/>
              </w:rPr>
              <w:t xml:space="preserve">فحص سندات القبض والصرف لعينة مختارة</w:t>
            </w:r>
          </w:p>
        </w:tc>
        <w:tc>
          <w:p>
            <w:pPr>
              <w:jc w:val="right"/>
            </w:pPr>
            <w:r>
              <w:rPr>
                <w:rFonts w:ascii="Arial" w:hAnsi="Arial" w:eastAsia="Arial Unicode MS" w:cs="Arial Unicode MS"/>
                <w:color w:val="000000"/>
                <w:sz w:val="20"/>
                <w:szCs w:val="20"/>
                <w:lang w:val="ar-SA" w:eastAsia="en-US" w:bidi="ar-SA"/>
              </w:rPr>
              <w:t xml:space="preserve">سندات مؤيدة ومستوفية للاعتمادات</w:t>
            </w:r>
          </w:p>
        </w:tc>
        <w:tc>
          <w:p>
            <w:pPr>
              <w:jc w:val="right"/>
            </w:pPr>
          </w:p>
        </w:tc>
        <w:tc>
          <w:p>
            <w:pPr>
              <w:jc w:val="right"/>
            </w:pP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3</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مراجعة تسويات العجز والزيادة إن وجدت</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قرارات التسوية والمستندات المؤيدة</w:t>
            </w:r>
          </w:p>
        </w:tc>
        <w:tc>
          <w:tcPr>
            <w:shd w:val="clear" w:color="auto" w:fill="f9fafb"/>
          </w:tcPr>
          <w:p>
            <w:pPr>
              <w:jc w:val="right"/>
            </w:pPr>
          </w:p>
        </w:tc>
        <w:tc>
          <w:tcPr>
            <w:shd w:val="clear" w:color="auto" w:fill="f9fafb"/>
          </w:tcPr>
          <w:p>
            <w:pPr>
              <w:jc w:val="right"/>
            </w:pPr>
          </w:p>
        </w:tc>
      </w:tr>
      <w:tr>
        <w:tc>
          <w:p>
            <w:pPr>
              <w:jc w:val="right"/>
            </w:pPr>
            <w:r>
              <w:rPr>
                <w:rFonts w:ascii="Arial" w:hAnsi="Arial" w:eastAsia="Arial Unicode MS" w:cs="Arial Unicode MS"/>
                <w:color w:val="000000"/>
                <w:sz w:val="20"/>
                <w:szCs w:val="20"/>
                <w:lang w:val="ar-SA" w:eastAsia="en-US" w:bidi="ar-SA"/>
              </w:rPr>
              <w:t xml:space="preserve">4</w:t>
            </w:r>
          </w:p>
        </w:tc>
        <w:tc>
          <w:p>
            <w:pPr>
              <w:jc w:val="right"/>
            </w:pPr>
            <w:r>
              <w:rPr>
                <w:rFonts w:ascii="Arial" w:hAnsi="Arial" w:eastAsia="Arial Unicode MS" w:cs="Arial Unicode MS"/>
                <w:color w:val="000000"/>
                <w:sz w:val="20"/>
                <w:szCs w:val="20"/>
                <w:lang w:val="ar-SA" w:eastAsia="en-US" w:bidi="ar-SA"/>
              </w:rPr>
              <w:t xml:space="preserve">التحقق من فصل المهام بين أمين الصندوق والمسؤول عن التسجيل</w:t>
            </w:r>
          </w:p>
        </w:tc>
        <w:tc>
          <w:p>
            <w:pPr>
              <w:jc w:val="right"/>
            </w:pPr>
            <w:r>
              <w:rPr>
                <w:rFonts w:ascii="Arial" w:hAnsi="Arial" w:eastAsia="Arial Unicode MS" w:cs="Arial Unicode MS"/>
                <w:color w:val="000000"/>
                <w:sz w:val="20"/>
                <w:szCs w:val="20"/>
                <w:lang w:val="ar-SA" w:eastAsia="en-US" w:bidi="ar-SA"/>
              </w:rPr>
              <w:t xml:space="preserve">هيكل تنظيمي ووصف وظيفي</w:t>
            </w:r>
          </w:p>
        </w:tc>
        <w:tc>
          <w:p>
            <w:pPr>
              <w:jc w:val="right"/>
            </w:pPr>
          </w:p>
        </w:tc>
        <w:tc>
          <w:p>
            <w:pPr>
              <w:jc w:val="right"/>
            </w:pPr>
          </w:p>
        </w:tc>
      </w:tr>
    </w:tbl>
    <w:p>
      <w:pPr>
        <w:jc w:val="center"/>
        <w:spacing w:before="60" w:after="240"/>
      </w:pPr>
      <w:r>
        <w:rPr>
          <w:rFonts w:ascii="Arial" w:hAnsi="Arial" w:eastAsia="Arial Unicode MS" w:cs="Arial Unicode MS"/>
          <w:i/>
          <w:iCs/>
          <w:color w:val="4b5563"/>
          <w:sz w:val="20"/>
          <w:szCs w:val="20"/>
          <w:lang w:val="ar-SA" w:eastAsia="en-US" w:bidi="ar-SA"/>
        </w:rPr>
        <w:t xml:space="preserve">خطوات فحص الخزينة</w:t>
      </w:r>
    </w:p>
    <w:p>
      <w:pPr>
        <w:pStyle w:val="Heading1"/>
        <w:jc w:val="center"/>
        <w:bidi/>
      </w:pPr>
      <w:r>
        <w:rPr>
          <w:rFonts w:ascii="Arial" w:hAnsi="Arial" w:eastAsia="Arial Unicode MS" w:cs="Arial Unicode MS"/>
          <w:b/>
          <w:bCs/>
          <w:sz w:val="30"/>
          <w:szCs w:val="30"/>
          <w:lang w:val="ar-SA" w:eastAsia="en-US" w:bidi="ar-SA"/>
        </w:rPr>
        <w:t xml:space="preserve">2. برنامج مراجعة البنوك (ATP-AP-CSH-002)</w:t>
      </w:r>
    </w:p>
    <w:p>
      <w:pPr>
        <w:jc w:val="center"/>
        <w:bidi/>
      </w:pPr>
      <w:r>
        <w:t xml:space="preserve">يركز هذا البرنامج على التأكد من صحة أرصدة الحسابات البنكية، اكتمال التسويات البنكية، وسلامة عمليات التحويل والشيكات.</w:t>
      </w:r>
    </w:p>
    <w:tbl>
      <w:tblPr>
        <w:tblW w:w="0" w:type="auto"/>
        <w:jc w:val="center"/>
        <w:tblBorders>
          <w:top w:val="single" w:sz="4" w:color="d1d5db" w:space="0"/>
          <w:left w:val="single" w:sz="4" w:color="d1d5db" w:space="0"/>
          <w:bottom w:val="single" w:sz="4" w:color="d1d5db" w:space="0"/>
          <w:right w:val="single" w:sz="4" w:color="d1d5db" w:space="0"/>
          <w:insideH w:val="single" w:sz="4" w:color="d1d5db" w:space="0"/>
          <w:insideV w:val="single" w:sz="4" w:color="d1d5db" w:space="0"/>
        </w:tblBorders>
      </w:tblPr>
      <w:tblGrid>
        <w:gridCol/>
        <w:gridCol/>
        <w:gridCol/>
        <w:gridCol/>
        <w:gridCol/>
      </w:tblGrid>
      <w:tr>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رقم الإجراء</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الهدف</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الدليل المطلوب</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النتيجة</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مرجع ورقة العمل</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1</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الحصول على كشوف بنكية مستقلة لجميع الحسابات</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كشوف بنكية أصلية أو مصدقة</w:t>
            </w:r>
          </w:p>
        </w:tc>
        <w:tc>
          <w:tcPr>
            <w:shd w:val="clear" w:color="auto" w:fill="f9fafb"/>
          </w:tcPr>
          <w:p>
            <w:pPr>
              <w:jc w:val="right"/>
            </w:pPr>
          </w:p>
        </w:tc>
        <w:tc>
          <w:tcPr>
            <w:shd w:val="clear" w:color="auto" w:fill="f9fafb"/>
          </w:tcPr>
          <w:p>
            <w:pPr>
              <w:jc w:val="right"/>
            </w:pPr>
          </w:p>
        </w:tc>
      </w:tr>
      <w:tr>
        <w:tc>
          <w:p>
            <w:pPr>
              <w:jc w:val="right"/>
            </w:pPr>
            <w:r>
              <w:rPr>
                <w:rFonts w:ascii="Arial" w:hAnsi="Arial" w:eastAsia="Arial Unicode MS" w:cs="Arial Unicode MS"/>
                <w:color w:val="000000"/>
                <w:sz w:val="20"/>
                <w:szCs w:val="20"/>
                <w:lang w:val="ar-SA" w:eastAsia="en-US" w:bidi="ar-SA"/>
              </w:rPr>
              <w:t xml:space="preserve">2</w:t>
            </w:r>
          </w:p>
        </w:tc>
        <w:tc>
          <w:p>
            <w:pPr>
              <w:jc w:val="right"/>
            </w:pPr>
            <w:r>
              <w:rPr>
                <w:rFonts w:ascii="Arial" w:hAnsi="Arial" w:eastAsia="Arial Unicode MS" w:cs="Arial Unicode MS"/>
                <w:color w:val="000000"/>
                <w:sz w:val="20"/>
                <w:szCs w:val="20"/>
                <w:lang w:val="ar-SA" w:eastAsia="en-US" w:bidi="ar-SA"/>
              </w:rPr>
              <w:t xml:space="preserve">مراجعة التسويات البنكية للشهر الأخير</w:t>
            </w:r>
          </w:p>
        </w:tc>
        <w:tc>
          <w:p>
            <w:pPr>
              <w:jc w:val="right"/>
            </w:pPr>
            <w:r>
              <w:rPr>
                <w:rFonts w:ascii="Arial" w:hAnsi="Arial" w:eastAsia="Arial Unicode MS" w:cs="Arial Unicode MS"/>
                <w:color w:val="000000"/>
                <w:sz w:val="20"/>
                <w:szCs w:val="20"/>
                <w:lang w:val="ar-SA" w:eastAsia="en-US" w:bidi="ar-SA"/>
              </w:rPr>
              <w:t xml:space="preserve">ورقة تسوية بنكية معتمدة</w:t>
            </w:r>
          </w:p>
        </w:tc>
        <w:tc>
          <w:p>
            <w:pPr>
              <w:jc w:val="right"/>
            </w:pPr>
          </w:p>
        </w:tc>
        <w:tc>
          <w:p>
            <w:pPr>
              <w:jc w:val="right"/>
            </w:pP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3</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فحص الشيكات القائمة لأكثر من 6 أشهر</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تحليل أعمار الشيكات ومسببات بقائها</w:t>
            </w:r>
          </w:p>
        </w:tc>
        <w:tc>
          <w:tcPr>
            <w:shd w:val="clear" w:color="auto" w:fill="f9fafb"/>
          </w:tcPr>
          <w:p>
            <w:pPr>
              <w:jc w:val="right"/>
            </w:pPr>
          </w:p>
        </w:tc>
        <w:tc>
          <w:tcPr>
            <w:shd w:val="clear" w:color="auto" w:fill="f9fafb"/>
          </w:tcPr>
          <w:p>
            <w:pPr>
              <w:jc w:val="right"/>
            </w:pPr>
          </w:p>
        </w:tc>
      </w:tr>
      <w:tr>
        <w:tc>
          <w:p>
            <w:pPr>
              <w:jc w:val="right"/>
            </w:pPr>
            <w:r>
              <w:rPr>
                <w:rFonts w:ascii="Arial" w:hAnsi="Arial" w:eastAsia="Arial Unicode MS" w:cs="Arial Unicode MS"/>
                <w:color w:val="000000"/>
                <w:sz w:val="20"/>
                <w:szCs w:val="20"/>
                <w:lang w:val="ar-SA" w:eastAsia="en-US" w:bidi="ar-SA"/>
              </w:rPr>
              <w:t xml:space="preserve">4</w:t>
            </w:r>
          </w:p>
        </w:tc>
        <w:tc>
          <w:p>
            <w:pPr>
              <w:jc w:val="right"/>
            </w:pPr>
            <w:r>
              <w:rPr>
                <w:rFonts w:ascii="Arial" w:hAnsi="Arial" w:eastAsia="Arial Unicode MS" w:cs="Arial Unicode MS"/>
                <w:color w:val="000000"/>
                <w:sz w:val="20"/>
                <w:szCs w:val="20"/>
                <w:lang w:val="ar-SA" w:eastAsia="en-US" w:bidi="ar-SA"/>
              </w:rPr>
              <w:t xml:space="preserve">التحقق من صلاحيات التوقيع على الحسابات</w:t>
            </w:r>
          </w:p>
        </w:tc>
        <w:tc>
          <w:p>
            <w:pPr>
              <w:jc w:val="right"/>
            </w:pPr>
            <w:r>
              <w:rPr>
                <w:rFonts w:ascii="Arial" w:hAnsi="Arial" w:eastAsia="Arial Unicode MS" w:cs="Arial Unicode MS"/>
                <w:color w:val="000000"/>
                <w:sz w:val="20"/>
                <w:szCs w:val="20"/>
                <w:lang w:val="ar-SA" w:eastAsia="en-US" w:bidi="ar-SA"/>
              </w:rPr>
              <w:t xml:space="preserve">نموذج التواقيع المعتمد من البنك</w:t>
            </w:r>
          </w:p>
        </w:tc>
        <w:tc>
          <w:p>
            <w:pPr>
              <w:jc w:val="right"/>
            </w:pPr>
          </w:p>
        </w:tc>
        <w:tc>
          <w:p>
            <w:pPr>
              <w:jc w:val="right"/>
            </w:pPr>
          </w:p>
        </w:tc>
      </w:tr>
    </w:tbl>
    <w:p>
      <w:pPr>
        <w:jc w:val="center"/>
        <w:spacing w:before="60" w:after="240"/>
      </w:pPr>
      <w:r>
        <w:rPr>
          <w:rFonts w:ascii="Arial" w:hAnsi="Arial" w:eastAsia="Arial Unicode MS" w:cs="Arial Unicode MS"/>
          <w:i/>
          <w:iCs/>
          <w:color w:val="4b5563"/>
          <w:sz w:val="20"/>
          <w:szCs w:val="20"/>
          <w:lang w:val="ar-SA" w:eastAsia="en-US" w:bidi="ar-SA"/>
        </w:rPr>
        <w:t xml:space="preserve">إجراءات فحص البنوك</w:t>
      </w:r>
    </w:p>
    <w:p>
      <w:pPr>
        <w:pStyle w:val="Heading1"/>
        <w:jc w:val="center"/>
        <w:bidi/>
      </w:pPr>
      <w:r>
        <w:rPr>
          <w:rFonts w:ascii="Arial" w:hAnsi="Arial" w:eastAsia="Arial Unicode MS" w:cs="Arial Unicode MS"/>
          <w:b/>
          <w:bCs/>
          <w:sz w:val="30"/>
          <w:szCs w:val="30"/>
          <w:lang w:val="ar-SA" w:eastAsia="en-US" w:bidi="ar-SA"/>
        </w:rPr>
        <w:t xml:space="preserve">3. برنامج مراجعة المشتريات (ATP-AP-PUR-001)</w:t>
      </w:r>
    </w:p>
    <w:p>
      <w:pPr>
        <w:jc w:val="center"/>
        <w:bidi/>
      </w:pPr>
      <w:r>
        <w:t xml:space="preserve">يهدف إلى ضمان أن المشتريات تتم بناءً على حاجة فعلية، وبأفضل سعر وجودة، وفقاً للسياسات المعتمدة.</w:t>
      </w:r>
    </w:p>
    <w:tbl>
      <w:tblPr>
        <w:tblW w:w="0" w:type="auto"/>
        <w:jc w:val="center"/>
        <w:tblBorders>
          <w:top w:val="single" w:sz="4" w:color="d1d5db" w:space="0"/>
          <w:left w:val="single" w:sz="4" w:color="d1d5db" w:space="0"/>
          <w:bottom w:val="single" w:sz="4" w:color="d1d5db" w:space="0"/>
          <w:right w:val="single" w:sz="4" w:color="d1d5db" w:space="0"/>
          <w:insideH w:val="single" w:sz="4" w:color="d1d5db" w:space="0"/>
          <w:insideV w:val="single" w:sz="4" w:color="d1d5db" w:space="0"/>
        </w:tblBorders>
      </w:tblPr>
      <w:tblGrid>
        <w:gridCol/>
        <w:gridCol/>
        <w:gridCol/>
        <w:gridCol/>
        <w:gridCol/>
      </w:tblGrid>
      <w:tr>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رقم الإجراء</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الهدف</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الدليل المطلوب</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النتيجة</w:t>
            </w:r>
          </w:p>
        </w:tc>
        <w:tc>
          <w:tcPr>
            <w:shd w:val="clear" w:color="auto" w:fill="172554"/>
          </w:tcPr>
          <w:p>
            <w:pPr>
              <w:jc w:val="center"/>
            </w:pPr>
            <w:r>
              <w:rPr>
                <w:rFonts w:ascii="Arial" w:hAnsi="Arial" w:eastAsia="Arial Unicode MS" w:cs="Arial Unicode MS"/>
                <w:b/>
                <w:bCs/>
                <w:color w:val="ffffff"/>
                <w:sz w:val="20"/>
                <w:szCs w:val="20"/>
                <w:lang w:val="ar-SA" w:eastAsia="en-US" w:bidi="ar-SA"/>
              </w:rPr>
              <w:t xml:space="preserve">مرجع ورقة العمل</w:t>
            </w: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1</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التأكد من وجود طلب شراء معتمد قبل issuance أمر الشراء</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طلب شراء مؤرخ وموقع</w:t>
            </w:r>
          </w:p>
        </w:tc>
        <w:tc>
          <w:tcPr>
            <w:shd w:val="clear" w:color="auto" w:fill="f9fafb"/>
          </w:tcPr>
          <w:p>
            <w:pPr>
              <w:jc w:val="right"/>
            </w:pPr>
          </w:p>
        </w:tc>
        <w:tc>
          <w:tcPr>
            <w:shd w:val="clear" w:color="auto" w:fill="f9fafb"/>
          </w:tcPr>
          <w:p>
            <w:pPr>
              <w:jc w:val="right"/>
            </w:pPr>
          </w:p>
        </w:tc>
      </w:tr>
      <w:tr>
        <w:tc>
          <w:p>
            <w:pPr>
              <w:jc w:val="right"/>
            </w:pPr>
            <w:r>
              <w:rPr>
                <w:rFonts w:ascii="Arial" w:hAnsi="Arial" w:eastAsia="Arial Unicode MS" w:cs="Arial Unicode MS"/>
                <w:color w:val="000000"/>
                <w:sz w:val="20"/>
                <w:szCs w:val="20"/>
                <w:lang w:val="ar-SA" w:eastAsia="en-US" w:bidi="ar-SA"/>
              </w:rPr>
              <w:t xml:space="preserve">2</w:t>
            </w:r>
          </w:p>
        </w:tc>
        <w:tc>
          <w:p>
            <w:pPr>
              <w:jc w:val="right"/>
            </w:pPr>
            <w:r>
              <w:rPr>
                <w:rFonts w:ascii="Arial" w:hAnsi="Arial" w:eastAsia="Arial Unicode MS" w:cs="Arial Unicode MS"/>
                <w:color w:val="000000"/>
                <w:sz w:val="20"/>
                <w:szCs w:val="20"/>
                <w:lang w:val="ar-SA" w:eastAsia="en-US" w:bidi="ar-SA"/>
              </w:rPr>
              <w:t xml:space="preserve">مراجعة إجراءات المنافسة وعروض الأسعار</w:t>
            </w:r>
          </w:p>
        </w:tc>
        <w:tc>
          <w:p>
            <w:pPr>
              <w:jc w:val="right"/>
            </w:pPr>
            <w:r>
              <w:rPr>
                <w:rFonts w:ascii="Arial" w:hAnsi="Arial" w:eastAsia="Arial Unicode MS" w:cs="Arial Unicode MS"/>
                <w:color w:val="000000"/>
                <w:sz w:val="20"/>
                <w:szCs w:val="20"/>
                <w:lang w:val="ar-SA" w:eastAsia="en-US" w:bidi="ar-SA"/>
              </w:rPr>
              <w:t xml:space="preserve">محاضر فتح العروض ولجان التقييم</w:t>
            </w:r>
          </w:p>
        </w:tc>
        <w:tc>
          <w:p>
            <w:pPr>
              <w:jc w:val="right"/>
            </w:pPr>
          </w:p>
        </w:tc>
        <w:tc>
          <w:p>
            <w:pPr>
              <w:jc w:val="right"/>
            </w:pPr>
          </w:p>
        </w:tc>
      </w:tr>
      <w:tr>
        <w:tc>
          <w:tcPr>
            <w:shd w:val="clear" w:color="auto" w:fill="f9fafb"/>
          </w:tcPr>
          <w:p>
            <w:pPr>
              <w:jc w:val="right"/>
            </w:pPr>
            <w:r>
              <w:rPr>
                <w:rFonts w:ascii="Arial" w:hAnsi="Arial" w:eastAsia="Arial Unicode MS" w:cs="Arial Unicode MS"/>
                <w:color w:val="000000"/>
                <w:sz w:val="20"/>
                <w:szCs w:val="20"/>
                <w:lang w:val="ar-SA" w:eastAsia="en-US" w:bidi="ar-SA"/>
              </w:rPr>
              <w:t xml:space="preserve">3</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الكشف عن حالات تجزئة المشتريات لتجاوز حدود الاعتماد</w:t>
            </w:r>
          </w:p>
        </w:tc>
        <w:tc>
          <w:tcPr>
            <w:shd w:val="clear" w:color="auto" w:fill="f9fafb"/>
          </w:tcPr>
          <w:p>
            <w:pPr>
              <w:jc w:val="right"/>
            </w:pPr>
            <w:r>
              <w:rPr>
                <w:rFonts w:ascii="Arial" w:hAnsi="Arial" w:eastAsia="Arial Unicode MS" w:cs="Arial Unicode MS"/>
                <w:color w:val="000000"/>
                <w:sz w:val="20"/>
                <w:szCs w:val="20"/>
                <w:lang w:val="ar-SA" w:eastAsia="en-US" w:bidi="ar-SA"/>
              </w:rPr>
              <w:t xml:space="preserve">تحليل أوامر الشراء لنفس المورد خلال فترة قصيرة</w:t>
            </w:r>
          </w:p>
        </w:tc>
        <w:tc>
          <w:tcPr>
            <w:shd w:val="clear" w:color="auto" w:fill="f9fafb"/>
          </w:tcPr>
          <w:p>
            <w:pPr>
              <w:jc w:val="right"/>
            </w:pPr>
          </w:p>
        </w:tc>
        <w:tc>
          <w:tcPr>
            <w:shd w:val="clear" w:color="auto" w:fill="f9fafb"/>
          </w:tcPr>
          <w:p>
            <w:pPr>
              <w:jc w:val="right"/>
            </w:pPr>
          </w:p>
        </w:tc>
      </w:tr>
      <w:tr>
        <w:tc>
          <w:p>
            <w:pPr>
              <w:jc w:val="right"/>
            </w:pPr>
            <w:r>
              <w:rPr>
                <w:rFonts w:ascii="Arial" w:hAnsi="Arial" w:eastAsia="Arial Unicode MS" w:cs="Arial Unicode MS"/>
                <w:color w:val="000000"/>
                <w:sz w:val="20"/>
                <w:szCs w:val="20"/>
                <w:lang w:val="ar-SA" w:eastAsia="en-US" w:bidi="ar-SA"/>
              </w:rPr>
              <w:t xml:space="preserve">4</w:t>
            </w:r>
          </w:p>
        </w:tc>
        <w:tc>
          <w:p>
            <w:pPr>
              <w:jc w:val="right"/>
            </w:pPr>
            <w:r>
              <w:rPr>
                <w:rFonts w:ascii="Arial" w:hAnsi="Arial" w:eastAsia="Arial Unicode MS" w:cs="Arial Unicode MS"/>
                <w:color w:val="000000"/>
                <w:sz w:val="20"/>
                <w:szCs w:val="20"/>
                <w:lang w:val="ar-SA" w:eastAsia="en-US" w:bidi="ar-SA"/>
              </w:rPr>
              <w:t xml:space="preserve">مطابقة أمر الشراء مع محضر الاستلام والفاتورة</w:t>
            </w:r>
          </w:p>
        </w:tc>
        <w:tc>
          <w:p>
            <w:pPr>
              <w:jc w:val="right"/>
            </w:pPr>
            <w:r>
              <w:rPr>
                <w:rFonts w:ascii="Arial" w:hAnsi="Arial" w:eastAsia="Arial Unicode MS" w:cs="Arial Unicode MS"/>
                <w:color w:val="000000"/>
                <w:sz w:val="20"/>
                <w:szCs w:val="20"/>
                <w:lang w:val="ar-SA" w:eastAsia="en-US" w:bidi="ar-SA"/>
              </w:rPr>
              <w:t xml:space="preserve">المطابقة الثلاثية (3-Way Match)</w:t>
            </w:r>
          </w:p>
        </w:tc>
        <w:tc>
          <w:p>
            <w:pPr>
              <w:jc w:val="right"/>
            </w:pPr>
          </w:p>
        </w:tc>
        <w:tc>
          <w:p>
            <w:pPr>
              <w:jc w:val="right"/>
            </w:pPr>
          </w:p>
        </w:tc>
      </w:tr>
    </w:tbl>
    <w:p>
      <w:pPr>
        <w:jc w:val="center"/>
        <w:spacing w:before="60" w:after="240"/>
      </w:pPr>
      <w:r>
        <w:rPr>
          <w:rFonts w:ascii="Arial" w:hAnsi="Arial" w:eastAsia="Arial Unicode MS" w:cs="Arial Unicode MS"/>
          <w:i/>
          <w:iCs/>
          <w:color w:val="4b5563"/>
          <w:sz w:val="20"/>
          <w:szCs w:val="20"/>
          <w:lang w:val="ar-SA" w:eastAsia="en-US" w:bidi="ar-SA"/>
        </w:rPr>
        <w:t xml:space="preserve">إجراءات فحص المشتريات</w:t>
      </w:r>
    </w:p>
    <w:p>
      <w:pPr>
        <w:pStyle w:val="Heading1"/>
        <w:jc w:val="center"/>
        <w:bidi/>
      </w:pPr>
      <w:r>
        <w:rPr>
          <w:rFonts w:ascii="Arial" w:hAnsi="Arial" w:eastAsia="Arial Unicode MS" w:cs="Arial Unicode MS"/>
          <w:b/>
          <w:bCs/>
          <w:sz w:val="30"/>
          <w:szCs w:val="30"/>
          <w:lang w:val="ar-SA" w:eastAsia="en-US" w:bidi="ar-SA"/>
        </w:rPr>
        <w:t xml:space="preserve">4. برنامج مراجعة الموردين (ATP-AP-PUR-002)</w:t>
      </w:r>
    </w:p>
    <w:p>
      <w:pPr>
        <w:jc w:val="center"/>
        <w:bidi/>
      </w:pPr>
      <w:r>
        <w:t xml:space="preserve">التأكد من دقة بيانات الموردين، شرعية التعامل معهم، وعدم وجود تضارب مصالح.</w:t>
      </w:r>
    </w:p>
    <w:p>
      <w:pPr>
        <w:pStyle w:val="Heading1"/>
        <w:jc w:val="center"/>
        <w:bidi/>
      </w:pPr>
      <w:r>
        <w:rPr>
          <w:rFonts w:ascii="Arial" w:hAnsi="Arial" w:eastAsia="Arial Unicode MS" w:cs="Arial Unicode MS"/>
          <w:b/>
          <w:bCs/>
          <w:sz w:val="30"/>
          <w:szCs w:val="30"/>
          <w:lang w:val="ar-SA" w:eastAsia="en-US" w:bidi="ar-SA"/>
        </w:rPr>
        <w:t xml:space="preserve">5. برنامج مراجعة العقود (ATP-AP-CNT-001)</w:t>
      </w:r>
    </w:p>
    <w:p>
      <w:pPr>
        <w:jc w:val="center"/>
        <w:bidi/>
      </w:pPr>
      <w:r>
        <w:t xml:space="preserve">مراجعة مدى الالتزام بشروط العقود، ومتابعة الدفعات والأوامر التغييرية.</w:t>
      </w:r>
    </w:p>
    <w:p>
      <w:pPr>
        <w:pStyle w:val="Heading1"/>
        <w:jc w:val="center"/>
        <w:bidi/>
      </w:pPr>
      <w:r>
        <w:rPr>
          <w:rFonts w:ascii="Arial" w:hAnsi="Arial" w:eastAsia="Arial Unicode MS" w:cs="Arial Unicode MS"/>
          <w:b/>
          <w:bCs/>
          <w:sz w:val="30"/>
          <w:szCs w:val="30"/>
          <w:lang w:val="ar-SA" w:eastAsia="en-US" w:bidi="ar-SA"/>
        </w:rPr>
        <w:t xml:space="preserve">6. برنامج مراجعة المخازن (ATP-AP-INV-001)</w:t>
      </w:r>
    </w:p>
    <w:p>
      <w:pPr>
        <w:jc w:val="center"/>
        <w:bidi/>
      </w:pPr>
      <w:r>
        <w:t xml:space="preserve">التحقق من سلامة إجراءات الاستلام، التخزين، الصرف، والحفاظ على الموجودات العينية.</w:t>
      </w:r>
    </w:p>
    <w:p>
      <w:pPr>
        <w:pStyle w:val="Heading1"/>
        <w:jc w:val="center"/>
        <w:bidi/>
      </w:pPr>
      <w:r>
        <w:rPr>
          <w:rFonts w:ascii="Arial" w:hAnsi="Arial" w:eastAsia="Arial Unicode MS" w:cs="Arial Unicode MS"/>
          <w:b/>
          <w:bCs/>
          <w:sz w:val="30"/>
          <w:szCs w:val="30"/>
          <w:lang w:val="ar-SA" w:eastAsia="en-US" w:bidi="ar-SA"/>
        </w:rPr>
        <w:t xml:space="preserve">7. برنامج مراجعة الجرد (ATP-AP-INV-002)</w:t>
      </w:r>
    </w:p>
    <w:p>
      <w:pPr>
        <w:jc w:val="center"/>
        <w:bidi/>
      </w:pPr>
      <w:r>
        <w:t xml:space="preserve">مراقبة عملية الجرد الفعلي، والتأكد من معالجة الفروقات بين الجرد والسجلات بدقة.</w:t>
      </w:r>
    </w:p>
    <w:p>
      <w:pPr>
        <w:pStyle w:val="Heading1"/>
        <w:jc w:val="center"/>
        <w:bidi/>
      </w:pPr>
      <w:r>
        <w:rPr>
          <w:rFonts w:ascii="Arial" w:hAnsi="Arial" w:eastAsia="Arial Unicode MS" w:cs="Arial Unicode MS"/>
          <w:b/>
          <w:bCs/>
          <w:sz w:val="30"/>
          <w:szCs w:val="30"/>
          <w:lang w:val="ar-SA" w:eastAsia="en-US" w:bidi="ar-SA"/>
        </w:rPr>
        <w:t xml:space="preserve">8. برنامج مراجعة الأصول الثابتة (ATP-AP-AST-001)</w:t>
      </w:r>
    </w:p>
    <w:p>
      <w:pPr>
        <w:jc w:val="center"/>
        <w:bidi/>
      </w:pPr>
      <w:r>
        <w:t xml:space="preserve">التأكد من وجود الأصول، دقة سجلاتها، حساب الإهلاك، وإجراءات الاستبعاد والتخريد.</w:t>
      </w:r>
    </w:p>
    <w:p>
      <w:pPr>
        <w:pStyle w:val="Heading1"/>
        <w:jc w:val="center"/>
        <w:bidi/>
      </w:pPr>
      <w:r>
        <w:rPr>
          <w:rFonts w:ascii="Arial" w:hAnsi="Arial" w:eastAsia="Arial Unicode MS" w:cs="Arial Unicode MS"/>
          <w:b/>
          <w:bCs/>
          <w:sz w:val="30"/>
          <w:szCs w:val="30"/>
          <w:lang w:val="ar-SA" w:eastAsia="en-US" w:bidi="ar-SA"/>
        </w:rPr>
        <w:t xml:space="preserve">9. برنامج مراجعة الحسابات (ATP-AP-ACC-001)</w:t>
      </w:r>
    </w:p>
    <w:p>
      <w:pPr>
        <w:jc w:val="center"/>
        <w:bidi/>
      </w:pPr>
      <w:r>
        <w:t xml:space="preserve">مراجعة القيود اليومية، المستندات المؤيدة، والقيود اليدوية غير الروتينية.</w:t>
      </w:r>
    </w:p>
    <w:p>
      <w:pPr>
        <w:pStyle w:val="Heading1"/>
        <w:jc w:val="center"/>
        <w:bidi/>
      </w:pPr>
      <w:r>
        <w:rPr>
          <w:rFonts w:ascii="Arial" w:hAnsi="Arial" w:eastAsia="Arial Unicode MS" w:cs="Arial Unicode MS"/>
          <w:b/>
          <w:bCs/>
          <w:sz w:val="30"/>
          <w:szCs w:val="30"/>
          <w:lang w:val="ar-SA" w:eastAsia="en-US" w:bidi="ar-SA"/>
        </w:rPr>
        <w:t xml:space="preserve">10. برنامج مراجعة الحسابات المدينة (ATP-AP-ACC-002)</w:t>
      </w:r>
    </w:p>
    <w:p>
      <w:pPr>
        <w:jc w:val="center"/>
        <w:bidi/>
      </w:pPr>
      <w:r>
        <w:t xml:space="preserve">مراجعة أعمار الديون، تحصيل المستحقات، وملاءمة مخصص الديون المشكوك في تحصيلها.</w:t>
      </w:r>
    </w:p>
    <w:p>
      <w:pPr>
        <w:pStyle w:val="Heading1"/>
        <w:jc w:val="center"/>
        <w:bidi/>
      </w:pPr>
      <w:r>
        <w:rPr>
          <w:rFonts w:ascii="Arial" w:hAnsi="Arial" w:eastAsia="Arial Unicode MS" w:cs="Arial Unicode MS"/>
          <w:b/>
          <w:bCs/>
          <w:sz w:val="30"/>
          <w:szCs w:val="30"/>
          <w:lang w:val="ar-SA" w:eastAsia="en-US" w:bidi="ar-SA"/>
        </w:rPr>
        <w:t xml:space="preserve">11. برنامج مراجعة الحسابات الدائنة (ATP-AP-ACC-003)</w:t>
      </w:r>
    </w:p>
    <w:p>
      <w:pPr>
        <w:jc w:val="center"/>
        <w:bidi/>
      </w:pPr>
      <w:r>
        <w:t xml:space="preserve">التأكد من تسجيل الالتزامات في الفترة الصحيحة، والكشف عن المدفوعات المكررة.</w:t>
      </w:r>
    </w:p>
    <w:p>
      <w:pPr>
        <w:pStyle w:val="Heading1"/>
        <w:jc w:val="center"/>
        <w:bidi/>
      </w:pPr>
      <w:r>
        <w:rPr>
          <w:rFonts w:ascii="Arial" w:hAnsi="Arial" w:eastAsia="Arial Unicode MS" w:cs="Arial Unicode MS"/>
          <w:b/>
          <w:bCs/>
          <w:sz w:val="30"/>
          <w:szCs w:val="30"/>
          <w:lang w:val="ar-SA" w:eastAsia="en-US" w:bidi="ar-SA"/>
        </w:rPr>
        <w:t xml:space="preserve">12. برنامج مراجعة الإيرادات (ATP-AP-ACC-004)</w:t>
      </w:r>
    </w:p>
    <w:p>
      <w:pPr>
        <w:jc w:val="center"/>
        <w:bidi/>
      </w:pPr>
      <w:r>
        <w:t xml:space="preserve">التحقق من اكتمال إيرادات الفترة، دقة الفواتير، والالتزام بسياسات الاعتراف بالإيراد.</w:t>
      </w:r>
    </w:p>
    <w:p>
      <w:pPr>
        <w:pStyle w:val="Heading1"/>
        <w:jc w:val="center"/>
        <w:bidi/>
      </w:pPr>
      <w:r>
        <w:rPr>
          <w:rFonts w:ascii="Arial" w:hAnsi="Arial" w:eastAsia="Arial Unicode MS" w:cs="Arial Unicode MS"/>
          <w:b/>
          <w:bCs/>
          <w:sz w:val="30"/>
          <w:szCs w:val="30"/>
          <w:lang w:val="ar-SA" w:eastAsia="en-US" w:bidi="ar-SA"/>
        </w:rPr>
        <w:t xml:space="preserve">13. برنامج مراجعة المبيعات (ATP-AP-ACC-005)</w:t>
      </w:r>
    </w:p>
    <w:p>
      <w:pPr>
        <w:jc w:val="center"/>
        <w:bidi/>
      </w:pPr>
      <w:r>
        <w:t xml:space="preserve">مراجعة دورة المبيعات من استلام الطلب حتى التحصيل، ومراقبة المرتجعات والخصومات.</w:t>
      </w:r>
    </w:p>
    <w:p>
      <w:pPr>
        <w:pStyle w:val="Heading1"/>
        <w:jc w:val="center"/>
        <w:bidi/>
      </w:pPr>
      <w:r>
        <w:rPr>
          <w:rFonts w:ascii="Arial" w:hAnsi="Arial" w:eastAsia="Arial Unicode MS" w:cs="Arial Unicode MS"/>
          <w:b/>
          <w:bCs/>
          <w:sz w:val="30"/>
          <w:szCs w:val="30"/>
          <w:lang w:val="ar-SA" w:eastAsia="en-US" w:bidi="ar-SA"/>
        </w:rPr>
        <w:t xml:space="preserve">14. برنامج مراجعة المصروفات (ATP-AP-ACC-006)</w:t>
      </w:r>
    </w:p>
    <w:p>
      <w:pPr>
        <w:jc w:val="center"/>
        <w:bidi/>
      </w:pPr>
      <w:r>
        <w:t xml:space="preserve">فحص مصروفات السفر، النثرية، والمدفوعات المتكررة للتأكد من مشروعيتها واعتمادها.</w:t>
      </w:r>
    </w:p>
    <w:p>
      <w:pPr>
        <w:pStyle w:val="Heading1"/>
        <w:jc w:val="center"/>
        <w:bidi/>
      </w:pPr>
      <w:r>
        <w:rPr>
          <w:rFonts w:ascii="Arial" w:hAnsi="Arial" w:eastAsia="Arial Unicode MS" w:cs="Arial Unicode MS"/>
          <w:b/>
          <w:bCs/>
          <w:sz w:val="30"/>
          <w:szCs w:val="30"/>
          <w:lang w:val="ar-SA" w:eastAsia="en-US" w:bidi="ar-SA"/>
        </w:rPr>
        <w:t xml:space="preserve">15. برنامج مراجعة الرواتب (ATP-AP-PAY-001)</w:t>
      </w:r>
    </w:p>
    <w:p>
      <w:pPr>
        <w:jc w:val="center"/>
        <w:bidi/>
      </w:pPr>
      <w:r>
        <w:t xml:space="preserve">التأكد من وجود موظفين فعليين، دقة الحسابات، وفصل مهام إعداد الرواتب عن صرفها.</w:t>
      </w:r>
    </w:p>
    <w:p>
      <w:pPr>
        <w:pStyle w:val="Heading1"/>
        <w:jc w:val="center"/>
        <w:bidi/>
      </w:pPr>
      <w:r>
        <w:rPr>
          <w:rFonts w:ascii="Arial" w:hAnsi="Arial" w:eastAsia="Arial Unicode MS" w:cs="Arial Unicode MS"/>
          <w:b/>
          <w:bCs/>
          <w:sz w:val="30"/>
          <w:szCs w:val="30"/>
          <w:lang w:val="ar-SA" w:eastAsia="en-US" w:bidi="ar-SA"/>
        </w:rPr>
        <w:t xml:space="preserve">16. برنامج مراجعة الموارد البشرية (ATP-AP-HR-001)</w:t>
      </w:r>
    </w:p>
    <w:p>
      <w:pPr>
        <w:jc w:val="center"/>
        <w:bidi/>
      </w:pPr>
      <w:r>
        <w:t xml:space="preserve">مراجعة ملفات الموظفين، إجراءات التعيين والترقية، والامتثال لأنظمة العمل.</w:t>
      </w:r>
    </w:p>
    <w:p>
      <w:pPr>
        <w:pStyle w:val="Heading1"/>
        <w:jc w:val="center"/>
        <w:bidi/>
      </w:pPr>
      <w:r>
        <w:rPr>
          <w:rFonts w:ascii="Arial" w:hAnsi="Arial" w:eastAsia="Arial Unicode MS" w:cs="Arial Unicode MS"/>
          <w:b/>
          <w:bCs/>
          <w:sz w:val="30"/>
          <w:szCs w:val="30"/>
          <w:lang w:val="ar-SA" w:eastAsia="en-US" w:bidi="ar-SA"/>
        </w:rPr>
        <w:t xml:space="preserve">17. برنامج مراجعة المشاريع (ATP-AP-PRJ-001)</w:t>
      </w:r>
    </w:p>
    <w:p>
      <w:pPr>
        <w:jc w:val="center"/>
        <w:bidi/>
      </w:pPr>
      <w:r>
        <w:t xml:space="preserve">متابعة التزام المشاريع بالميزانية والجدول الزمني، ومراجعة أوامر التغيير.</w:t>
      </w:r>
    </w:p>
    <w:p>
      <w:pPr>
        <w:pStyle w:val="Heading1"/>
        <w:jc w:val="center"/>
        <w:bidi/>
      </w:pPr>
      <w:r>
        <w:rPr>
          <w:rFonts w:ascii="Arial" w:hAnsi="Arial" w:eastAsia="Arial Unicode MS" w:cs="Arial Unicode MS"/>
          <w:b/>
          <w:bCs/>
          <w:sz w:val="30"/>
          <w:szCs w:val="30"/>
          <w:lang w:val="ar-SA" w:eastAsia="en-US" w:bidi="ar-SA"/>
        </w:rPr>
        <w:t xml:space="preserve">18. برنامج مراجعة تقنية المعلومات (ATP-AP-IT-001)</w:t>
      </w:r>
    </w:p>
    <w:p>
      <w:pPr>
        <w:jc w:val="center"/>
        <w:bidi/>
      </w:pPr>
      <w:r>
        <w:t xml:space="preserve">مراجعة إدارة الأنظمة، النسخ الاحتياطي، واستمرارية الأعمال.</w:t>
      </w:r>
    </w:p>
    <w:p>
      <w:pPr>
        <w:pStyle w:val="Heading1"/>
        <w:jc w:val="center"/>
        <w:bidi/>
      </w:pPr>
      <w:r>
        <w:rPr>
          <w:rFonts w:ascii="Arial" w:hAnsi="Arial" w:eastAsia="Arial Unicode MS" w:cs="Arial Unicode MS"/>
          <w:b/>
          <w:bCs/>
          <w:sz w:val="30"/>
          <w:szCs w:val="30"/>
          <w:lang w:val="ar-SA" w:eastAsia="en-US" w:bidi="ar-SA"/>
        </w:rPr>
        <w:t xml:space="preserve">19. برنامج مراجعة الصلاحيات (ATP-AP-IT-002)</w:t>
      </w:r>
    </w:p>
    <w:p>
      <w:pPr>
        <w:jc w:val="center"/>
        <w:bidi/>
      </w:pPr>
      <w:r>
        <w:t xml:space="preserve">مراجعة منح وإلغاء صلاحيات المستخدمين، وضمان الفصل بين المهام في الأنظمة.</w:t>
      </w:r>
    </w:p>
    <w:p>
      <w:pPr>
        <w:pStyle w:val="Heading1"/>
        <w:jc w:val="center"/>
        <w:bidi/>
      </w:pPr>
      <w:r>
        <w:rPr>
          <w:rFonts w:ascii="Arial" w:hAnsi="Arial" w:eastAsia="Arial Unicode MS" w:cs="Arial Unicode MS"/>
          <w:b/>
          <w:bCs/>
          <w:sz w:val="30"/>
          <w:szCs w:val="30"/>
          <w:lang w:val="ar-SA" w:eastAsia="en-US" w:bidi="ar-SA"/>
        </w:rPr>
        <w:t xml:space="preserve">20. برنامج مراجعة الأمن السيبراني (ATP-AP-IT-003)</w:t>
      </w:r>
    </w:p>
    <w:p>
      <w:pPr>
        <w:jc w:val="center"/>
        <w:bidi/>
      </w:pPr>
      <w:r>
        <w:t xml:space="preserve">تقييم سياسات الحماية، إدارة كلمات المرور، والاستجابة لحوادث الأمن.</w:t>
      </w:r>
    </w:p>
    <w:p>
      <w:pPr>
        <w:pStyle w:val="Heading1"/>
        <w:jc w:val="center"/>
        <w:bidi/>
      </w:pPr>
      <w:r>
        <w:rPr>
          <w:rFonts w:ascii="Arial" w:hAnsi="Arial" w:eastAsia="Arial Unicode MS" w:cs="Arial Unicode MS"/>
          <w:b/>
          <w:bCs/>
          <w:sz w:val="30"/>
          <w:szCs w:val="30"/>
          <w:lang w:val="ar-SA" w:eastAsia="en-US" w:bidi="ar-SA"/>
        </w:rPr>
        <w:t xml:space="preserve">21. برنامج مراجعة الالتزام (ATP-AP-CMP-001)</w:t>
      </w:r>
    </w:p>
    <w:p>
      <w:pPr>
        <w:jc w:val="center"/>
        <w:bidi/>
      </w:pPr>
      <w:r>
        <w:t xml:space="preserve">التأكد من الامتثال للقوانين واللوائح المحلية والمتطلبات النظامية.</w:t>
      </w:r>
    </w:p>
    <w:p>
      <w:pPr>
        <w:pStyle w:val="Heading1"/>
        <w:jc w:val="center"/>
        <w:bidi/>
      </w:pPr>
      <w:r>
        <w:rPr>
          <w:rFonts w:ascii="Arial" w:hAnsi="Arial" w:eastAsia="Arial Unicode MS" w:cs="Arial Unicode MS"/>
          <w:b/>
          <w:bCs/>
          <w:sz w:val="30"/>
          <w:szCs w:val="30"/>
          <w:lang w:val="ar-SA" w:eastAsia="en-US" w:bidi="ar-SA"/>
        </w:rPr>
        <w:t xml:space="preserve">22. برنامج مراجعة الحوكمة (ATP-AP-CMP-002)</w:t>
      </w:r>
    </w:p>
    <w:p>
      <w:pPr>
        <w:jc w:val="center"/>
        <w:bidi/>
      </w:pPr>
      <w:r>
        <w:t xml:space="preserve">مراجعة هيكل الحوكمة، محاضر الاجتماعات، وصلاحيات اللجان الإدارية.</w:t>
      </w:r>
    </w:p>
    <w:p>
      <w:pPr>
        <w:pStyle w:val="Heading1"/>
        <w:jc w:val="center"/>
        <w:bidi/>
      </w:pPr>
      <w:r>
        <w:rPr>
          <w:rFonts w:ascii="Arial" w:hAnsi="Arial" w:eastAsia="Arial Unicode MS" w:cs="Arial Unicode MS"/>
          <w:b/>
          <w:bCs/>
          <w:sz w:val="30"/>
          <w:szCs w:val="30"/>
          <w:lang w:val="ar-SA" w:eastAsia="en-US" w:bidi="ar-SA"/>
        </w:rPr>
        <w:t xml:space="preserve">23. برنامج مراجعة إدارة المخاطر (ATP-AP-RSK-001)</w:t>
      </w:r>
    </w:p>
    <w:p>
      <w:pPr>
        <w:jc w:val="center"/>
        <w:bidi/>
      </w:pPr>
      <w:r>
        <w:t xml:space="preserve">تقييم فعالية إطار إدارة المخاطر، وتحديث سجل المخاطر، وربطها بالخطة.</w:t>
      </w:r>
    </w:p>
    <w:p>
      <w:pPr>
        <w:pStyle w:val="Heading1"/>
        <w:jc w:val="center"/>
        <w:bidi/>
      </w:pPr>
      <w:r>
        <w:rPr>
          <w:rFonts w:ascii="Arial" w:hAnsi="Arial" w:eastAsia="Arial Unicode MS" w:cs="Arial Unicode MS"/>
          <w:b/>
          <w:bCs/>
          <w:sz w:val="30"/>
          <w:szCs w:val="30"/>
          <w:lang w:val="ar-SA" w:eastAsia="en-US" w:bidi="ar-SA"/>
        </w:rPr>
        <w:t xml:space="preserve">24. برنامج مراجعة القوائم المالية (ATP-AP-ACC-007)</w:t>
      </w:r>
    </w:p>
    <w:p>
      <w:pPr>
        <w:jc w:val="center"/>
        <w:bidi/>
      </w:pPr>
      <w:r>
        <w:t xml:space="preserve">مراجعة ميزان المراجعة، القيود الختامية، العرض والإفصاح في القوائم النهائية.</w:t>
      </w:r>
    </w:p>
    <w:p>
      <w:pPr>
        <w:jc w:val="center"/>
        <w:spacing w:before="480"/>
        <w:bidi/>
      </w:pPr>
      <w:r>
        <w:rPr>
          <w:rFonts w:ascii="Arial" w:hAnsi="Arial" w:eastAsia="Arial Unicode MS" w:cs="Arial Unicode MS"/>
          <w:i/>
          <w:iCs/>
          <w:color w:val="6b7280"/>
          <w:lang w:val="ar-SA" w:eastAsia="en-US" w:bidi="ar-SA"/>
        </w:rPr>
        <w:t xml:space="preserve">تم إعداد هذا الملف كجزء من حزمة ATP Internal Auditor Toolkit v1.0 ليكون مرجعاً عملياً للمراجعين الداخليين.</w:t>
      </w:r>
    </w:p>
    <w:sectPr>
      <w:headerReference w:type="default" r:id="rId3"/>
      <w:footerReference w:type="default" r:id="rId4"/>
      <w:pgSz w:w="12240" w:h="15840"/>
      <w:pgMar w:top="1440" w:bottom="1440" w:left="1440" w:right="1440"/>
    </w:sectPr>
  </w:body>
</w:document>
</file>

<file path=word/footer1.xml><?xml version="1.0" encoding="utf-8"?>
<w:ftr xmlns:w="http://schemas.openxmlformats.org/wordprocessingml/2006/main" xmlns:r="http://schemas.openxmlformats.org/officeDocument/2006/relationships">
  <w:p>
    <w:pPr>
      <w:jc w:val="right"/>
    </w:pPr>
    <w:r>
      <w:rPr>
        <w:sz w:val="18"/>
        <w:szCs w:val="18"/>
        <w:color w:val="808080"/>
      </w:rPr>
      <w:t xml:space="preserve">Created using www.jenova.ai</w:t>
    </w:r>
  </w:p>
</w:ftr>
</file>

<file path=word/header1.xml><?xml version="1.0" encoding="utf-8"?>
<w:hdr xmlns:w="http://schemas.openxmlformats.org/wordprocessingml/2006/main" xmlns:r="http://schemas.openxmlformats.org/officeDocument/2006/relationships"/>
</file>

<file path=word/settings.xml><?xml version="1.0" encoding="utf-8"?>
<w:settings xmlns:w="http://schemas.openxmlformats.org/wordprocessingml/2006/main">
  <w:compat>
    <w:compatSetting w:name="compatibilityMode" w:uri="http://schemas.microsoft.com/office/word" w:val="15"/>
  </w:compat>
  <w:updateFields w:val="true"/>
</w:settings>
</file>

<file path=word/styles.xml><?xml version="1.0" encoding="utf-8"?>
<w:styles xmlns:w="http://schemas.openxmlformats.org/wordprocessingml/2006/main">
  <w:docDefaults>
    <w:rPrDefault>
      <w:rPr>
        <w:rFonts w:ascii="Arial" w:hAnsi="Arial" w:eastAsia="Arial Unicode MS" w:cs="Arial Unicode MS"/>
        <w:sz w:val="21"/>
        <w:szCs w:val="21"/>
        <w:lang w:val="ar-SA" w:eastAsia="en-US" w:bidi="ar-SA"/>
      </w:rPr>
    </w:rPrDefault>
  </w:docDefaults>
  <w:style w:type="paragraph" w:default="1" w:styleId="Normal">
    <w:name w:val="Normal"/>
    <w:rPr>
      <w:rFonts w:ascii="Arial" w:hAnsi="Arial" w:eastAsia="Arial Unicode MS" w:cs="Arial Unicode MS"/>
      <w:sz w:val="21"/>
      <w:szCs w:val="21"/>
    </w:rPr>
  </w:style>
  <w:style w:type="paragraph" w:styleId="Heading1">
    <w:name w:val="heading 1"/>
    <w:basedOn w:val="Normal"/>
    <w:pPr>
      <w:spacing w:before="240" w:after="240"/>
    </w:pPr>
    <w:rPr>
      <w:rFonts w:ascii="Arial" w:hAnsi="Arial" w:eastAsia="Arial Unicode MS" w:cs="Arial Unicode MS"/>
      <w:b/>
      <w:bCs/>
      <w:sz w:val="30"/>
      <w:szCs w:val="30"/>
    </w:rPr>
  </w:style>
  <w:style w:type="paragraph" w:styleId="Heading2">
    <w:name w:val="heading 2"/>
    <w:basedOn w:val="Normal"/>
    <w:pPr>
      <w:spacing w:before="240" w:after="240"/>
    </w:pPr>
    <w:rPr>
      <w:rFonts w:ascii="Arial" w:hAnsi="Arial" w:eastAsia="Arial Unicode MS" w:cs="Arial Unicode MS"/>
      <w:b/>
      <w:bCs/>
      <w:sz w:val="28"/>
      <w:szCs w:val="28"/>
    </w:rPr>
  </w:style>
  <w:style w:type="paragraph" w:styleId="Heading3">
    <w:name w:val="heading 3"/>
    <w:basedOn w:val="Normal"/>
    <w:pPr>
      <w:spacing w:before="240" w:after="240"/>
    </w:pPr>
    <w:rPr>
      <w:rFonts w:ascii="Arial" w:hAnsi="Arial" w:eastAsia="Arial Unicode MS" w:cs="Arial Unicode MS"/>
      <w:b/>
      <w:bCs/>
      <w:sz w:val="26"/>
      <w:szCs w:val="26"/>
    </w:rPr>
  </w:style>
  <w:style w:type="paragraph" w:styleId="Heading4">
    <w:name w:val="heading 4"/>
    <w:basedOn w:val="Normal"/>
    <w:pPr>
      <w:spacing w:before="240" w:after="120"/>
    </w:pPr>
    <w:rPr>
      <w:b/>
      <w:bCs/>
      <w:i/>
      <w:iCs/>
      <w:sz w:val="24"/>
      <w:szCs w:val="24"/>
    </w:rPr>
  </w:style>
  <w:style w:type="paragraph" w:styleId="Heading5">
    <w:name w:val="heading 5"/>
    <w:basedOn w:val="Normal"/>
    <w:pPr>
      <w:spacing w:before="120" w:after="120"/>
    </w:pPr>
    <w:rPr>
      <w:sz w:val="22"/>
      <w:szCs w:val="22"/>
      <w:color w:val="666666"/>
    </w:rPr>
  </w:style>
  <w:style w:type="paragraph" w:styleId="Heading6">
    <w:name w:val="heading 6"/>
    <w:basedOn w:val="Normal"/>
    <w:pPr>
      <w:spacing w:before="120" w:after="120"/>
    </w:pPr>
    <w:rPr>
      <w:i/>
      <w:iCs/>
      <w:sz w:val="22"/>
      <w:szCs w:val="22"/>
      <w:color w:val="666666"/>
    </w:rPr>
  </w:style>
  <w:style w:type="paragraph" w:styleId="Title">
    <w:name w:val="Title"/>
    <w:basedOn w:val="Normal"/>
    <w:pPr>
      <w:jc w:val="center"/>
      <w:spacing w:after="400"/>
    </w:pPr>
    <w:rPr>
      <w:b/>
      <w:bCs/>
      <w:sz w:val="56"/>
      <w:szCs w:val="56"/>
    </w:rPr>
  </w:style>
  <w:style w:type="paragraph" w:styleId="Subtitle">
    <w:name w:val="Subtitle"/>
    <w:basedOn w:val="Normal"/>
    <w:pPr>
      <w:jc w:val="center"/>
    </w:pPr>
    <w:rPr>
      <w:i/>
      <w:iCs/>
      <w:sz w:val="32"/>
      <w:szCs w:val="32"/>
      <w:color w:val="666666"/>
    </w:rPr>
  </w:style>
  <w:style w:type="paragraph" w:styleId="Caption">
    <w:name w:val="Caption"/>
    <w:basedOn w:val="Normal"/>
    <w:pPr>
      <w:jc w:val="center"/>
    </w:pPr>
    <w:rPr>
      <w:i/>
      <w:iCs/>
      <w:sz w:val="20"/>
      <w:szCs w:val="20"/>
    </w:rPr>
  </w:style>
  <w:style w:type="paragraph" w:styleId="title">
    <w:name w:val="title"/>
    <w:basedOn w:val="Normal"/>
    <w:pPr>
      <w:jc w:val="center"/>
      <w:spacing w:after="480"/>
      <w:keepNext/>
    </w:pPr>
    <w:rPr>
      <w:rFonts w:ascii="Arial" w:hAnsi="Arial" w:eastAsia="Arial Unicode MS" w:cs="Arial Unicode MS"/>
      <w:sz w:val="56"/>
      <w:szCs w:val="56"/>
      <w:b/>
      <w:bCs/>
      <w:color w:val="172554"/>
    </w:rPr>
  </w:style>
  <w:style w:type="paragraph" w:styleId="subtitle">
    <w:name w:val="subtitle"/>
    <w:basedOn w:val="Normal"/>
    <w:pPr>
      <w:jc w:val="center"/>
      <w:spacing w:after="240"/>
    </w:pPr>
    <w:rPr>
      <w:rFonts w:ascii="Arial" w:hAnsi="Arial" w:eastAsia="Arial Unicode MS" w:cs="Arial Unicode MS"/>
      <w:sz w:val="32"/>
      <w:szCs w:val="32"/>
      <w:color w:val="4a5568"/>
    </w:rPr>
  </w:style>
  <w:style w:type="paragraph" w:styleId="heading_1">
    <w:name w:val="heading_1"/>
    <w:basedOn w:val="Normal"/>
    <w:pPr>
      <w:spacing w:before="360" w:after="180"/>
      <w:keepNext/>
    </w:pPr>
    <w:rPr>
      <w:rFonts w:ascii="Arial" w:hAnsi="Arial" w:eastAsia="Arial Unicode MS" w:cs="Arial Unicode MS"/>
      <w:sz w:val="36"/>
      <w:szCs w:val="36"/>
      <w:b/>
      <w:bCs/>
      <w:color w:val="172554"/>
    </w:rPr>
  </w:style>
  <w:style w:type="paragraph" w:styleId="heading_2">
    <w:name w:val="heading_2"/>
    <w:basedOn w:val="Normal"/>
    <w:pPr>
      <w:spacing w:before="300" w:after="120"/>
      <w:keepNext/>
    </w:pPr>
    <w:rPr>
      <w:rFonts w:ascii="Arial" w:hAnsi="Arial" w:eastAsia="Arial Unicode MS" w:cs="Arial Unicode MS"/>
      <w:sz w:val="30"/>
      <w:szCs w:val="30"/>
      <w:b/>
      <w:bCs/>
      <w:color w:val="2563eb"/>
    </w:rPr>
  </w:style>
  <w:style w:type="paragraph" w:styleId="heading_3">
    <w:name w:val="heading_3"/>
    <w:basedOn w:val="Normal"/>
    <w:pPr>
      <w:spacing w:before="240" w:after="120"/>
      <w:keepNext/>
    </w:pPr>
    <w:rPr>
      <w:rFonts w:ascii="Arial" w:hAnsi="Arial" w:eastAsia="Arial Unicode MS" w:cs="Arial Unicode MS"/>
      <w:sz w:val="26"/>
      <w:szCs w:val="26"/>
      <w:b/>
      <w:bCs/>
      <w:color w:val="475569"/>
    </w:rPr>
  </w:style>
  <w:style w:type="paragraph" w:styleId="body_text">
    <w:name w:val="body_text"/>
    <w:basedOn w:val="Normal"/>
    <w:pPr>
      <w:jc w:val="both"/>
      <w:spacing w:after="120" w:line="276" w:lineRule="auto"/>
    </w:pPr>
    <w:rPr>
      <w:rFonts w:ascii="Arial" w:hAnsi="Arial" w:eastAsia="Arial Unicode MS" w:cs="Arial Unicode MS"/>
      <w:sz w:val="22"/>
      <w:szCs w:val="22"/>
      <w:color w:val="000000"/>
    </w:rPr>
  </w:style>
  <w:style w:type="paragraph" w:styleId="table_header">
    <w:name w:val="table_header"/>
    <w:basedOn w:val="Normal"/>
    <w:pPr>
      <w:jc w:val="center"/>
    </w:pPr>
    <w:rPr>
      <w:rFonts w:ascii="Arial" w:hAnsi="Arial" w:eastAsia="Arial Unicode MS" w:cs="Arial Unicode MS"/>
      <w:sz w:val="20"/>
      <w:szCs w:val="20"/>
      <w:b/>
      <w:bCs/>
      <w:color w:val="ffffff"/>
    </w:rPr>
  </w:style>
  <w:style w:type="paragraph" w:styleId="table_cell">
    <w:name w:val="table_cell"/>
    <w:basedOn w:val="Normal"/>
    <w:pPr>
      <w:jc w:val="right"/>
    </w:pPr>
    <w:rPr>
      <w:rFonts w:ascii="Arial" w:hAnsi="Arial" w:eastAsia="Arial Unicode MS" w:cs="Arial Unicode MS"/>
      <w:sz w:val="20"/>
      <w:szCs w:val="20"/>
      <w:color w:val="0000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برامج المراجعة - ATP Internal Auditor Toolkit v1.0</dc:title>
  <dc:creator>Senior Internal Audit Systems Architect</dc:creator>
  <dc:subject>برامج مراجعة تفصيلية للدورات التشغيلية والمالية</dc:subject>
</cp:coreProperties>
</file>