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FA88C20" w:rsidP="620101E6" w:rsidRDefault="0FA88C20" w14:paraId="5DFCB577" w14:textId="4C6F69F5">
      <w:p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Conditions that are Considered Absolute Contraindications</w:t>
      </w:r>
    </w:p>
    <w:p w:rsidR="0FA88C20" w:rsidP="620101E6" w:rsidRDefault="0FA88C20" w14:paraId="547BFE8E" w14:textId="6CACC633">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CT with extensive hypodensity</w:t>
      </w:r>
    </w:p>
    <w:p w:rsidR="0FA88C20" w:rsidP="620101E6" w:rsidRDefault="0FA88C20" w14:paraId="4565B4C0" w14:textId="039BD9A6">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IV thrombolysis should not be administered to patients whose brain imaging </w:t>
      </w:r>
      <w:r w:rsidRPr="620101E6" w:rsidR="0FA88C20">
        <w:rPr>
          <w:rFonts w:ascii="Aptos" w:hAnsi="Aptos"/>
          <w:b w:val="1"/>
          <w:bCs w:val="1"/>
          <w:color w:val="FF0000"/>
          <w:sz w:val="24"/>
          <w:szCs w:val="24"/>
          <w:u w:val="single"/>
        </w:rPr>
        <w:t>exhibits</w:t>
      </w:r>
      <w:r w:rsidRPr="620101E6" w:rsidR="0FA88C20">
        <w:rPr>
          <w:rFonts w:ascii="Aptos" w:hAnsi="Aptos"/>
          <w:b w:val="1"/>
          <w:bCs w:val="1"/>
          <w:color w:val="FF0000"/>
          <w:sz w:val="24"/>
          <w:szCs w:val="24"/>
          <w:u w:val="single"/>
        </w:rPr>
        <w:t xml:space="preserve"> regions of clear hypodensity that </w:t>
      </w:r>
      <w:r w:rsidRPr="620101E6" w:rsidR="0FA88C20">
        <w:rPr>
          <w:rFonts w:ascii="Aptos" w:hAnsi="Aptos"/>
          <w:b w:val="1"/>
          <w:bCs w:val="1"/>
          <w:color w:val="FF0000"/>
          <w:sz w:val="24"/>
          <w:szCs w:val="24"/>
          <w:u w:val="single"/>
        </w:rPr>
        <w:t xml:space="preserve">appear to </w:t>
      </w:r>
      <w:r w:rsidRPr="620101E6" w:rsidR="0FA88C20">
        <w:rPr>
          <w:rFonts w:ascii="Aptos" w:hAnsi="Aptos"/>
          <w:b w:val="1"/>
          <w:bCs w:val="1"/>
          <w:color w:val="FF0000"/>
          <w:sz w:val="24"/>
          <w:szCs w:val="24"/>
          <w:u w:val="single"/>
        </w:rPr>
        <w:t>be</w:t>
      </w:r>
      <w:r w:rsidRPr="620101E6" w:rsidR="0FA88C20">
        <w:rPr>
          <w:rFonts w:ascii="Aptos" w:hAnsi="Aptos"/>
          <w:b w:val="1"/>
          <w:bCs w:val="1"/>
          <w:color w:val="FF0000"/>
          <w:sz w:val="24"/>
          <w:szCs w:val="24"/>
          <w:u w:val="single"/>
        </w:rPr>
        <w:t xml:space="preserve"> responsible for</w:t>
      </w:r>
      <w:r w:rsidRPr="620101E6" w:rsidR="0FA88C20">
        <w:rPr>
          <w:rFonts w:ascii="Aptos" w:hAnsi="Aptos"/>
          <w:b w:val="1"/>
          <w:bCs w:val="1"/>
          <w:color w:val="FF0000"/>
          <w:sz w:val="24"/>
          <w:szCs w:val="24"/>
          <w:u w:val="single"/>
        </w:rPr>
        <w:t xml:space="preserve"> the clinical symptoms of stroke. Clear hypodensity is when the degree of hypodensity is greater than the density of contralateral unaffected white matter</w:t>
      </w:r>
    </w:p>
    <w:p w:rsidR="0FA88C20" w:rsidP="620101E6" w:rsidRDefault="0FA88C20" w14:paraId="798613C0" w14:textId="6A5C6304">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CT with hemorrhage </w:t>
      </w:r>
    </w:p>
    <w:p w:rsidR="0FA88C20" w:rsidP="620101E6" w:rsidRDefault="0FA88C20" w14:paraId="35F57D72" w14:textId="76768CA5">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IV thrombolysis should not be administered to patients whose CT brain imaging reveals an acute intracranial hemorrhage</w:t>
      </w:r>
    </w:p>
    <w:p w:rsidR="0FA88C20" w:rsidP="620101E6" w:rsidRDefault="0FA88C20" w14:paraId="18CEFB6F" w14:textId="12811891">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Moderate to severe traumatic brain injury &lt; </w:t>
      </w:r>
      <w:r w:rsidRPr="620101E6" w:rsidR="0FA88C20">
        <w:rPr>
          <w:rFonts w:ascii="Aptos" w:hAnsi="Aptos"/>
          <w:b w:val="1"/>
          <w:bCs w:val="1"/>
          <w:color w:val="FF0000"/>
          <w:sz w:val="24"/>
          <w:szCs w:val="24"/>
          <w:u w:val="single"/>
        </w:rPr>
        <w:t>14 days</w:t>
      </w:r>
    </w:p>
    <w:p w:rsidR="0FA88C20" w:rsidP="620101E6" w:rsidRDefault="0FA88C20" w14:paraId="63BC83D2" w14:textId="0EE8111E">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IV thrombolysis is </w:t>
      </w:r>
      <w:r w:rsidRPr="620101E6" w:rsidR="0FA88C20">
        <w:rPr>
          <w:rFonts w:ascii="Aptos" w:hAnsi="Aptos"/>
          <w:b w:val="1"/>
          <w:bCs w:val="1"/>
          <w:color w:val="FF0000"/>
          <w:sz w:val="24"/>
          <w:szCs w:val="24"/>
          <w:u w:val="single"/>
        </w:rPr>
        <w:t>likely contraindicated</w:t>
      </w:r>
      <w:r w:rsidRPr="620101E6" w:rsidR="0FA88C20">
        <w:rPr>
          <w:rFonts w:ascii="Aptos" w:hAnsi="Aptos"/>
          <w:b w:val="1"/>
          <w:bCs w:val="1"/>
          <w:color w:val="FF0000"/>
          <w:sz w:val="24"/>
          <w:szCs w:val="24"/>
          <w:u w:val="single"/>
        </w:rPr>
        <w:t xml:space="preserve"> in AIS patients with recent moderate to severe traumatic brain injury (within 14 days) that incurred &gt; 30 minutes of unconsciousness and Glasgow Coma Scale of &lt; 13 OR evidence of hemorrhage, contusion, or skull fracture on neuroimaging</w:t>
      </w:r>
    </w:p>
    <w:p w:rsidR="0FA88C20" w:rsidP="620101E6" w:rsidRDefault="0FA88C20" w14:paraId="3138CBAE" w14:textId="661E6826">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Neurosurgery &lt; </w:t>
      </w:r>
      <w:r w:rsidRPr="620101E6" w:rsidR="0FA88C20">
        <w:rPr>
          <w:rFonts w:ascii="Aptos" w:hAnsi="Aptos"/>
          <w:b w:val="1"/>
          <w:bCs w:val="1"/>
          <w:color w:val="FF0000"/>
          <w:sz w:val="24"/>
          <w:szCs w:val="24"/>
          <w:u w:val="single"/>
        </w:rPr>
        <w:t>14 days</w:t>
      </w:r>
    </w:p>
    <w:p w:rsidR="0FA88C20" w:rsidP="620101E6" w:rsidRDefault="0FA88C20" w14:paraId="47B20C4E" w14:textId="50D15E77">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For patients with AIS and a history of intracranial/spinal surgery within </w:t>
      </w:r>
      <w:r w:rsidRPr="620101E6" w:rsidR="0FA88C20">
        <w:rPr>
          <w:rFonts w:ascii="Aptos" w:hAnsi="Aptos"/>
          <w:b w:val="1"/>
          <w:bCs w:val="1"/>
          <w:color w:val="FF0000"/>
          <w:sz w:val="24"/>
          <w:szCs w:val="24"/>
          <w:u w:val="single"/>
        </w:rPr>
        <w:t>14 days</w:t>
      </w:r>
      <w:r w:rsidRPr="620101E6" w:rsidR="0FA88C20">
        <w:rPr>
          <w:rFonts w:ascii="Aptos" w:hAnsi="Aptos"/>
          <w:b w:val="1"/>
          <w:bCs w:val="1"/>
          <w:color w:val="FF0000"/>
          <w:sz w:val="24"/>
          <w:szCs w:val="24"/>
          <w:u w:val="single"/>
        </w:rPr>
        <w:t>, IV thrombolysis is potentially harmful and should not be administered</w:t>
      </w:r>
    </w:p>
    <w:p w:rsidR="0FA88C20" w:rsidP="620101E6" w:rsidRDefault="0FA88C20" w14:paraId="5E9342F2" w14:textId="15514095">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Acute spinal cord injury within 3 months</w:t>
      </w:r>
    </w:p>
    <w:p w:rsidR="0FA88C20" w:rsidP="620101E6" w:rsidRDefault="0FA88C20" w14:paraId="2CFD0BE3" w14:textId="63688915">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 xml:space="preserve">IV thrombolysis is </w:t>
      </w:r>
      <w:r w:rsidRPr="620101E6" w:rsidR="0FA88C20">
        <w:rPr>
          <w:rFonts w:ascii="Aptos" w:hAnsi="Aptos"/>
          <w:b w:val="1"/>
          <w:bCs w:val="1"/>
          <w:color w:val="FF0000"/>
          <w:sz w:val="24"/>
          <w:szCs w:val="24"/>
          <w:u w:val="single"/>
        </w:rPr>
        <w:t>likely contraindicated</w:t>
      </w:r>
      <w:r w:rsidRPr="620101E6" w:rsidR="0FA88C20">
        <w:rPr>
          <w:rFonts w:ascii="Aptos" w:hAnsi="Aptos"/>
          <w:b w:val="1"/>
          <w:bCs w:val="1"/>
          <w:color w:val="FF0000"/>
          <w:sz w:val="24"/>
          <w:szCs w:val="24"/>
          <w:u w:val="single"/>
        </w:rPr>
        <w:t xml:space="preserve"> in AIS patients with spinal cord injury within 3 Months</w:t>
      </w:r>
    </w:p>
    <w:p w:rsidR="0FA88C20" w:rsidP="620101E6" w:rsidRDefault="0FA88C20" w14:paraId="3E369E84" w14:textId="0D4C6F81">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Intra-axial neoplasm</w:t>
      </w:r>
    </w:p>
    <w:p w:rsidR="0FA88C20" w:rsidP="620101E6" w:rsidRDefault="0FA88C20" w14:paraId="362824AE" w14:textId="67FCD21F">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For patients with AIS who harbor an intra-axial intracranial neoplasm, treatment with IV thrombolysis is potentially harmful and should not be administered</w:t>
      </w:r>
    </w:p>
    <w:p w:rsidR="0FA88C20" w:rsidP="620101E6" w:rsidRDefault="0FA88C20" w14:paraId="6722984E" w14:textId="206D317F">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Infective endocarditis</w:t>
      </w:r>
    </w:p>
    <w:p w:rsidR="0FA88C20" w:rsidP="620101E6" w:rsidRDefault="0FA88C20" w14:paraId="18DF28A8" w14:textId="5738C6EA">
      <w:pPr>
        <w:pStyle w:val="Normal"/>
        <w:numPr>
          <w:ilvl w:val="1"/>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For patients with AIS and symptoms consistent with infective endocarditis, treatment with IV thrombolysis should not be administered</w:t>
      </w:r>
    </w:p>
    <w:p w:rsidR="0FA88C20" w:rsidP="620101E6" w:rsidRDefault="0FA88C20" w14:paraId="1F58D213" w14:textId="792EBAD6">
      <w:pPr>
        <w:pStyle w:val="Normal"/>
        <w:numPr>
          <w:ilvl w:val="0"/>
          <w:numId w:val="1"/>
        </w:numPr>
        <w:rPr>
          <w:rFonts w:ascii="Aptos" w:hAnsi="Aptos"/>
          <w:b w:val="1"/>
          <w:bCs w:val="1"/>
          <w:color w:val="FF0000"/>
          <w:sz w:val="24"/>
          <w:szCs w:val="24"/>
          <w:u w:val="single"/>
        </w:rPr>
      </w:pPr>
      <w:r w:rsidRPr="620101E6" w:rsidR="0FA88C20">
        <w:rPr>
          <w:rFonts w:ascii="Aptos" w:hAnsi="Aptos"/>
          <w:b w:val="1"/>
          <w:bCs w:val="1"/>
          <w:color w:val="FF0000"/>
          <w:sz w:val="24"/>
          <w:szCs w:val="24"/>
          <w:u w:val="single"/>
        </w:rPr>
        <w:t>Severe coagulopathy or thrombocytopenia</w:t>
      </w:r>
    </w:p>
    <w:p w:rsidR="0FA88C20" w:rsidP="620101E6" w:rsidRDefault="0FA88C20" w14:paraId="586EA85C" w14:textId="40A46B3F">
      <w:pPr>
        <w:pStyle w:val="Normal"/>
        <w:numPr>
          <w:ilvl w:val="1"/>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rPr>
        <w:t>The safety and efficacy of IV thrombolysis for AIS in patients with platelets &lt; 100,000/mm</w:t>
      </w:r>
      <w:r w:rsidRPr="620101E6" w:rsidR="0FA88C20">
        <w:rPr>
          <w:rFonts w:ascii="Aptos" w:hAnsi="Aptos"/>
          <w:b w:val="1"/>
          <w:bCs w:val="1"/>
          <w:color w:val="FF0000"/>
          <w:sz w:val="24"/>
          <w:szCs w:val="24"/>
          <w:u w:val="single"/>
          <w:vertAlign w:val="superscript"/>
        </w:rPr>
        <w:t>3</w:t>
      </w:r>
      <w:r w:rsidRPr="620101E6" w:rsidR="0FA88C20">
        <w:rPr>
          <w:rFonts w:ascii="Aptos" w:hAnsi="Aptos"/>
          <w:b w:val="1"/>
          <w:bCs w:val="1"/>
          <w:color w:val="FF0000"/>
          <w:sz w:val="24"/>
          <w:szCs w:val="24"/>
          <w:u w:val="single"/>
          <w:vertAlign w:val="baseline"/>
        </w:rPr>
        <w:t xml:space="preserve">, INR&gt;1.7, aPPT&gt;40s, or PT&gt;15s is unknown though may </w:t>
      </w:r>
      <w:r w:rsidRPr="620101E6" w:rsidR="0FA88C20">
        <w:rPr>
          <w:rFonts w:ascii="Aptos" w:hAnsi="Aptos"/>
          <w:b w:val="1"/>
          <w:bCs w:val="1"/>
          <w:color w:val="FF0000"/>
          <w:sz w:val="24"/>
          <w:szCs w:val="24"/>
          <w:u w:val="single"/>
          <w:vertAlign w:val="baseline"/>
        </w:rPr>
        <w:t>substantially increase</w:t>
      </w:r>
      <w:r w:rsidRPr="620101E6" w:rsidR="0FA88C20">
        <w:rPr>
          <w:rFonts w:ascii="Aptos" w:hAnsi="Aptos"/>
          <w:b w:val="1"/>
          <w:bCs w:val="1"/>
          <w:color w:val="FF0000"/>
          <w:sz w:val="24"/>
          <w:szCs w:val="24"/>
          <w:u w:val="single"/>
          <w:vertAlign w:val="baseline"/>
        </w:rPr>
        <w:t xml:space="preserve"> risk of harm and should not be administered. </w:t>
      </w:r>
    </w:p>
    <w:p w:rsidR="0FA88C20" w:rsidP="620101E6" w:rsidRDefault="0FA88C20" w14:paraId="62CFD61B" w14:textId="3F31A1AE">
      <w:pPr>
        <w:pStyle w:val="Normal"/>
        <w:numPr>
          <w:ilvl w:val="1"/>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vertAlign w:val="baseline"/>
        </w:rPr>
        <w:t xml:space="preserve">In patients without recent use of warfarin or heparin, treatment with IV thrombolysis can be </w:t>
      </w:r>
      <w:r w:rsidRPr="620101E6" w:rsidR="0FA88C20">
        <w:rPr>
          <w:rFonts w:ascii="Aptos" w:hAnsi="Aptos"/>
          <w:b w:val="1"/>
          <w:bCs w:val="1"/>
          <w:color w:val="FF0000"/>
          <w:sz w:val="24"/>
          <w:szCs w:val="24"/>
          <w:u w:val="single"/>
          <w:vertAlign w:val="baseline"/>
        </w:rPr>
        <w:t>initiated</w:t>
      </w:r>
      <w:r w:rsidRPr="620101E6" w:rsidR="0FA88C20">
        <w:rPr>
          <w:rFonts w:ascii="Aptos" w:hAnsi="Aptos"/>
          <w:b w:val="1"/>
          <w:bCs w:val="1"/>
          <w:color w:val="FF0000"/>
          <w:sz w:val="24"/>
          <w:szCs w:val="24"/>
          <w:u w:val="single"/>
          <w:vertAlign w:val="baseline"/>
        </w:rPr>
        <w:t xml:space="preserve"> before availability of coagulation test results but should be </w:t>
      </w:r>
      <w:r w:rsidRPr="620101E6" w:rsidR="0FA88C20">
        <w:rPr>
          <w:rFonts w:ascii="Aptos" w:hAnsi="Aptos"/>
          <w:b w:val="1"/>
          <w:bCs w:val="1"/>
          <w:color w:val="FF0000"/>
          <w:sz w:val="24"/>
          <w:szCs w:val="24"/>
          <w:u w:val="single"/>
          <w:vertAlign w:val="baseline"/>
        </w:rPr>
        <w:t>discontinued</w:t>
      </w:r>
      <w:r w:rsidRPr="620101E6" w:rsidR="0FA88C20">
        <w:rPr>
          <w:rFonts w:ascii="Aptos" w:hAnsi="Aptos"/>
          <w:b w:val="1"/>
          <w:bCs w:val="1"/>
          <w:color w:val="FF0000"/>
          <w:sz w:val="24"/>
          <w:szCs w:val="24"/>
          <w:u w:val="single"/>
          <w:vertAlign w:val="baseline"/>
        </w:rPr>
        <w:t xml:space="preserve"> if INR&gt;1.7, PT or PTT is abnormal by local laboratory standards</w:t>
      </w:r>
    </w:p>
    <w:p w:rsidR="0FA88C20" w:rsidP="620101E6" w:rsidRDefault="0FA88C20" w14:paraId="0ED5C124" w14:textId="6ADEEF40">
      <w:pPr>
        <w:pStyle w:val="Normal"/>
        <w:numPr>
          <w:ilvl w:val="0"/>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vertAlign w:val="baseline"/>
        </w:rPr>
        <w:t>Aortic arch dissection</w:t>
      </w:r>
    </w:p>
    <w:p w:rsidR="0FA88C20" w:rsidP="620101E6" w:rsidRDefault="0FA88C20" w14:paraId="179FD315" w14:textId="426009AA">
      <w:pPr>
        <w:pStyle w:val="Normal"/>
        <w:numPr>
          <w:ilvl w:val="1"/>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vertAlign w:val="baseline"/>
        </w:rPr>
        <w:t>For patients with AIR and known or suspected aortic arch dissection, treatment with IV thrombolysis is potentially harmful and should not be administered</w:t>
      </w:r>
    </w:p>
    <w:p w:rsidR="0FA88C20" w:rsidP="620101E6" w:rsidRDefault="0FA88C20" w14:paraId="15378C11" w14:textId="3D3B089A">
      <w:pPr>
        <w:pStyle w:val="Normal"/>
        <w:numPr>
          <w:ilvl w:val="0"/>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vertAlign w:val="baseline"/>
        </w:rPr>
        <w:t>Amyloid-relating imaging abnormalities [ARIA]</w:t>
      </w:r>
    </w:p>
    <w:p w:rsidR="0FA88C20" w:rsidP="620101E6" w:rsidRDefault="0FA88C20" w14:paraId="3727BF72" w14:textId="0104B666">
      <w:pPr>
        <w:pStyle w:val="Normal"/>
        <w:numPr>
          <w:ilvl w:val="1"/>
          <w:numId w:val="1"/>
        </w:numPr>
        <w:rPr>
          <w:rFonts w:ascii="Aptos" w:hAnsi="Aptos"/>
          <w:b w:val="1"/>
          <w:bCs w:val="1"/>
          <w:color w:val="FF0000"/>
          <w:sz w:val="24"/>
          <w:szCs w:val="24"/>
          <w:u w:val="single"/>
          <w:vertAlign w:val="baseline"/>
        </w:rPr>
      </w:pPr>
      <w:r w:rsidRPr="620101E6" w:rsidR="0FA88C20">
        <w:rPr>
          <w:rFonts w:ascii="Aptos" w:hAnsi="Aptos"/>
          <w:b w:val="1"/>
          <w:bCs w:val="1"/>
          <w:color w:val="FF0000"/>
          <w:sz w:val="24"/>
          <w:szCs w:val="24"/>
          <w:u w:val="single"/>
          <w:vertAlign w:val="baseline"/>
        </w:rPr>
        <w:t xml:space="preserve">The risk of thrombolysis </w:t>
      </w:r>
      <w:r w:rsidRPr="620101E6" w:rsidR="0FA88C20">
        <w:rPr>
          <w:rFonts w:ascii="Aptos" w:hAnsi="Aptos"/>
          <w:b w:val="1"/>
          <w:bCs w:val="1"/>
          <w:color w:val="FF0000"/>
          <w:sz w:val="24"/>
          <w:szCs w:val="24"/>
          <w:u w:val="single"/>
          <w:vertAlign w:val="baseline"/>
        </w:rPr>
        <w:t>related</w:t>
      </w:r>
      <w:r w:rsidRPr="620101E6" w:rsidR="0FA88C20">
        <w:rPr>
          <w:rFonts w:ascii="Aptos" w:hAnsi="Aptos"/>
          <w:b w:val="1"/>
          <w:bCs w:val="1"/>
          <w:color w:val="FF0000"/>
          <w:sz w:val="24"/>
          <w:szCs w:val="24"/>
          <w:u w:val="single"/>
          <w:vertAlign w:val="baseline"/>
        </w:rPr>
        <w:t xml:space="preserve"> ICH in patients on amyloid immunotherapy or with ARIA is </w:t>
      </w:r>
      <w:r w:rsidRPr="620101E6" w:rsidR="0FA88C20">
        <w:rPr>
          <w:rFonts w:ascii="Aptos" w:hAnsi="Aptos"/>
          <w:b w:val="1"/>
          <w:bCs w:val="1"/>
          <w:color w:val="FF0000"/>
          <w:sz w:val="24"/>
          <w:szCs w:val="24"/>
          <w:u w:val="single"/>
          <w:vertAlign w:val="baseline"/>
        </w:rPr>
        <w:t>unknown</w:t>
      </w:r>
      <w:r w:rsidRPr="620101E6" w:rsidR="0FA88C20">
        <w:rPr>
          <w:rFonts w:ascii="Aptos" w:hAnsi="Aptos"/>
          <w:b w:val="1"/>
          <w:bCs w:val="1"/>
          <w:color w:val="FF0000"/>
          <w:sz w:val="24"/>
          <w:szCs w:val="24"/>
          <w:u w:val="single"/>
          <w:vertAlign w:val="baseline"/>
        </w:rPr>
        <w:t xml:space="preserve"> and IV thrombolysis should be avoided in such patients.</w:t>
      </w:r>
    </w:p>
    <w:p w:rsidR="0FA88C20" w:rsidP="620101E6" w:rsidRDefault="0FA88C20" w14:paraId="6D6EA8DD" w14:textId="42E0BF02">
      <w:pPr>
        <w:pStyle w:val="Normal"/>
        <w:rPr>
          <w:b w:val="1"/>
          <w:bCs w:val="1"/>
          <w:color w:val="FFC000"/>
          <w:u w:val="single"/>
        </w:rPr>
      </w:pPr>
      <w:r w:rsidRPr="620101E6" w:rsidR="0FA88C20">
        <w:rPr>
          <w:b w:val="1"/>
          <w:bCs w:val="1"/>
          <w:color w:val="FFC000"/>
          <w:u w:val="single"/>
        </w:rPr>
        <w:t>Conditions that are Considered Relative Contraindications</w:t>
      </w:r>
    </w:p>
    <w:p w:rsidR="0FA88C20" w:rsidP="620101E6" w:rsidRDefault="0FA88C20" w14:paraId="31460A93" w14:textId="7D4C1185">
      <w:pPr>
        <w:pStyle w:val="ListParagraph"/>
        <w:numPr>
          <w:ilvl w:val="0"/>
          <w:numId w:val="2"/>
        </w:numPr>
        <w:rPr>
          <w:b w:val="0"/>
          <w:bCs w:val="0"/>
          <w:color w:val="FFC000"/>
          <w:u w:val="none"/>
        </w:rPr>
      </w:pPr>
      <w:r w:rsidRPr="620101E6" w:rsidR="0FA88C20">
        <w:rPr>
          <w:b w:val="1"/>
          <w:bCs w:val="1"/>
          <w:color w:val="FFC000"/>
          <w:u w:val="none"/>
        </w:rPr>
        <w:t>Pre-existing disability</w:t>
      </w:r>
    </w:p>
    <w:p w:rsidR="0FA88C20" w:rsidP="620101E6" w:rsidRDefault="0FA88C20" w14:paraId="21A25892" w14:textId="0754FAA7">
      <w:pPr>
        <w:pStyle w:val="ListParagraph"/>
        <w:numPr>
          <w:ilvl w:val="1"/>
          <w:numId w:val="2"/>
        </w:numPr>
        <w:rPr>
          <w:b w:val="0"/>
          <w:bCs w:val="0"/>
          <w:color w:val="FFC000"/>
          <w:u w:val="none"/>
        </w:rPr>
      </w:pPr>
      <w:r w:rsidRPr="620101E6" w:rsidR="0FA88C20">
        <w:rPr>
          <w:b w:val="0"/>
          <w:bCs w:val="0"/>
          <w:color w:val="FFC000"/>
          <w:u w:val="none"/>
        </w:rPr>
        <w:t xml:space="preserve">The benefits vs risks of offering IV thrombolysis in patients with pre-existing disability and/or frailty remain uncertain. Treatment should be </w:t>
      </w:r>
      <w:r w:rsidRPr="620101E6" w:rsidR="0FA88C20">
        <w:rPr>
          <w:b w:val="0"/>
          <w:bCs w:val="0"/>
          <w:color w:val="FFC000"/>
          <w:u w:val="none"/>
        </w:rPr>
        <w:t>determined</w:t>
      </w:r>
      <w:r w:rsidRPr="620101E6" w:rsidR="0FA88C20">
        <w:rPr>
          <w:b w:val="0"/>
          <w:bCs w:val="0"/>
          <w:color w:val="FFC000"/>
          <w:u w:val="none"/>
        </w:rPr>
        <w:t xml:space="preserve"> on an individual basis</w:t>
      </w:r>
    </w:p>
    <w:p w:rsidR="0FA88C20" w:rsidP="620101E6" w:rsidRDefault="0FA88C20" w14:paraId="5BA9228A" w14:textId="7F09BC5F">
      <w:pPr>
        <w:pStyle w:val="ListParagraph"/>
        <w:numPr>
          <w:ilvl w:val="0"/>
          <w:numId w:val="2"/>
        </w:numPr>
        <w:rPr>
          <w:b w:val="1"/>
          <w:bCs w:val="1"/>
          <w:color w:val="FFC000"/>
          <w:u w:val="none"/>
        </w:rPr>
      </w:pPr>
      <w:r w:rsidRPr="620101E6" w:rsidR="0FA88C20">
        <w:rPr>
          <w:b w:val="1"/>
          <w:bCs w:val="1"/>
          <w:color w:val="FFC000"/>
          <w:u w:val="none"/>
        </w:rPr>
        <w:t xml:space="preserve">DOAC exposure </w:t>
      </w:r>
    </w:p>
    <w:p w:rsidR="0FA88C20" w:rsidP="620101E6" w:rsidRDefault="0FA88C20" w14:paraId="00622ADF" w14:textId="56BD30DD">
      <w:pPr>
        <w:pStyle w:val="ListParagraph"/>
        <w:numPr>
          <w:ilvl w:val="1"/>
          <w:numId w:val="2"/>
        </w:numPr>
        <w:rPr>
          <w:b w:val="0"/>
          <w:bCs w:val="0"/>
          <w:color w:val="FFC000"/>
          <w:u w:val="none"/>
        </w:rPr>
      </w:pPr>
      <w:r w:rsidRPr="620101E6" w:rsidR="0FA88C20">
        <w:rPr>
          <w:b w:val="0"/>
          <w:bCs w:val="0"/>
          <w:color w:val="FFC000"/>
          <w:u w:val="none"/>
        </w:rPr>
        <w:t xml:space="preserve">In </w:t>
      </w:r>
      <w:r w:rsidRPr="620101E6" w:rsidR="0FA88C20">
        <w:rPr>
          <w:b w:val="0"/>
          <w:bCs w:val="0"/>
          <w:color w:val="FFC000"/>
          <w:u w:val="none"/>
        </w:rPr>
        <w:t>patient</w:t>
      </w:r>
      <w:r w:rsidRPr="620101E6" w:rsidR="0FA88C20">
        <w:rPr>
          <w:b w:val="0"/>
          <w:bCs w:val="0"/>
          <w:color w:val="FFC000"/>
          <w:u w:val="none"/>
        </w:rPr>
        <w:t xml:space="preserve"> with disabling symptoms and recent DOAC exposure (&lt;48 hours) who are within the window for alteplase/Tenecteplase, the safety of IV thrombolysis is unknown. Emerging but limited observational data suggests IV thrombolysis may be considered after a thorough benefit vs risk analysis on an individual basis. Benefit vs risk assessments should include considering the timing of the last DOAC administration, renal function, stroke severity, and availability of endovascular thrombectomy as well as availability of DOAC reversal agents and DOAC-specific anti-factor Xa/thrombin time assays acknowledging the potential for delay in thrombolysis and potential increased thrombotic risk. All aspects of DOAC management (timing, reversal agent used, assay results), should be recorded carefully to </w:t>
      </w:r>
      <w:r w:rsidRPr="620101E6" w:rsidR="0FA88C20">
        <w:rPr>
          <w:b w:val="0"/>
          <w:bCs w:val="0"/>
          <w:color w:val="FFC000"/>
          <w:u w:val="none"/>
        </w:rPr>
        <w:t>facilitate</w:t>
      </w:r>
      <w:r w:rsidRPr="620101E6" w:rsidR="0FA88C20">
        <w:rPr>
          <w:b w:val="0"/>
          <w:bCs w:val="0"/>
          <w:color w:val="FFC000"/>
          <w:u w:val="none"/>
        </w:rPr>
        <w:t xml:space="preserve"> ongoing safety analyses. Definitive clinical trials are needed to </w:t>
      </w:r>
      <w:r w:rsidRPr="620101E6" w:rsidR="0FA88C20">
        <w:rPr>
          <w:b w:val="0"/>
          <w:bCs w:val="0"/>
          <w:color w:val="FFC000"/>
          <w:u w:val="none"/>
        </w:rPr>
        <w:t>establish</w:t>
      </w:r>
      <w:r w:rsidRPr="620101E6" w:rsidR="0FA88C20">
        <w:rPr>
          <w:b w:val="0"/>
          <w:bCs w:val="0"/>
          <w:color w:val="FFC000"/>
          <w:u w:val="none"/>
        </w:rPr>
        <w:t xml:space="preserve"> the safety of IV thrombolysis in DOAC patients</w:t>
      </w:r>
    </w:p>
    <w:p w:rsidR="0FA88C20" w:rsidP="620101E6" w:rsidRDefault="0FA88C20" w14:paraId="76D76EBD" w14:textId="6EF6FD07">
      <w:pPr>
        <w:pStyle w:val="ListParagraph"/>
        <w:numPr>
          <w:ilvl w:val="0"/>
          <w:numId w:val="2"/>
        </w:numPr>
        <w:rPr>
          <w:b w:val="0"/>
          <w:bCs w:val="0"/>
          <w:color w:val="FFC000"/>
          <w:u w:val="none"/>
        </w:rPr>
      </w:pPr>
      <w:r w:rsidRPr="620101E6" w:rsidR="0FA88C20">
        <w:rPr>
          <w:b w:val="0"/>
          <w:bCs w:val="0"/>
          <w:color w:val="FFC000"/>
          <w:u w:val="none"/>
        </w:rPr>
        <w:t xml:space="preserve"> </w:t>
      </w:r>
      <w:r w:rsidRPr="620101E6" w:rsidR="0FA88C20">
        <w:rPr>
          <w:b w:val="1"/>
          <w:bCs w:val="1"/>
          <w:color w:val="FFC000"/>
          <w:u w:val="none"/>
        </w:rPr>
        <w:t>Ischemic stroke with in 3 months</w:t>
      </w:r>
    </w:p>
    <w:p w:rsidR="0FA88C20" w:rsidP="620101E6" w:rsidRDefault="0FA88C20" w14:paraId="3A60D63E" w14:textId="629A8FC8">
      <w:pPr>
        <w:pStyle w:val="ListParagraph"/>
        <w:numPr>
          <w:ilvl w:val="1"/>
          <w:numId w:val="2"/>
        </w:numPr>
        <w:rPr>
          <w:b w:val="0"/>
          <w:bCs w:val="0"/>
          <w:color w:val="FFC000"/>
          <w:u w:val="none"/>
        </w:rPr>
      </w:pPr>
      <w:r w:rsidRPr="620101E6" w:rsidR="0FA88C20">
        <w:rPr>
          <w:b w:val="0"/>
          <w:bCs w:val="0"/>
          <w:color w:val="FFC000"/>
          <w:u w:val="none"/>
        </w:rPr>
        <w:t xml:space="preserve">Use of IV thrombolysis in patients presenting with AIS who have had a prior ischemic stroke within 3 months may be at increased risk of intracranial hemorrhage. Potential increased risk </w:t>
      </w:r>
      <w:r w:rsidRPr="620101E6" w:rsidR="0FA88C20">
        <w:rPr>
          <w:b w:val="0"/>
          <w:bCs w:val="0"/>
          <w:color w:val="FFC000"/>
          <w:u w:val="none"/>
        </w:rPr>
        <w:t>as a result of</w:t>
      </w:r>
      <w:r w:rsidRPr="620101E6" w:rsidR="0FA88C20">
        <w:rPr>
          <w:b w:val="0"/>
          <w:bCs w:val="0"/>
          <w:color w:val="FFC000"/>
          <w:u w:val="none"/>
        </w:rPr>
        <w:t xml:space="preserve"> the timing and size of the stroke should be weighed against the benefits of offering IV thrombolysis in an individualized manner in such patients. </w:t>
      </w:r>
    </w:p>
    <w:p w:rsidR="0FA88C20" w:rsidP="620101E6" w:rsidRDefault="0FA88C20" w14:paraId="224ABFA3" w14:textId="72CE9806">
      <w:pPr>
        <w:pStyle w:val="ListParagraph"/>
        <w:numPr>
          <w:ilvl w:val="0"/>
          <w:numId w:val="2"/>
        </w:numPr>
        <w:rPr>
          <w:b w:val="0"/>
          <w:bCs w:val="0"/>
          <w:color w:val="FFC000"/>
          <w:u w:val="none"/>
        </w:rPr>
      </w:pPr>
      <w:r w:rsidRPr="620101E6" w:rsidR="0FA88C20">
        <w:rPr>
          <w:b w:val="1"/>
          <w:bCs w:val="1"/>
          <w:color w:val="FFC000"/>
          <w:u w:val="none"/>
        </w:rPr>
        <w:t>Prior ICH</w:t>
      </w:r>
    </w:p>
    <w:p w:rsidR="0FA88C20" w:rsidP="620101E6" w:rsidRDefault="0FA88C20" w14:paraId="57BC3B69" w14:textId="795E8727">
      <w:pPr>
        <w:pStyle w:val="ListParagraph"/>
        <w:numPr>
          <w:ilvl w:val="1"/>
          <w:numId w:val="2"/>
        </w:numPr>
        <w:rPr>
          <w:b w:val="0"/>
          <w:bCs w:val="0"/>
          <w:color w:val="FFC000"/>
          <w:u w:val="none"/>
        </w:rPr>
      </w:pPr>
      <w:r w:rsidRPr="620101E6" w:rsidR="0FA88C20">
        <w:rPr>
          <w:b w:val="0"/>
          <w:bCs w:val="0"/>
          <w:color w:val="FFC000"/>
          <w:u w:val="none"/>
        </w:rPr>
        <w:t xml:space="preserve">IV thrombolysis administration in patients who have a history of ICH may increase the risk of symptomatic hemorrhage. Patients with known amyloid angiopathy may be considered </w:t>
      </w:r>
      <w:r w:rsidRPr="620101E6" w:rsidR="0FA88C20">
        <w:rPr>
          <w:b w:val="0"/>
          <w:bCs w:val="0"/>
          <w:color w:val="FFC000"/>
          <w:u w:val="none"/>
        </w:rPr>
        <w:t>as having</w:t>
      </w:r>
      <w:r w:rsidRPr="620101E6" w:rsidR="0FA88C20">
        <w:rPr>
          <w:b w:val="0"/>
          <w:bCs w:val="0"/>
          <w:color w:val="FFC000"/>
          <w:u w:val="none"/>
        </w:rPr>
        <w:t xml:space="preserve"> higher risk than patients with ICH due to modifiable conditions (</w:t>
      </w:r>
      <w:r w:rsidRPr="620101E6" w:rsidR="0FA88C20">
        <w:rPr>
          <w:b w:val="0"/>
          <w:bCs w:val="0"/>
          <w:color w:val="FFC000"/>
          <w:u w:val="none"/>
        </w:rPr>
        <w:t>e.g.</w:t>
      </w:r>
      <w:r w:rsidRPr="620101E6" w:rsidR="0FA88C20">
        <w:rPr>
          <w:b w:val="0"/>
          <w:bCs w:val="0"/>
          <w:color w:val="FFC000"/>
          <w:u w:val="none"/>
        </w:rPr>
        <w:t xml:space="preserve"> HTN, coagulopathy). IV thrombolysis may have greater treatment benefit than risk in these latter patients. Treatment should be </w:t>
      </w:r>
      <w:r w:rsidRPr="620101E6" w:rsidR="0FA88C20">
        <w:rPr>
          <w:b w:val="0"/>
          <w:bCs w:val="0"/>
          <w:color w:val="FFC000"/>
          <w:u w:val="none"/>
        </w:rPr>
        <w:t>determined</w:t>
      </w:r>
      <w:r w:rsidRPr="620101E6" w:rsidR="0FA88C20">
        <w:rPr>
          <w:b w:val="0"/>
          <w:bCs w:val="0"/>
          <w:color w:val="FFC000"/>
          <w:u w:val="none"/>
        </w:rPr>
        <w:t xml:space="preserve"> on an individual basis. </w:t>
      </w:r>
    </w:p>
    <w:p w:rsidR="0FA88C20" w:rsidP="620101E6" w:rsidRDefault="0FA88C20" w14:paraId="477D9E42" w14:textId="6FAB3A96">
      <w:pPr>
        <w:pStyle w:val="ListParagraph"/>
        <w:numPr>
          <w:ilvl w:val="0"/>
          <w:numId w:val="2"/>
        </w:numPr>
        <w:rPr>
          <w:b w:val="1"/>
          <w:bCs w:val="1"/>
          <w:color w:val="FFC000"/>
          <w:u w:val="none"/>
        </w:rPr>
      </w:pPr>
      <w:r w:rsidRPr="620101E6" w:rsidR="0FA88C20">
        <w:rPr>
          <w:b w:val="1"/>
          <w:bCs w:val="1"/>
          <w:color w:val="FFC000"/>
          <w:u w:val="none"/>
        </w:rPr>
        <w:t xml:space="preserve">Recent major non-CNS trauma (between </w:t>
      </w:r>
      <w:r w:rsidRPr="620101E6" w:rsidR="0FA88C20">
        <w:rPr>
          <w:b w:val="1"/>
          <w:bCs w:val="1"/>
          <w:color w:val="FFC000"/>
          <w:u w:val="none"/>
        </w:rPr>
        <w:t>14 days</w:t>
      </w:r>
      <w:r w:rsidRPr="620101E6" w:rsidR="0FA88C20">
        <w:rPr>
          <w:b w:val="1"/>
          <w:bCs w:val="1"/>
          <w:color w:val="FFC000"/>
          <w:u w:val="none"/>
        </w:rPr>
        <w:t xml:space="preserve"> and 3 months)</w:t>
      </w:r>
    </w:p>
    <w:p w:rsidR="0FA88C20" w:rsidP="620101E6" w:rsidRDefault="0FA88C20" w14:paraId="6F5D0ACE" w14:textId="7215FF5B">
      <w:pPr>
        <w:pStyle w:val="ListParagraph"/>
        <w:numPr>
          <w:ilvl w:val="1"/>
          <w:numId w:val="2"/>
        </w:numPr>
        <w:rPr>
          <w:b w:val="0"/>
          <w:bCs w:val="0"/>
          <w:color w:val="FFC000"/>
          <w:u w:val="none"/>
        </w:rPr>
      </w:pPr>
      <w:r w:rsidRPr="620101E6" w:rsidR="0FA88C20">
        <w:rPr>
          <w:b w:val="0"/>
          <w:bCs w:val="0"/>
          <w:color w:val="FFC000"/>
          <w:u w:val="none"/>
        </w:rPr>
        <w:t xml:space="preserve">Patients with recent major trauma between </w:t>
      </w:r>
      <w:r w:rsidRPr="620101E6" w:rsidR="0FA88C20">
        <w:rPr>
          <w:b w:val="0"/>
          <w:bCs w:val="0"/>
          <w:color w:val="FFC000"/>
          <w:u w:val="none"/>
        </w:rPr>
        <w:t>14 days</w:t>
      </w:r>
      <w:r w:rsidRPr="620101E6" w:rsidR="0FA88C20">
        <w:rPr>
          <w:b w:val="0"/>
          <w:bCs w:val="0"/>
          <w:color w:val="FFC000"/>
          <w:u w:val="none"/>
        </w:rPr>
        <w:t xml:space="preserve"> and 3 months of their AID may be at increased risk of harm and serious systemic hemorrhage requiring transfusion from IV thrombolysis. Individual considerations of risk vs benefit involved areas, and consultation with surgical experts are </w:t>
      </w:r>
      <w:r w:rsidRPr="620101E6" w:rsidR="0FA88C20">
        <w:rPr>
          <w:b w:val="0"/>
          <w:bCs w:val="0"/>
          <w:color w:val="FFC000"/>
          <w:u w:val="none"/>
        </w:rPr>
        <w:t>appropriate</w:t>
      </w:r>
      <w:r w:rsidRPr="620101E6" w:rsidR="0FA88C20">
        <w:rPr>
          <w:b w:val="0"/>
          <w:bCs w:val="0"/>
          <w:color w:val="FFC000"/>
          <w:u w:val="none"/>
        </w:rPr>
        <w:t xml:space="preserve">. </w:t>
      </w:r>
    </w:p>
    <w:p w:rsidR="0FA88C20" w:rsidP="620101E6" w:rsidRDefault="0FA88C20" w14:paraId="5BCB397A" w14:textId="56333728">
      <w:pPr>
        <w:pStyle w:val="ListParagraph"/>
        <w:numPr>
          <w:ilvl w:val="0"/>
          <w:numId w:val="2"/>
        </w:numPr>
        <w:rPr>
          <w:b w:val="0"/>
          <w:bCs w:val="0"/>
          <w:color w:val="FFC000"/>
          <w:u w:val="none"/>
        </w:rPr>
      </w:pPr>
      <w:r w:rsidRPr="620101E6" w:rsidR="0FA88C20">
        <w:rPr>
          <w:b w:val="1"/>
          <w:bCs w:val="1"/>
          <w:color w:val="FFC000"/>
          <w:u w:val="none"/>
        </w:rPr>
        <w:t xml:space="preserve">Recent major non-CNS surgery w/in </w:t>
      </w:r>
      <w:r w:rsidRPr="620101E6" w:rsidR="0FA88C20">
        <w:rPr>
          <w:b w:val="1"/>
          <w:bCs w:val="1"/>
          <w:color w:val="FFC000"/>
          <w:u w:val="none"/>
        </w:rPr>
        <w:t>10 days</w:t>
      </w:r>
    </w:p>
    <w:p w:rsidR="0FA88C20" w:rsidP="620101E6" w:rsidRDefault="0FA88C20" w14:paraId="25921775" w14:textId="5C6071DE">
      <w:pPr>
        <w:pStyle w:val="ListParagraph"/>
        <w:numPr>
          <w:ilvl w:val="1"/>
          <w:numId w:val="2"/>
        </w:numPr>
        <w:rPr>
          <w:b w:val="0"/>
          <w:bCs w:val="0"/>
          <w:color w:val="FFC000"/>
          <w:u w:val="none"/>
        </w:rPr>
      </w:pPr>
      <w:r w:rsidRPr="620101E6" w:rsidR="0FA88C20">
        <w:rPr>
          <w:b w:val="0"/>
          <w:bCs w:val="0"/>
          <w:color w:val="FFC000"/>
          <w:u w:val="none"/>
        </w:rPr>
        <w:t xml:space="preserve">Patients with recent major surgery within </w:t>
      </w:r>
      <w:r w:rsidRPr="620101E6" w:rsidR="0FA88C20">
        <w:rPr>
          <w:b w:val="0"/>
          <w:bCs w:val="0"/>
          <w:color w:val="FFC000"/>
          <w:u w:val="none"/>
        </w:rPr>
        <w:t>10 days</w:t>
      </w:r>
      <w:r w:rsidRPr="620101E6" w:rsidR="0FA88C20">
        <w:rPr>
          <w:b w:val="0"/>
          <w:bCs w:val="0"/>
          <w:color w:val="FFC000"/>
          <w:u w:val="none"/>
        </w:rPr>
        <w:t xml:space="preserve"> of AIS may be at increased risk of harm from IV thrombolysis. Individual considerations of risk vs benefit, surgical area, and consultation with surgical experts are </w:t>
      </w:r>
      <w:r w:rsidRPr="620101E6" w:rsidR="0FA88C20">
        <w:rPr>
          <w:b w:val="0"/>
          <w:bCs w:val="0"/>
          <w:color w:val="FFC000"/>
          <w:u w:val="none"/>
        </w:rPr>
        <w:t>appropriate</w:t>
      </w:r>
      <w:r w:rsidRPr="620101E6" w:rsidR="0FA88C20">
        <w:rPr>
          <w:b w:val="0"/>
          <w:bCs w:val="0"/>
          <w:color w:val="FFC000"/>
          <w:u w:val="none"/>
        </w:rPr>
        <w:t xml:space="preserve">. </w:t>
      </w:r>
    </w:p>
    <w:p w:rsidR="0FA88C20" w:rsidP="620101E6" w:rsidRDefault="0FA88C20" w14:paraId="218C10F8" w14:textId="3F8F7343">
      <w:pPr>
        <w:pStyle w:val="ListParagraph"/>
        <w:numPr>
          <w:ilvl w:val="0"/>
          <w:numId w:val="2"/>
        </w:numPr>
        <w:rPr>
          <w:b w:val="0"/>
          <w:bCs w:val="0"/>
          <w:color w:val="FFC000"/>
          <w:u w:val="none"/>
        </w:rPr>
      </w:pPr>
      <w:r w:rsidRPr="620101E6" w:rsidR="0FA88C20">
        <w:rPr>
          <w:b w:val="1"/>
          <w:bCs w:val="1"/>
          <w:color w:val="FFC000"/>
          <w:u w:val="none"/>
        </w:rPr>
        <w:t xml:space="preserve">Recent GI/GU bleeding w/in </w:t>
      </w:r>
      <w:r w:rsidRPr="620101E6" w:rsidR="0FA88C20">
        <w:rPr>
          <w:b w:val="1"/>
          <w:bCs w:val="1"/>
          <w:color w:val="FFC000"/>
          <w:u w:val="none"/>
        </w:rPr>
        <w:t>21 days</w:t>
      </w:r>
    </w:p>
    <w:p w:rsidR="0FA88C20" w:rsidP="620101E6" w:rsidRDefault="0FA88C20" w14:paraId="2240B114" w14:textId="733D11C8">
      <w:pPr>
        <w:pStyle w:val="ListParagraph"/>
        <w:numPr>
          <w:ilvl w:val="1"/>
          <w:numId w:val="2"/>
        </w:numPr>
        <w:rPr>
          <w:b w:val="0"/>
          <w:bCs w:val="0"/>
          <w:color w:val="FFC000"/>
          <w:u w:val="none"/>
        </w:rPr>
      </w:pPr>
      <w:r w:rsidRPr="620101E6" w:rsidR="0FA88C20">
        <w:rPr>
          <w:b w:val="0"/>
          <w:bCs w:val="0"/>
          <w:color w:val="FFC000"/>
          <w:u w:val="none"/>
        </w:rPr>
        <w:t xml:space="preserve">Patients with recent GI or GU bleeding within </w:t>
      </w:r>
      <w:r w:rsidRPr="620101E6" w:rsidR="0FA88C20">
        <w:rPr>
          <w:b w:val="0"/>
          <w:bCs w:val="0"/>
          <w:color w:val="FFC000"/>
          <w:u w:val="none"/>
        </w:rPr>
        <w:t>21 days</w:t>
      </w:r>
      <w:r w:rsidRPr="620101E6" w:rsidR="0FA88C20">
        <w:rPr>
          <w:b w:val="0"/>
          <w:bCs w:val="0"/>
          <w:color w:val="FFC000"/>
          <w:u w:val="none"/>
        </w:rPr>
        <w:t xml:space="preserve"> of their AIS may be at increased risk of harm from IV thrombolysis. Individual considerations of risk vs benefit and consultation with GI or GU experts to </w:t>
      </w:r>
      <w:r w:rsidRPr="620101E6" w:rsidR="0FA88C20">
        <w:rPr>
          <w:b w:val="0"/>
          <w:bCs w:val="0"/>
          <w:color w:val="FFC000"/>
          <w:u w:val="none"/>
        </w:rPr>
        <w:t>determine</w:t>
      </w:r>
      <w:r w:rsidRPr="620101E6" w:rsidR="0FA88C20">
        <w:rPr>
          <w:b w:val="0"/>
          <w:bCs w:val="0"/>
          <w:color w:val="FFC000"/>
          <w:u w:val="none"/>
        </w:rPr>
        <w:t xml:space="preserve"> if GI/GU bleeding has been treated and risk </w:t>
      </w:r>
      <w:r w:rsidRPr="620101E6" w:rsidR="0FA88C20">
        <w:rPr>
          <w:b w:val="0"/>
          <w:bCs w:val="0"/>
          <w:color w:val="FFC000"/>
          <w:u w:val="none"/>
        </w:rPr>
        <w:t>modified</w:t>
      </w:r>
      <w:r w:rsidRPr="620101E6" w:rsidR="0FA88C20">
        <w:rPr>
          <w:b w:val="0"/>
          <w:bCs w:val="0"/>
          <w:color w:val="FFC000"/>
          <w:u w:val="none"/>
        </w:rPr>
        <w:t xml:space="preserve">/reduced is recommended. </w:t>
      </w:r>
    </w:p>
    <w:p w:rsidR="0FA88C20" w:rsidP="620101E6" w:rsidRDefault="0FA88C20" w14:paraId="3F909F24" w14:textId="2B992F4A">
      <w:pPr>
        <w:pStyle w:val="ListParagraph"/>
        <w:numPr>
          <w:ilvl w:val="0"/>
          <w:numId w:val="2"/>
        </w:numPr>
        <w:rPr>
          <w:b w:val="0"/>
          <w:bCs w:val="0"/>
          <w:color w:val="FFC000"/>
          <w:u w:val="none"/>
        </w:rPr>
      </w:pPr>
      <w:r w:rsidRPr="620101E6" w:rsidR="0FA88C20">
        <w:rPr>
          <w:b w:val="1"/>
          <w:bCs w:val="1"/>
          <w:color w:val="FFC000"/>
          <w:u w:val="none"/>
        </w:rPr>
        <w:t>Intracranial arterial dissections</w:t>
      </w:r>
    </w:p>
    <w:p w:rsidR="0FA88C20" w:rsidP="620101E6" w:rsidRDefault="0FA88C20" w14:paraId="249E84DF" w14:textId="74735026">
      <w:pPr>
        <w:pStyle w:val="ListParagraph"/>
        <w:numPr>
          <w:ilvl w:val="1"/>
          <w:numId w:val="2"/>
        </w:numPr>
        <w:rPr>
          <w:b w:val="0"/>
          <w:bCs w:val="0"/>
          <w:color w:val="FFC000"/>
          <w:u w:val="none"/>
        </w:rPr>
      </w:pPr>
      <w:r w:rsidRPr="620101E6" w:rsidR="0FA88C20">
        <w:rPr>
          <w:b w:val="0"/>
          <w:bCs w:val="0"/>
          <w:color w:val="FFC000"/>
          <w:u w:val="none"/>
        </w:rPr>
        <w:t>The safety of IV thrombolysis in patients with AIS due to intracranial arterial dissection is unknown</w:t>
      </w:r>
    </w:p>
    <w:p w:rsidR="0FA88C20" w:rsidP="620101E6" w:rsidRDefault="0FA88C20" w14:paraId="3886822D" w14:textId="7A1CEE04">
      <w:pPr>
        <w:pStyle w:val="ListParagraph"/>
        <w:numPr>
          <w:ilvl w:val="0"/>
          <w:numId w:val="2"/>
        </w:numPr>
        <w:rPr>
          <w:b w:val="1"/>
          <w:bCs w:val="1"/>
          <w:color w:val="FFC000"/>
          <w:u w:val="none"/>
        </w:rPr>
      </w:pPr>
      <w:r w:rsidRPr="620101E6" w:rsidR="0FA88C20">
        <w:rPr>
          <w:b w:val="1"/>
          <w:bCs w:val="1"/>
          <w:color w:val="FFC000"/>
          <w:u w:val="none"/>
        </w:rPr>
        <w:t>Intracranial vascular malformations</w:t>
      </w:r>
    </w:p>
    <w:p w:rsidR="0FA88C20" w:rsidP="620101E6" w:rsidRDefault="0FA88C20" w14:paraId="06C66C7F" w14:textId="19A62FC3">
      <w:pPr>
        <w:pStyle w:val="ListParagraph"/>
        <w:numPr>
          <w:ilvl w:val="1"/>
          <w:numId w:val="2"/>
        </w:numPr>
        <w:rPr>
          <w:b w:val="0"/>
          <w:bCs w:val="0"/>
          <w:color w:val="FFC000"/>
          <w:u w:val="none"/>
        </w:rPr>
      </w:pPr>
      <w:r w:rsidRPr="620101E6" w:rsidR="0FA88C20">
        <w:rPr>
          <w:b w:val="0"/>
          <w:bCs w:val="0"/>
          <w:color w:val="FFC000"/>
          <w:u w:val="none"/>
        </w:rPr>
        <w:t>The safety of IV thrombolysis for patients presenting with AIS who are known to harbor an unruptured or untreated intracranial vascular malformation is unknown.</w:t>
      </w:r>
    </w:p>
    <w:p w:rsidR="0FA88C20" w:rsidP="620101E6" w:rsidRDefault="0FA88C20" w14:paraId="0A526572" w14:textId="31B091B6">
      <w:pPr>
        <w:pStyle w:val="ListParagraph"/>
        <w:numPr>
          <w:ilvl w:val="0"/>
          <w:numId w:val="2"/>
        </w:numPr>
        <w:rPr>
          <w:b w:val="0"/>
          <w:bCs w:val="0"/>
          <w:color w:val="FFC000"/>
          <w:u w:val="none"/>
        </w:rPr>
      </w:pPr>
      <w:r w:rsidRPr="620101E6" w:rsidR="0FA88C20">
        <w:rPr>
          <w:b w:val="1"/>
          <w:bCs w:val="1"/>
          <w:color w:val="FFC000"/>
          <w:u w:val="none"/>
        </w:rPr>
        <w:t>Recent STEMI w/ in 3 months</w:t>
      </w:r>
    </w:p>
    <w:p w:rsidR="0FA88C20" w:rsidP="620101E6" w:rsidRDefault="0FA88C20" w14:paraId="78725A73" w14:textId="6810923D">
      <w:pPr>
        <w:pStyle w:val="ListParagraph"/>
        <w:numPr>
          <w:ilvl w:val="1"/>
          <w:numId w:val="2"/>
        </w:numPr>
        <w:rPr>
          <w:b w:val="0"/>
          <w:bCs w:val="0"/>
          <w:color w:val="FFC000"/>
          <w:u w:val="none"/>
        </w:rPr>
      </w:pPr>
      <w:r w:rsidRPr="620101E6" w:rsidR="0FA88C20">
        <w:rPr>
          <w:b w:val="0"/>
          <w:bCs w:val="0"/>
          <w:color w:val="FFC000"/>
          <w:u w:val="none"/>
        </w:rPr>
        <w:t xml:space="preserve">Patients with recent STEMI may be at risk for increased harm from IVT. For patients with history of STEMI within 3 months, individual consideration of risk and benefit should be </w:t>
      </w:r>
      <w:r w:rsidRPr="620101E6" w:rsidR="0FA88C20">
        <w:rPr>
          <w:b w:val="0"/>
          <w:bCs w:val="0"/>
          <w:color w:val="FFC000"/>
          <w:u w:val="none"/>
        </w:rPr>
        <w:t>determined</w:t>
      </w:r>
      <w:r w:rsidRPr="620101E6" w:rsidR="0FA88C20">
        <w:rPr>
          <w:b w:val="0"/>
          <w:bCs w:val="0"/>
          <w:color w:val="FFC000"/>
          <w:u w:val="none"/>
        </w:rPr>
        <w:t xml:space="preserve"> in conjunction with an </w:t>
      </w:r>
      <w:r w:rsidRPr="620101E6" w:rsidR="0FA88C20">
        <w:rPr>
          <w:b w:val="0"/>
          <w:bCs w:val="0"/>
          <w:color w:val="FFC000"/>
          <w:u w:val="none"/>
        </w:rPr>
        <w:t>emergent</w:t>
      </w:r>
      <w:r w:rsidRPr="620101E6" w:rsidR="0FA88C20">
        <w:rPr>
          <w:b w:val="0"/>
          <w:bCs w:val="0"/>
          <w:color w:val="FFC000"/>
          <w:u w:val="none"/>
        </w:rPr>
        <w:t xml:space="preserve"> cardiology consultation. For patients with very recent STEMI (</w:t>
      </w:r>
      <w:r w:rsidRPr="620101E6" w:rsidR="0FA88C20">
        <w:rPr>
          <w:b w:val="0"/>
          <w:bCs w:val="0"/>
          <w:color w:val="FFC000"/>
          <w:u w:val="none"/>
        </w:rPr>
        <w:t>previous</w:t>
      </w:r>
      <w:r w:rsidRPr="620101E6" w:rsidR="0FA88C20">
        <w:rPr>
          <w:b w:val="0"/>
          <w:bCs w:val="0"/>
          <w:color w:val="FFC000"/>
          <w:u w:val="none"/>
        </w:rPr>
        <w:t xml:space="preserve"> several days), the risk of hemopericardium should be considered </w:t>
      </w:r>
      <w:r w:rsidRPr="620101E6" w:rsidR="0FA88C20">
        <w:rPr>
          <w:b w:val="0"/>
          <w:bCs w:val="0"/>
          <w:color w:val="FFC000"/>
          <w:u w:val="none"/>
        </w:rPr>
        <w:t>relative</w:t>
      </w:r>
      <w:r w:rsidRPr="620101E6" w:rsidR="0FA88C20">
        <w:rPr>
          <w:b w:val="0"/>
          <w:bCs w:val="0"/>
          <w:color w:val="FFC000"/>
          <w:u w:val="none"/>
        </w:rPr>
        <w:t xml:space="preserve"> to potential </w:t>
      </w:r>
      <w:r w:rsidRPr="620101E6" w:rsidR="0FA88C20">
        <w:rPr>
          <w:b w:val="0"/>
          <w:bCs w:val="0"/>
          <w:color w:val="FFC000"/>
          <w:u w:val="none"/>
        </w:rPr>
        <w:t>benefit</w:t>
      </w:r>
      <w:r w:rsidRPr="620101E6" w:rsidR="0FA88C20">
        <w:rPr>
          <w:b w:val="0"/>
          <w:bCs w:val="0"/>
          <w:color w:val="FFC000"/>
          <w:u w:val="none"/>
        </w:rPr>
        <w:t xml:space="preserve">. For patients </w:t>
      </w:r>
      <w:r w:rsidRPr="620101E6" w:rsidR="0FA88C20">
        <w:rPr>
          <w:b w:val="0"/>
          <w:bCs w:val="0"/>
          <w:color w:val="FFC000"/>
          <w:u w:val="none"/>
        </w:rPr>
        <w:t>presenting with</w:t>
      </w:r>
      <w:r w:rsidRPr="620101E6" w:rsidR="0FA88C20">
        <w:rPr>
          <w:b w:val="0"/>
          <w:bCs w:val="0"/>
          <w:color w:val="FFC000"/>
          <w:u w:val="none"/>
        </w:rPr>
        <w:t xml:space="preserve"> concurrent AIR and acute STEMI, treatment with IV thrombolysis should be at a dose </w:t>
      </w:r>
      <w:r w:rsidRPr="620101E6" w:rsidR="0FA88C20">
        <w:rPr>
          <w:b w:val="0"/>
          <w:bCs w:val="0"/>
          <w:color w:val="FFC000"/>
          <w:u w:val="none"/>
        </w:rPr>
        <w:t>appropriate for</w:t>
      </w:r>
      <w:r w:rsidRPr="620101E6" w:rsidR="0FA88C20">
        <w:rPr>
          <w:b w:val="0"/>
          <w:bCs w:val="0"/>
          <w:color w:val="FFC000"/>
          <w:u w:val="none"/>
        </w:rPr>
        <w:t xml:space="preserve"> cerebral ischemia and in conjunction with emergent cardiology consultation. Consideration of timing, </w:t>
      </w:r>
      <w:r w:rsidRPr="620101E6" w:rsidR="0FA88C20">
        <w:rPr>
          <w:b w:val="0"/>
          <w:bCs w:val="0"/>
          <w:color w:val="FFC000"/>
          <w:u w:val="none"/>
        </w:rPr>
        <w:t>type</w:t>
      </w:r>
      <w:r w:rsidRPr="620101E6" w:rsidR="0FA88C20">
        <w:rPr>
          <w:b w:val="0"/>
          <w:bCs w:val="0"/>
          <w:color w:val="FFC000"/>
          <w:u w:val="none"/>
        </w:rPr>
        <w:t xml:space="preserve"> and severity of STEMI to </w:t>
      </w:r>
      <w:r w:rsidRPr="620101E6" w:rsidR="0FA88C20">
        <w:rPr>
          <w:b w:val="0"/>
          <w:bCs w:val="0"/>
          <w:color w:val="FFC000"/>
          <w:u w:val="none"/>
        </w:rPr>
        <w:t>determine</w:t>
      </w:r>
      <w:r w:rsidRPr="620101E6" w:rsidR="0FA88C20">
        <w:rPr>
          <w:b w:val="0"/>
          <w:bCs w:val="0"/>
          <w:color w:val="FFC000"/>
          <w:u w:val="none"/>
        </w:rPr>
        <w:t xml:space="preserve"> the risk vs benefit is </w:t>
      </w:r>
      <w:r w:rsidRPr="620101E6" w:rsidR="0FA88C20">
        <w:rPr>
          <w:b w:val="0"/>
          <w:bCs w:val="0"/>
          <w:color w:val="FFC000"/>
          <w:u w:val="none"/>
        </w:rPr>
        <w:t>warranted</w:t>
      </w:r>
      <w:r w:rsidRPr="620101E6" w:rsidR="0FA88C20">
        <w:rPr>
          <w:b w:val="0"/>
          <w:bCs w:val="0"/>
          <w:color w:val="FFC000"/>
          <w:u w:val="none"/>
        </w:rPr>
        <w:t xml:space="preserve">. </w:t>
      </w:r>
    </w:p>
    <w:p w:rsidR="0FA88C20" w:rsidP="620101E6" w:rsidRDefault="0FA88C20" w14:paraId="27A3A684" w14:textId="2AFD576C">
      <w:pPr>
        <w:pStyle w:val="ListParagraph"/>
        <w:numPr>
          <w:ilvl w:val="0"/>
          <w:numId w:val="2"/>
        </w:numPr>
        <w:rPr>
          <w:b w:val="0"/>
          <w:bCs w:val="0"/>
          <w:color w:val="FFC000"/>
          <w:u w:val="none"/>
        </w:rPr>
      </w:pPr>
      <w:r w:rsidRPr="620101E6" w:rsidR="0FA88C20">
        <w:rPr>
          <w:b w:val="1"/>
          <w:bCs w:val="1"/>
          <w:color w:val="FFC000"/>
          <w:u w:val="none"/>
        </w:rPr>
        <w:t>Acute pericarditis</w:t>
      </w:r>
    </w:p>
    <w:p w:rsidR="0FA88C20" w:rsidP="620101E6" w:rsidRDefault="0FA88C20" w14:paraId="08452B55" w14:textId="542FEB7C">
      <w:pPr>
        <w:pStyle w:val="ListParagraph"/>
        <w:numPr>
          <w:ilvl w:val="1"/>
          <w:numId w:val="2"/>
        </w:numPr>
        <w:rPr>
          <w:b w:val="0"/>
          <w:bCs w:val="0"/>
          <w:color w:val="FFC000"/>
          <w:u w:val="none"/>
        </w:rPr>
      </w:pPr>
      <w:r w:rsidRPr="620101E6" w:rsidR="0FA88C20">
        <w:rPr>
          <w:b w:val="0"/>
          <w:bCs w:val="0"/>
          <w:color w:val="FFC000"/>
          <w:u w:val="none"/>
        </w:rPr>
        <w:t xml:space="preserve">IV thrombolysis for patients with major AIS likely to produce severe disability and acute pericarditis, may be reasonable in individual cases. Emergent cardiologic consultation is </w:t>
      </w:r>
      <w:r w:rsidRPr="620101E6" w:rsidR="0FA88C20">
        <w:rPr>
          <w:b w:val="0"/>
          <w:bCs w:val="0"/>
          <w:color w:val="FFC000"/>
          <w:u w:val="none"/>
        </w:rPr>
        <w:t>warranted</w:t>
      </w:r>
      <w:r w:rsidRPr="620101E6" w:rsidR="0FA88C20">
        <w:rPr>
          <w:b w:val="0"/>
          <w:bCs w:val="0"/>
          <w:color w:val="FFC000"/>
          <w:u w:val="none"/>
        </w:rPr>
        <w:t>.</w:t>
      </w:r>
    </w:p>
    <w:p w:rsidR="0FA88C20" w:rsidP="620101E6" w:rsidRDefault="0FA88C20" w14:paraId="77F81911" w14:textId="4E12D6C0">
      <w:pPr>
        <w:pStyle w:val="ListParagraph"/>
        <w:numPr>
          <w:ilvl w:val="0"/>
          <w:numId w:val="2"/>
        </w:numPr>
        <w:rPr>
          <w:b w:val="0"/>
          <w:bCs w:val="0"/>
          <w:color w:val="FFC000"/>
          <w:u w:val="none"/>
        </w:rPr>
      </w:pPr>
      <w:r w:rsidRPr="620101E6" w:rsidR="0FA88C20">
        <w:rPr>
          <w:b w:val="1"/>
          <w:bCs w:val="1"/>
          <w:color w:val="FFC000"/>
          <w:u w:val="none"/>
        </w:rPr>
        <w:t>Left atrial or ventricular thrombus</w:t>
      </w:r>
    </w:p>
    <w:p w:rsidR="0FA88C20" w:rsidP="620101E6" w:rsidRDefault="0FA88C20" w14:paraId="6FA9901A" w14:textId="08494945">
      <w:pPr>
        <w:pStyle w:val="ListParagraph"/>
        <w:numPr>
          <w:ilvl w:val="1"/>
          <w:numId w:val="2"/>
        </w:numPr>
        <w:rPr>
          <w:b w:val="0"/>
          <w:bCs w:val="0"/>
          <w:color w:val="FFC000"/>
          <w:u w:val="none"/>
        </w:rPr>
      </w:pPr>
      <w:r w:rsidRPr="620101E6" w:rsidR="0FA88C20">
        <w:rPr>
          <w:b w:val="0"/>
          <w:bCs w:val="0"/>
          <w:color w:val="FFC000"/>
          <w:u w:val="none"/>
        </w:rPr>
        <w:t xml:space="preserve">IV thrombolysis for patients with known left atrial or ventricular thrombus presenting with major AIS likely to produce severe disability may be reasonable in individual cases. Emergent cardiologic consultation is </w:t>
      </w:r>
      <w:r w:rsidRPr="620101E6" w:rsidR="0FA88C20">
        <w:rPr>
          <w:b w:val="0"/>
          <w:bCs w:val="0"/>
          <w:color w:val="FFC000"/>
          <w:u w:val="none"/>
        </w:rPr>
        <w:t>warranted</w:t>
      </w:r>
      <w:r w:rsidRPr="620101E6" w:rsidR="0FA88C20">
        <w:rPr>
          <w:b w:val="0"/>
          <w:bCs w:val="0"/>
          <w:color w:val="FFC000"/>
          <w:u w:val="none"/>
        </w:rPr>
        <w:t>.</w:t>
      </w:r>
    </w:p>
    <w:p w:rsidR="0FA88C20" w:rsidP="620101E6" w:rsidRDefault="0FA88C20" w14:paraId="74E7F372" w14:textId="4D300DA8">
      <w:pPr>
        <w:pStyle w:val="ListParagraph"/>
        <w:numPr>
          <w:ilvl w:val="0"/>
          <w:numId w:val="2"/>
        </w:numPr>
        <w:rPr>
          <w:b w:val="0"/>
          <w:bCs w:val="0"/>
          <w:color w:val="FFC000"/>
          <w:u w:val="none"/>
        </w:rPr>
      </w:pPr>
      <w:r w:rsidRPr="620101E6" w:rsidR="0FA88C20">
        <w:rPr>
          <w:b w:val="1"/>
          <w:bCs w:val="1"/>
          <w:color w:val="FFC000"/>
          <w:u w:val="none"/>
        </w:rPr>
        <w:t>Systemic active malignancy</w:t>
      </w:r>
    </w:p>
    <w:p w:rsidR="0FA88C20" w:rsidP="620101E6" w:rsidRDefault="0FA88C20" w14:paraId="1A797431" w14:textId="0C481168">
      <w:pPr>
        <w:pStyle w:val="ListParagraph"/>
        <w:numPr>
          <w:ilvl w:val="1"/>
          <w:numId w:val="2"/>
        </w:numPr>
        <w:rPr>
          <w:b w:val="0"/>
          <w:bCs w:val="0"/>
          <w:color w:val="FFC000"/>
          <w:u w:val="none"/>
        </w:rPr>
      </w:pPr>
      <w:r w:rsidRPr="620101E6" w:rsidR="0FA88C20">
        <w:rPr>
          <w:b w:val="0"/>
          <w:bCs w:val="0"/>
          <w:color w:val="FFC000"/>
          <w:u w:val="none"/>
        </w:rPr>
        <w:t xml:space="preserve">The safety of IV thrombolysis in patients with systemic active malignancy is unknown. Emergent consultation with oncology to assess risk/benefit is </w:t>
      </w:r>
      <w:r w:rsidRPr="620101E6" w:rsidR="0FA88C20">
        <w:rPr>
          <w:b w:val="0"/>
          <w:bCs w:val="0"/>
          <w:color w:val="FFC000"/>
          <w:u w:val="none"/>
        </w:rPr>
        <w:t>warranted</w:t>
      </w:r>
      <w:r w:rsidRPr="620101E6" w:rsidR="0FA88C20">
        <w:rPr>
          <w:b w:val="0"/>
          <w:bCs w:val="0"/>
          <w:color w:val="FFC000"/>
          <w:u w:val="none"/>
        </w:rPr>
        <w:t xml:space="preserve">. Consideration of type, stage, and active complications of cancer to </w:t>
      </w:r>
      <w:r w:rsidRPr="620101E6" w:rsidR="0FA88C20">
        <w:rPr>
          <w:b w:val="0"/>
          <w:bCs w:val="0"/>
          <w:color w:val="FFC000"/>
          <w:u w:val="none"/>
        </w:rPr>
        <w:t>determine</w:t>
      </w:r>
      <w:r w:rsidRPr="620101E6" w:rsidR="0FA88C20">
        <w:rPr>
          <w:b w:val="0"/>
          <w:bCs w:val="0"/>
          <w:color w:val="FFC000"/>
          <w:u w:val="none"/>
        </w:rPr>
        <w:t xml:space="preserve"> the risk vs benefit is </w:t>
      </w:r>
      <w:r w:rsidRPr="620101E6" w:rsidR="0FA88C20">
        <w:rPr>
          <w:b w:val="0"/>
          <w:bCs w:val="0"/>
          <w:color w:val="FFC000"/>
          <w:u w:val="none"/>
        </w:rPr>
        <w:t>warranted</w:t>
      </w:r>
      <w:r w:rsidRPr="620101E6" w:rsidR="0FA88C20">
        <w:rPr>
          <w:b w:val="0"/>
          <w:bCs w:val="0"/>
          <w:color w:val="FFC000"/>
          <w:u w:val="none"/>
        </w:rPr>
        <w:t>.</w:t>
      </w:r>
    </w:p>
    <w:p w:rsidR="0FA88C20" w:rsidP="620101E6" w:rsidRDefault="0FA88C20" w14:paraId="38FFCB2C" w14:textId="115A1C19">
      <w:pPr>
        <w:pStyle w:val="ListParagraph"/>
        <w:numPr>
          <w:ilvl w:val="0"/>
          <w:numId w:val="2"/>
        </w:numPr>
        <w:rPr>
          <w:b w:val="0"/>
          <w:bCs w:val="0"/>
          <w:color w:val="FFC000"/>
          <w:u w:val="none"/>
        </w:rPr>
      </w:pPr>
      <w:r w:rsidRPr="620101E6" w:rsidR="0FA88C20">
        <w:rPr>
          <w:b w:val="1"/>
          <w:bCs w:val="1"/>
          <w:color w:val="FFC000"/>
          <w:u w:val="none"/>
        </w:rPr>
        <w:t>Pregnancy and post-partum period</w:t>
      </w:r>
    </w:p>
    <w:p w:rsidR="0FA88C20" w:rsidP="620101E6" w:rsidRDefault="0FA88C20" w14:paraId="37CF0A9B" w14:textId="3D6531D3">
      <w:pPr>
        <w:pStyle w:val="ListParagraph"/>
        <w:numPr>
          <w:ilvl w:val="1"/>
          <w:numId w:val="2"/>
        </w:numPr>
        <w:rPr>
          <w:b w:val="0"/>
          <w:bCs w:val="0"/>
          <w:color w:val="FFC000"/>
          <w:u w:val="none"/>
        </w:rPr>
      </w:pPr>
      <w:r w:rsidRPr="620101E6" w:rsidR="0FA88C20">
        <w:rPr>
          <w:b w:val="0"/>
          <w:bCs w:val="0"/>
          <w:color w:val="FFC000"/>
          <w:u w:val="none"/>
        </w:rPr>
        <w:t xml:space="preserve">IV thrombolysis may be considered in pregnancy and post-partum period when the benefits of treating moderate or severe stroke </w:t>
      </w:r>
      <w:r w:rsidRPr="620101E6" w:rsidR="0FA88C20">
        <w:rPr>
          <w:b w:val="0"/>
          <w:bCs w:val="0"/>
          <w:color w:val="FFC000"/>
          <w:u w:val="none"/>
        </w:rPr>
        <w:t>outweighs</w:t>
      </w:r>
      <w:r w:rsidRPr="620101E6" w:rsidR="0FA88C20">
        <w:rPr>
          <w:b w:val="0"/>
          <w:bCs w:val="0"/>
          <w:color w:val="FFC000"/>
          <w:u w:val="none"/>
        </w:rPr>
        <w:t xml:space="preserve"> the </w:t>
      </w:r>
      <w:r w:rsidRPr="620101E6" w:rsidR="0FA88C20">
        <w:rPr>
          <w:b w:val="0"/>
          <w:bCs w:val="0"/>
          <w:color w:val="FFC000"/>
          <w:u w:val="none"/>
        </w:rPr>
        <w:t>anticipated</w:t>
      </w:r>
      <w:r w:rsidRPr="620101E6" w:rsidR="0FA88C20">
        <w:rPr>
          <w:b w:val="0"/>
          <w:bCs w:val="0"/>
          <w:color w:val="FFC000"/>
          <w:u w:val="none"/>
        </w:rPr>
        <w:t xml:space="preserve"> risk of uterine bleeding. Emergent obstetrical consultation is </w:t>
      </w:r>
      <w:r w:rsidRPr="620101E6" w:rsidR="0FA88C20">
        <w:rPr>
          <w:b w:val="0"/>
          <w:bCs w:val="0"/>
          <w:color w:val="FFC000"/>
          <w:u w:val="none"/>
        </w:rPr>
        <w:t>warranted</w:t>
      </w:r>
      <w:r w:rsidRPr="620101E6" w:rsidR="0FA88C20">
        <w:rPr>
          <w:b w:val="0"/>
          <w:bCs w:val="0"/>
          <w:color w:val="FFC000"/>
          <w:u w:val="none"/>
        </w:rPr>
        <w:t>.</w:t>
      </w:r>
    </w:p>
    <w:p w:rsidR="0FA88C20" w:rsidP="620101E6" w:rsidRDefault="0FA88C20" w14:paraId="2763CC36" w14:textId="67836412">
      <w:pPr>
        <w:pStyle w:val="ListParagraph"/>
        <w:numPr>
          <w:ilvl w:val="0"/>
          <w:numId w:val="2"/>
        </w:numPr>
        <w:rPr>
          <w:b w:val="1"/>
          <w:bCs w:val="1"/>
          <w:color w:val="FFC000"/>
          <w:u w:val="none"/>
        </w:rPr>
      </w:pPr>
      <w:r w:rsidRPr="620101E6" w:rsidR="0FA88C20">
        <w:rPr>
          <w:b w:val="1"/>
          <w:bCs w:val="1"/>
          <w:color w:val="FFC000"/>
          <w:u w:val="none"/>
        </w:rPr>
        <w:t>Dural puncture with in 7 days</w:t>
      </w:r>
    </w:p>
    <w:p w:rsidR="0FA88C20" w:rsidP="620101E6" w:rsidRDefault="0FA88C20" w14:paraId="06A69B1A" w14:textId="5C3D1987">
      <w:pPr>
        <w:pStyle w:val="ListParagraph"/>
        <w:numPr>
          <w:ilvl w:val="1"/>
          <w:numId w:val="2"/>
        </w:numPr>
        <w:rPr>
          <w:b w:val="0"/>
          <w:bCs w:val="0"/>
          <w:color w:val="FFC000"/>
          <w:u w:val="none"/>
        </w:rPr>
      </w:pPr>
      <w:r w:rsidRPr="620101E6" w:rsidR="0FA88C20">
        <w:rPr>
          <w:b w:val="0"/>
          <w:bCs w:val="0"/>
          <w:color w:val="FFC000"/>
          <w:u w:val="none"/>
        </w:rPr>
        <w:t xml:space="preserve">IV thrombolysis for patients with AIS post-dural puncture may be considered in individual cases, even in instances when they may have undergone a lumbar dural puncture in the preceding 7 days. </w:t>
      </w:r>
    </w:p>
    <w:p w:rsidR="0FA88C20" w:rsidP="620101E6" w:rsidRDefault="0FA88C20" w14:paraId="242AAB4A" w14:textId="5B9E7644">
      <w:pPr>
        <w:pStyle w:val="ListParagraph"/>
        <w:numPr>
          <w:ilvl w:val="0"/>
          <w:numId w:val="2"/>
        </w:numPr>
        <w:rPr>
          <w:b w:val="0"/>
          <w:bCs w:val="0"/>
          <w:color w:val="FFC000"/>
          <w:u w:val="none"/>
        </w:rPr>
      </w:pPr>
      <w:r w:rsidRPr="620101E6" w:rsidR="0FA88C20">
        <w:rPr>
          <w:b w:val="1"/>
          <w:bCs w:val="1"/>
          <w:color w:val="FFC000"/>
          <w:u w:val="none"/>
        </w:rPr>
        <w:t>Arterial puncture within 7 days</w:t>
      </w:r>
    </w:p>
    <w:p w:rsidR="0FA88C20" w:rsidP="620101E6" w:rsidRDefault="0FA88C20" w14:paraId="5E7B8863" w14:textId="2A6D76C4">
      <w:pPr>
        <w:pStyle w:val="ListParagraph"/>
        <w:numPr>
          <w:ilvl w:val="1"/>
          <w:numId w:val="2"/>
        </w:numPr>
        <w:rPr>
          <w:b w:val="0"/>
          <w:bCs w:val="0"/>
          <w:color w:val="FFC000"/>
          <w:u w:val="none"/>
        </w:rPr>
      </w:pPr>
      <w:r w:rsidRPr="620101E6" w:rsidR="0FA88C20">
        <w:rPr>
          <w:b w:val="0"/>
          <w:bCs w:val="0"/>
          <w:color w:val="FFC000"/>
          <w:u w:val="none"/>
        </w:rPr>
        <w:t xml:space="preserve">The safety of IV thrombolysis in patients with AIS who have </w:t>
      </w:r>
      <w:r w:rsidRPr="620101E6" w:rsidR="0FA88C20">
        <w:rPr>
          <w:b w:val="0"/>
          <w:bCs w:val="0"/>
          <w:color w:val="FFC000"/>
          <w:u w:val="none"/>
        </w:rPr>
        <w:t>has</w:t>
      </w:r>
      <w:r w:rsidRPr="620101E6" w:rsidR="0FA88C20">
        <w:rPr>
          <w:b w:val="0"/>
          <w:bCs w:val="0"/>
          <w:color w:val="FFC000"/>
          <w:u w:val="none"/>
        </w:rPr>
        <w:t xml:space="preserve"> an arterial puncture of a noncompressible blood vessel (</w:t>
      </w:r>
      <w:r w:rsidRPr="620101E6" w:rsidR="0FA88C20">
        <w:rPr>
          <w:b w:val="0"/>
          <w:bCs w:val="0"/>
          <w:color w:val="FFC000"/>
          <w:u w:val="none"/>
        </w:rPr>
        <w:t>e.g.</w:t>
      </w:r>
      <w:r w:rsidRPr="620101E6" w:rsidR="0FA88C20">
        <w:rPr>
          <w:b w:val="0"/>
          <w:bCs w:val="0"/>
          <w:color w:val="FFC000"/>
          <w:u w:val="none"/>
        </w:rPr>
        <w:t xml:space="preserve"> subclavian artery line) in the 7 days preceding the stroke symptoms is unknown.</w:t>
      </w:r>
    </w:p>
    <w:p w:rsidR="0FA88C20" w:rsidP="620101E6" w:rsidRDefault="0FA88C20" w14:paraId="0EC3B943" w14:textId="6CB95D88">
      <w:pPr>
        <w:pStyle w:val="ListParagraph"/>
        <w:numPr>
          <w:ilvl w:val="0"/>
          <w:numId w:val="2"/>
        </w:numPr>
        <w:rPr>
          <w:b w:val="0"/>
          <w:bCs w:val="0"/>
          <w:color w:val="FFC000"/>
          <w:u w:val="none"/>
        </w:rPr>
      </w:pPr>
      <w:r w:rsidRPr="620101E6" w:rsidR="0FA88C20">
        <w:rPr>
          <w:b w:val="1"/>
          <w:bCs w:val="1"/>
          <w:color w:val="FFC000"/>
          <w:u w:val="none"/>
        </w:rPr>
        <w:t xml:space="preserve">Moderate to severe traumatic brain injury greater than or equal to </w:t>
      </w:r>
      <w:r w:rsidRPr="620101E6" w:rsidR="0FA88C20">
        <w:rPr>
          <w:b w:val="1"/>
          <w:bCs w:val="1"/>
          <w:color w:val="FFC000"/>
          <w:u w:val="none"/>
        </w:rPr>
        <w:t>14 days</w:t>
      </w:r>
      <w:r w:rsidRPr="620101E6" w:rsidR="0FA88C20">
        <w:rPr>
          <w:b w:val="1"/>
          <w:bCs w:val="1"/>
          <w:color w:val="FFC000"/>
          <w:u w:val="none"/>
        </w:rPr>
        <w:t xml:space="preserve"> to 3 months</w:t>
      </w:r>
    </w:p>
    <w:p w:rsidR="0FA88C20" w:rsidP="620101E6" w:rsidRDefault="0FA88C20" w14:paraId="7E91D8F7" w14:textId="5DF3EA97">
      <w:pPr>
        <w:pStyle w:val="ListParagraph"/>
        <w:numPr>
          <w:ilvl w:val="1"/>
          <w:numId w:val="2"/>
        </w:numPr>
        <w:rPr>
          <w:b w:val="0"/>
          <w:bCs w:val="0"/>
          <w:color w:val="FFC000"/>
          <w:u w:val="none"/>
        </w:rPr>
      </w:pPr>
      <w:r w:rsidRPr="620101E6" w:rsidR="0FA88C20">
        <w:rPr>
          <w:b w:val="0"/>
          <w:bCs w:val="0"/>
          <w:color w:val="FFC000"/>
          <w:u w:val="none"/>
        </w:rPr>
        <w:t xml:space="preserve">IV thrombolysis may be considered in AIS patients with recent moderate to severe traumatic brain injury (between </w:t>
      </w:r>
      <w:r w:rsidRPr="620101E6" w:rsidR="0FA88C20">
        <w:rPr>
          <w:b w:val="0"/>
          <w:bCs w:val="0"/>
          <w:color w:val="FFC000"/>
          <w:u w:val="none"/>
        </w:rPr>
        <w:t>14 days</w:t>
      </w:r>
      <w:r w:rsidRPr="620101E6" w:rsidR="0FA88C20">
        <w:rPr>
          <w:b w:val="0"/>
          <w:bCs w:val="0"/>
          <w:color w:val="FFC000"/>
          <w:u w:val="none"/>
        </w:rPr>
        <w:t xml:space="preserve"> and 3 months). Careful considerations should be made based on the type and severity of traumatic injury and in consultation with neurosurgical and neurocritical care team members. </w:t>
      </w:r>
    </w:p>
    <w:p w:rsidR="0FA88C20" w:rsidP="620101E6" w:rsidRDefault="0FA88C20" w14:paraId="1E3EB635" w14:textId="688833C9">
      <w:pPr>
        <w:pStyle w:val="ListParagraph"/>
        <w:numPr>
          <w:ilvl w:val="0"/>
          <w:numId w:val="2"/>
        </w:numPr>
        <w:rPr>
          <w:b w:val="0"/>
          <w:bCs w:val="0"/>
          <w:color w:val="FFC000"/>
          <w:u w:val="none"/>
        </w:rPr>
      </w:pPr>
      <w:r w:rsidRPr="620101E6" w:rsidR="0FA88C20">
        <w:rPr>
          <w:b w:val="1"/>
          <w:bCs w:val="1"/>
          <w:color w:val="FFC000"/>
          <w:u w:val="none"/>
        </w:rPr>
        <w:t xml:space="preserve">Neurosurgery greater than or equal to </w:t>
      </w:r>
      <w:r w:rsidRPr="620101E6" w:rsidR="0FA88C20">
        <w:rPr>
          <w:b w:val="1"/>
          <w:bCs w:val="1"/>
          <w:color w:val="FFC000"/>
          <w:u w:val="none"/>
        </w:rPr>
        <w:t>14 days</w:t>
      </w:r>
      <w:r w:rsidRPr="620101E6" w:rsidR="0FA88C20">
        <w:rPr>
          <w:b w:val="1"/>
          <w:bCs w:val="1"/>
          <w:color w:val="FFC000"/>
          <w:u w:val="none"/>
        </w:rPr>
        <w:t xml:space="preserve"> to 3 months</w:t>
      </w:r>
    </w:p>
    <w:p w:rsidR="0FA88C20" w:rsidP="620101E6" w:rsidRDefault="0FA88C20" w14:paraId="1ABD5FEE" w14:textId="45512179">
      <w:pPr>
        <w:pStyle w:val="ListParagraph"/>
        <w:numPr>
          <w:ilvl w:val="1"/>
          <w:numId w:val="2"/>
        </w:numPr>
        <w:rPr>
          <w:b w:val="0"/>
          <w:bCs w:val="0"/>
          <w:color w:val="FFC000"/>
          <w:u w:val="none"/>
        </w:rPr>
      </w:pPr>
      <w:r w:rsidRPr="620101E6" w:rsidR="0FA88C20">
        <w:rPr>
          <w:b w:val="0"/>
          <w:bCs w:val="0"/>
          <w:color w:val="FFC000"/>
          <w:u w:val="none"/>
        </w:rPr>
        <w:t xml:space="preserve">For patients with AIS and a history of intracranial/spinal surgery between </w:t>
      </w:r>
      <w:r w:rsidRPr="620101E6" w:rsidR="0FA88C20">
        <w:rPr>
          <w:b w:val="0"/>
          <w:bCs w:val="0"/>
          <w:color w:val="FFC000"/>
          <w:u w:val="none"/>
        </w:rPr>
        <w:t>14 days</w:t>
      </w:r>
      <w:r w:rsidRPr="620101E6" w:rsidR="0FA88C20">
        <w:rPr>
          <w:b w:val="0"/>
          <w:bCs w:val="0"/>
          <w:color w:val="FFC000"/>
          <w:u w:val="none"/>
        </w:rPr>
        <w:t xml:space="preserve"> and 3 months, IV thrombolysis may be considered on an individual basis. Consultation with neurosurgical team members is recommended.</w:t>
      </w:r>
    </w:p>
    <w:p w:rsidR="620101E6" w:rsidP="620101E6" w:rsidRDefault="620101E6" w14:paraId="7B9A57B0" w14:textId="6E1A3EA6">
      <w:pPr>
        <w:pStyle w:val="ListParagraph"/>
        <w:ind w:left="1440"/>
        <w:rPr>
          <w:b w:val="0"/>
          <w:bCs w:val="0"/>
          <w:u w:val="none"/>
        </w:rPr>
      </w:pPr>
    </w:p>
    <w:p w:rsidR="6B005844" w:rsidP="620101E6" w:rsidRDefault="6B005844" w14:paraId="1BC46104" w14:textId="0B37B8E3">
      <w:pPr>
        <w:pStyle w:val="Normal"/>
        <w:rPr>
          <w:b w:val="1"/>
          <w:bCs w:val="1"/>
          <w:u w:val="single"/>
        </w:rPr>
      </w:pPr>
      <w:r w:rsidRPr="620101E6" w:rsidR="6B005844">
        <w:rPr>
          <w:b w:val="1"/>
          <w:bCs w:val="1"/>
          <w:u w:val="single"/>
        </w:rPr>
        <w:t xml:space="preserve">Conditions in Which Benefits of Intravenous Thrombolysis </w:t>
      </w:r>
      <w:r w:rsidRPr="620101E6" w:rsidR="6B005844">
        <w:rPr>
          <w:b w:val="1"/>
          <w:bCs w:val="1"/>
          <w:u w:val="single"/>
        </w:rPr>
        <w:t>Generally are</w:t>
      </w:r>
      <w:r w:rsidRPr="620101E6" w:rsidR="6B005844">
        <w:rPr>
          <w:b w:val="1"/>
          <w:bCs w:val="1"/>
          <w:u w:val="single"/>
        </w:rPr>
        <w:t xml:space="preserve"> Greater than Risks of Bleeding</w:t>
      </w:r>
    </w:p>
    <w:p w:rsidR="6B005844" w:rsidP="620101E6" w:rsidRDefault="6B005844" w14:paraId="504B18F1" w14:textId="5728B509">
      <w:pPr>
        <w:pStyle w:val="ListParagraph"/>
        <w:numPr>
          <w:ilvl w:val="0"/>
          <w:numId w:val="3"/>
        </w:numPr>
        <w:rPr>
          <w:b w:val="1"/>
          <w:bCs w:val="1"/>
          <w:u w:val="none"/>
        </w:rPr>
      </w:pPr>
      <w:r w:rsidRPr="620101E6" w:rsidR="6B005844">
        <w:rPr>
          <w:b w:val="1"/>
          <w:bCs w:val="1"/>
          <w:u w:val="none"/>
        </w:rPr>
        <w:t xml:space="preserve">Extracranial </w:t>
      </w:r>
      <w:r w:rsidRPr="620101E6" w:rsidR="6B005844">
        <w:rPr>
          <w:b w:val="1"/>
          <w:bCs w:val="1"/>
          <w:u w:val="none"/>
        </w:rPr>
        <w:t>cervical</w:t>
      </w:r>
      <w:r w:rsidRPr="620101E6" w:rsidR="6B005844">
        <w:rPr>
          <w:b w:val="1"/>
          <w:bCs w:val="1"/>
          <w:u w:val="none"/>
        </w:rPr>
        <w:t xml:space="preserve"> dissections</w:t>
      </w:r>
    </w:p>
    <w:p w:rsidR="6B005844" w:rsidP="620101E6" w:rsidRDefault="6B005844" w14:paraId="381FD2C1" w14:textId="6D442168">
      <w:pPr>
        <w:pStyle w:val="ListParagraph"/>
        <w:numPr>
          <w:ilvl w:val="1"/>
          <w:numId w:val="3"/>
        </w:numPr>
        <w:rPr>
          <w:b w:val="0"/>
          <w:bCs w:val="0"/>
          <w:u w:val="none"/>
        </w:rPr>
      </w:pPr>
      <w:r w:rsidR="6B005844">
        <w:rPr>
          <w:b w:val="0"/>
          <w:bCs w:val="0"/>
          <w:u w:val="none"/>
        </w:rPr>
        <w:t xml:space="preserve">IV thrombolysis in AIS known or suspected to be associated with extracranial cervical arterial dissection is reasonable safe within 4.5 hours and </w:t>
      </w:r>
      <w:r w:rsidR="6B005844">
        <w:rPr>
          <w:b w:val="0"/>
          <w:bCs w:val="0"/>
          <w:u w:val="none"/>
        </w:rPr>
        <w:t>probably recommended</w:t>
      </w:r>
      <w:r w:rsidR="41AD4012">
        <w:rPr>
          <w:b w:val="0"/>
          <w:bCs w:val="0"/>
          <w:u w:val="none"/>
        </w:rPr>
        <w:t>.</w:t>
      </w:r>
    </w:p>
    <w:p w:rsidR="6B005844" w:rsidP="620101E6" w:rsidRDefault="6B005844" w14:paraId="5BE86CDF" w14:textId="4BF1D2F9">
      <w:pPr>
        <w:pStyle w:val="ListParagraph"/>
        <w:numPr>
          <w:ilvl w:val="0"/>
          <w:numId w:val="3"/>
        </w:numPr>
        <w:rPr>
          <w:b w:val="1"/>
          <w:bCs w:val="1"/>
          <w:u w:val="none"/>
        </w:rPr>
      </w:pPr>
      <w:r w:rsidRPr="620101E6" w:rsidR="6B005844">
        <w:rPr>
          <w:b w:val="1"/>
          <w:bCs w:val="1"/>
          <w:u w:val="none"/>
        </w:rPr>
        <w:t>Extra-axial intracranial neoplasms</w:t>
      </w:r>
    </w:p>
    <w:p w:rsidR="6B005844" w:rsidP="620101E6" w:rsidRDefault="6B005844" w14:paraId="0DA3B014" w14:textId="222D3CA7">
      <w:pPr>
        <w:pStyle w:val="ListParagraph"/>
        <w:numPr>
          <w:ilvl w:val="1"/>
          <w:numId w:val="3"/>
        </w:numPr>
        <w:rPr>
          <w:b w:val="0"/>
          <w:bCs w:val="0"/>
          <w:u w:val="none"/>
        </w:rPr>
      </w:pPr>
      <w:r w:rsidR="6B005844">
        <w:rPr>
          <w:b w:val="0"/>
          <w:bCs w:val="0"/>
          <w:u w:val="none"/>
        </w:rPr>
        <w:t xml:space="preserve">The risk of harm of IV thrombolysis in patients with AIS and extra-axial intracranial neoplasm is </w:t>
      </w:r>
      <w:r w:rsidR="6B005844">
        <w:rPr>
          <w:b w:val="0"/>
          <w:bCs w:val="0"/>
          <w:u w:val="none"/>
        </w:rPr>
        <w:t>likely low</w:t>
      </w:r>
      <w:r w:rsidR="6B005844">
        <w:rPr>
          <w:b w:val="0"/>
          <w:bCs w:val="0"/>
          <w:u w:val="none"/>
        </w:rPr>
        <w:t xml:space="preserve">. </w:t>
      </w:r>
      <w:r w:rsidR="59AD5AAE">
        <w:rPr>
          <w:b w:val="0"/>
          <w:bCs w:val="0"/>
          <w:u w:val="none"/>
        </w:rPr>
        <w:t>Benefits likely outweigh</w:t>
      </w:r>
      <w:r w:rsidR="6B005844">
        <w:rPr>
          <w:b w:val="0"/>
          <w:bCs w:val="0"/>
          <w:u w:val="none"/>
        </w:rPr>
        <w:t xml:space="preserve"> risk in this </w:t>
      </w:r>
      <w:r w:rsidR="3E8E937E">
        <w:rPr>
          <w:b w:val="0"/>
          <w:bCs w:val="0"/>
          <w:u w:val="none"/>
        </w:rPr>
        <w:t>population,</w:t>
      </w:r>
      <w:r w:rsidR="6B005844">
        <w:rPr>
          <w:b w:val="0"/>
          <w:bCs w:val="0"/>
          <w:u w:val="none"/>
        </w:rPr>
        <w:t xml:space="preserve"> and IV thrombolysis should be considered.</w:t>
      </w:r>
    </w:p>
    <w:p w:rsidR="6B005844" w:rsidP="620101E6" w:rsidRDefault="6B005844" w14:paraId="091EAF44" w14:textId="3FC00EB8">
      <w:pPr>
        <w:pStyle w:val="ListParagraph"/>
        <w:numPr>
          <w:ilvl w:val="0"/>
          <w:numId w:val="3"/>
        </w:numPr>
        <w:rPr>
          <w:b w:val="1"/>
          <w:bCs w:val="1"/>
          <w:u w:val="none"/>
        </w:rPr>
      </w:pPr>
      <w:r w:rsidRPr="620101E6" w:rsidR="6B005844">
        <w:rPr>
          <w:b w:val="1"/>
          <w:bCs w:val="1"/>
          <w:u w:val="none"/>
        </w:rPr>
        <w:t>Angiographic procedural stroke</w:t>
      </w:r>
    </w:p>
    <w:p w:rsidR="6B005844" w:rsidP="620101E6" w:rsidRDefault="6B005844" w14:paraId="5CCAE8F2" w14:textId="3391FC3B">
      <w:pPr>
        <w:pStyle w:val="ListParagraph"/>
        <w:numPr>
          <w:ilvl w:val="1"/>
          <w:numId w:val="3"/>
        </w:numPr>
        <w:rPr>
          <w:b w:val="0"/>
          <w:bCs w:val="0"/>
          <w:u w:val="none"/>
        </w:rPr>
      </w:pPr>
      <w:r w:rsidR="6B005844">
        <w:rPr>
          <w:b w:val="0"/>
          <w:bCs w:val="0"/>
          <w:u w:val="none"/>
        </w:rPr>
        <w:t xml:space="preserve">IV thrombolysis in patients with AIS during or </w:t>
      </w:r>
      <w:r w:rsidR="6B005844">
        <w:rPr>
          <w:b w:val="0"/>
          <w:bCs w:val="0"/>
          <w:u w:val="none"/>
        </w:rPr>
        <w:t>immediately</w:t>
      </w:r>
      <w:r w:rsidR="6B005844">
        <w:rPr>
          <w:b w:val="0"/>
          <w:bCs w:val="0"/>
          <w:u w:val="none"/>
        </w:rPr>
        <w:t xml:space="preserve"> post-angiography should be considered as benefit </w:t>
      </w:r>
      <w:r w:rsidR="6B005844">
        <w:rPr>
          <w:b w:val="0"/>
          <w:bCs w:val="0"/>
          <w:u w:val="none"/>
        </w:rPr>
        <w:t>likely outweighs</w:t>
      </w:r>
      <w:r w:rsidR="6B005844">
        <w:rPr>
          <w:b w:val="0"/>
          <w:bCs w:val="0"/>
          <w:u w:val="none"/>
        </w:rPr>
        <w:t xml:space="preserve"> risk in this population</w:t>
      </w:r>
      <w:r w:rsidR="28A646DF">
        <w:rPr>
          <w:b w:val="0"/>
          <w:bCs w:val="0"/>
          <w:u w:val="none"/>
        </w:rPr>
        <w:t>.</w:t>
      </w:r>
    </w:p>
    <w:p w:rsidR="6B005844" w:rsidP="620101E6" w:rsidRDefault="6B005844" w14:paraId="5186074A" w14:textId="30C8FFD9">
      <w:pPr>
        <w:pStyle w:val="ListParagraph"/>
        <w:numPr>
          <w:ilvl w:val="0"/>
          <w:numId w:val="3"/>
        </w:numPr>
        <w:rPr>
          <w:b w:val="1"/>
          <w:bCs w:val="1"/>
          <w:u w:val="none"/>
        </w:rPr>
      </w:pPr>
      <w:r w:rsidRPr="620101E6" w:rsidR="6B005844">
        <w:rPr>
          <w:b w:val="1"/>
          <w:bCs w:val="1"/>
          <w:u w:val="none"/>
        </w:rPr>
        <w:t>Unruptured intracranial aneurysm</w:t>
      </w:r>
    </w:p>
    <w:p w:rsidR="6B005844" w:rsidP="620101E6" w:rsidRDefault="6B005844" w14:paraId="2C6C636A" w14:textId="1034CDDA">
      <w:pPr>
        <w:pStyle w:val="ListParagraph"/>
        <w:numPr>
          <w:ilvl w:val="1"/>
          <w:numId w:val="3"/>
        </w:numPr>
        <w:rPr>
          <w:b w:val="0"/>
          <w:bCs w:val="0"/>
          <w:u w:val="none"/>
        </w:rPr>
      </w:pPr>
      <w:r w:rsidR="6B005844">
        <w:rPr>
          <w:b w:val="0"/>
          <w:bCs w:val="0"/>
          <w:u w:val="none"/>
        </w:rPr>
        <w:t xml:space="preserve">The risk of harm of IV thrombolysis in patients with AIS and unruptured intracranial aneurysm is </w:t>
      </w:r>
      <w:r w:rsidR="6B005844">
        <w:rPr>
          <w:b w:val="0"/>
          <w:bCs w:val="0"/>
          <w:u w:val="none"/>
        </w:rPr>
        <w:t>likely low</w:t>
      </w:r>
      <w:r w:rsidR="6B005844">
        <w:rPr>
          <w:b w:val="0"/>
          <w:bCs w:val="0"/>
          <w:u w:val="none"/>
        </w:rPr>
        <w:t xml:space="preserve">. Benefit </w:t>
      </w:r>
      <w:r w:rsidR="6B005844">
        <w:rPr>
          <w:b w:val="0"/>
          <w:bCs w:val="0"/>
          <w:u w:val="none"/>
        </w:rPr>
        <w:t>likely</w:t>
      </w:r>
      <w:r w:rsidR="4C0215AF">
        <w:rPr>
          <w:b w:val="0"/>
          <w:bCs w:val="0"/>
          <w:u w:val="none"/>
        </w:rPr>
        <w:t xml:space="preserve"> outweighs</w:t>
      </w:r>
      <w:r w:rsidR="4C0215AF">
        <w:rPr>
          <w:b w:val="0"/>
          <w:bCs w:val="0"/>
          <w:u w:val="none"/>
        </w:rPr>
        <w:t xml:space="preserve"> </w:t>
      </w:r>
      <w:r w:rsidR="7F8E6D70">
        <w:rPr>
          <w:b w:val="0"/>
          <w:bCs w:val="0"/>
          <w:u w:val="none"/>
        </w:rPr>
        <w:t xml:space="preserve">risk in this </w:t>
      </w:r>
      <w:r w:rsidR="52D45D62">
        <w:rPr>
          <w:b w:val="0"/>
          <w:bCs w:val="0"/>
          <w:u w:val="none"/>
        </w:rPr>
        <w:t>population,</w:t>
      </w:r>
      <w:r w:rsidR="463F50B2">
        <w:rPr>
          <w:b w:val="0"/>
          <w:bCs w:val="0"/>
          <w:u w:val="none"/>
        </w:rPr>
        <w:t xml:space="preserve"> and treatment with IV thrombolysis should be considered</w:t>
      </w:r>
      <w:r w:rsidR="39F0E962">
        <w:rPr>
          <w:b w:val="0"/>
          <w:bCs w:val="0"/>
          <w:u w:val="none"/>
        </w:rPr>
        <w:t>.</w:t>
      </w:r>
    </w:p>
    <w:p w:rsidR="6B005844" w:rsidP="620101E6" w:rsidRDefault="6B005844" w14:paraId="55DE66BD" w14:textId="6B2E940B">
      <w:pPr>
        <w:pStyle w:val="ListParagraph"/>
        <w:numPr>
          <w:ilvl w:val="0"/>
          <w:numId w:val="3"/>
        </w:numPr>
        <w:rPr>
          <w:b w:val="1"/>
          <w:bCs w:val="1"/>
          <w:u w:val="none"/>
        </w:rPr>
      </w:pPr>
      <w:r w:rsidRPr="620101E6" w:rsidR="6B005844">
        <w:rPr>
          <w:b w:val="1"/>
          <w:bCs w:val="1"/>
          <w:u w:val="none"/>
        </w:rPr>
        <w:t>History of GI/GU bleeding</w:t>
      </w:r>
    </w:p>
    <w:p w:rsidR="6F6BF349" w:rsidP="620101E6" w:rsidRDefault="6F6BF349" w14:paraId="0D054102" w14:textId="251FADA6">
      <w:pPr>
        <w:pStyle w:val="ListParagraph"/>
        <w:numPr>
          <w:ilvl w:val="1"/>
          <w:numId w:val="3"/>
        </w:numPr>
        <w:rPr>
          <w:b w:val="0"/>
          <w:bCs w:val="0"/>
          <w:u w:val="none"/>
        </w:rPr>
      </w:pPr>
      <w:r w:rsidR="6F6BF349">
        <w:rPr>
          <w:b w:val="0"/>
          <w:bCs w:val="0"/>
          <w:u w:val="none"/>
        </w:rPr>
        <w:t xml:space="preserve">IV thrombolysis in AIS patients with </w:t>
      </w:r>
      <w:r w:rsidR="6F6BF349">
        <w:rPr>
          <w:b w:val="0"/>
          <w:bCs w:val="0"/>
          <w:u w:val="none"/>
        </w:rPr>
        <w:t>previous</w:t>
      </w:r>
      <w:r w:rsidR="6F6BF349">
        <w:rPr>
          <w:b w:val="0"/>
          <w:bCs w:val="0"/>
          <w:u w:val="none"/>
        </w:rPr>
        <w:t xml:space="preserve"> remote history</w:t>
      </w:r>
      <w:r w:rsidR="50D0EA9C">
        <w:rPr>
          <w:b w:val="0"/>
          <w:bCs w:val="0"/>
          <w:u w:val="none"/>
        </w:rPr>
        <w:t xml:space="preserve"> of GI or GU bleeding that is stable may be candidates </w:t>
      </w:r>
      <w:r w:rsidR="59DAA07C">
        <w:rPr>
          <w:b w:val="0"/>
          <w:bCs w:val="0"/>
          <w:u w:val="none"/>
        </w:rPr>
        <w:t xml:space="preserve">for IV thrombolysis. </w:t>
      </w:r>
      <w:r w:rsidR="02C1B368">
        <w:rPr>
          <w:b w:val="0"/>
          <w:bCs w:val="0"/>
          <w:u w:val="none"/>
        </w:rPr>
        <w:t>Consideration</w:t>
      </w:r>
      <w:r w:rsidR="59DAA07C">
        <w:rPr>
          <w:b w:val="0"/>
          <w:bCs w:val="0"/>
          <w:u w:val="none"/>
        </w:rPr>
        <w:t xml:space="preserve"> of benefit and risk on an individual basis in conjunction with GI or GU consultation is </w:t>
      </w:r>
      <w:r w:rsidR="59DAA07C">
        <w:rPr>
          <w:b w:val="0"/>
          <w:bCs w:val="0"/>
          <w:u w:val="none"/>
        </w:rPr>
        <w:t>appropriate</w:t>
      </w:r>
      <w:r w:rsidR="59DAA07C">
        <w:rPr>
          <w:b w:val="0"/>
          <w:bCs w:val="0"/>
          <w:u w:val="none"/>
        </w:rPr>
        <w:t xml:space="preserve">. </w:t>
      </w:r>
    </w:p>
    <w:p w:rsidR="6B005844" w:rsidP="620101E6" w:rsidRDefault="6B005844" w14:paraId="20434534" w14:textId="20227637">
      <w:pPr>
        <w:pStyle w:val="ListParagraph"/>
        <w:numPr>
          <w:ilvl w:val="0"/>
          <w:numId w:val="3"/>
        </w:numPr>
        <w:rPr>
          <w:b w:val="1"/>
          <w:bCs w:val="1"/>
          <w:u w:val="none"/>
        </w:rPr>
      </w:pPr>
      <w:r w:rsidRPr="620101E6" w:rsidR="6B005844">
        <w:rPr>
          <w:b w:val="1"/>
          <w:bCs w:val="1"/>
          <w:u w:val="none"/>
        </w:rPr>
        <w:t>History of MI</w:t>
      </w:r>
    </w:p>
    <w:p w:rsidR="74CD60ED" w:rsidP="620101E6" w:rsidRDefault="74CD60ED" w14:paraId="5DA663E3" w14:textId="64388B49">
      <w:pPr>
        <w:pStyle w:val="ListParagraph"/>
        <w:numPr>
          <w:ilvl w:val="1"/>
          <w:numId w:val="3"/>
        </w:numPr>
        <w:rPr>
          <w:b w:val="0"/>
          <w:bCs w:val="0"/>
          <w:u w:val="none"/>
        </w:rPr>
      </w:pPr>
      <w:r w:rsidR="74CD60ED">
        <w:rPr>
          <w:b w:val="0"/>
          <w:bCs w:val="0"/>
          <w:u w:val="none"/>
        </w:rPr>
        <w:t xml:space="preserve">IV thrombolysis in AIS patients with remote history of MI </w:t>
      </w:r>
      <w:r w:rsidR="74CD60ED">
        <w:rPr>
          <w:b w:val="0"/>
          <w:bCs w:val="0"/>
          <w:u w:val="none"/>
        </w:rPr>
        <w:t>probably has</w:t>
      </w:r>
      <w:r w:rsidR="74CD60ED">
        <w:rPr>
          <w:b w:val="0"/>
          <w:bCs w:val="0"/>
          <w:u w:val="none"/>
        </w:rPr>
        <w:t xml:space="preserve"> </w:t>
      </w:r>
      <w:r w:rsidR="14965D28">
        <w:rPr>
          <w:b w:val="0"/>
          <w:bCs w:val="0"/>
          <w:u w:val="none"/>
        </w:rPr>
        <w:t>greater</w:t>
      </w:r>
      <w:r w:rsidR="74CD60ED">
        <w:rPr>
          <w:b w:val="0"/>
          <w:bCs w:val="0"/>
          <w:u w:val="none"/>
        </w:rPr>
        <w:t xml:space="preserve"> benefit than risk. </w:t>
      </w:r>
    </w:p>
    <w:p w:rsidR="6B005844" w:rsidP="620101E6" w:rsidRDefault="6B005844" w14:paraId="5C758D49" w14:textId="272EA9DF">
      <w:pPr>
        <w:pStyle w:val="ListParagraph"/>
        <w:numPr>
          <w:ilvl w:val="0"/>
          <w:numId w:val="3"/>
        </w:numPr>
        <w:rPr>
          <w:b w:val="1"/>
          <w:bCs w:val="1"/>
          <w:u w:val="none"/>
        </w:rPr>
      </w:pPr>
      <w:r w:rsidRPr="620101E6" w:rsidR="6B005844">
        <w:rPr>
          <w:b w:val="1"/>
          <w:bCs w:val="1"/>
          <w:u w:val="none"/>
        </w:rPr>
        <w:t>Recreational drug use</w:t>
      </w:r>
    </w:p>
    <w:p w:rsidR="3FFC739B" w:rsidP="620101E6" w:rsidRDefault="3FFC739B" w14:paraId="4FB93A87" w14:textId="58D04E10">
      <w:pPr>
        <w:pStyle w:val="ListParagraph"/>
        <w:numPr>
          <w:ilvl w:val="1"/>
          <w:numId w:val="3"/>
        </w:numPr>
        <w:rPr>
          <w:b w:val="0"/>
          <w:bCs w:val="0"/>
          <w:u w:val="none"/>
        </w:rPr>
      </w:pPr>
      <w:r w:rsidR="3FFC739B">
        <w:rPr>
          <w:b w:val="0"/>
          <w:bCs w:val="0"/>
          <w:u w:val="none"/>
        </w:rPr>
        <w:t xml:space="preserve">IV thrombolysis in AIS patients with known recreational drug use </w:t>
      </w:r>
      <w:r w:rsidR="3FFC739B">
        <w:rPr>
          <w:b w:val="0"/>
          <w:bCs w:val="0"/>
          <w:u w:val="none"/>
        </w:rPr>
        <w:t>probably has</w:t>
      </w:r>
      <w:r w:rsidR="3FFC739B">
        <w:rPr>
          <w:b w:val="0"/>
          <w:bCs w:val="0"/>
          <w:u w:val="none"/>
        </w:rPr>
        <w:t xml:space="preserve"> greater benefit than risk in most patients and should be considered. </w:t>
      </w:r>
    </w:p>
    <w:p w:rsidR="3FFC739B" w:rsidP="620101E6" w:rsidRDefault="3FFC739B" w14:paraId="0D6A218B" w14:textId="2959716A">
      <w:pPr>
        <w:pStyle w:val="ListParagraph"/>
        <w:numPr>
          <w:ilvl w:val="0"/>
          <w:numId w:val="3"/>
        </w:numPr>
        <w:rPr>
          <w:b w:val="1"/>
          <w:bCs w:val="1"/>
          <w:u w:val="none"/>
        </w:rPr>
      </w:pPr>
      <w:r w:rsidRPr="620101E6" w:rsidR="3FFC739B">
        <w:rPr>
          <w:b w:val="1"/>
          <w:bCs w:val="1"/>
          <w:u w:val="none"/>
        </w:rPr>
        <w:t>Uncertainty</w:t>
      </w:r>
      <w:r w:rsidRPr="620101E6" w:rsidR="6B005844">
        <w:rPr>
          <w:b w:val="1"/>
          <w:bCs w:val="1"/>
          <w:u w:val="none"/>
        </w:rPr>
        <w:t xml:space="preserve"> of stroke diagnosis/stroke mimics</w:t>
      </w:r>
    </w:p>
    <w:p w:rsidR="48D38051" w:rsidP="620101E6" w:rsidRDefault="48D38051" w14:paraId="7DE8A09B" w14:textId="5FEC46BE">
      <w:pPr>
        <w:pStyle w:val="ListParagraph"/>
        <w:numPr>
          <w:ilvl w:val="1"/>
          <w:numId w:val="3"/>
        </w:numPr>
        <w:rPr>
          <w:b w:val="0"/>
          <w:bCs w:val="0"/>
          <w:u w:val="none"/>
        </w:rPr>
      </w:pPr>
      <w:r w:rsidR="48D38051">
        <w:rPr>
          <w:b w:val="0"/>
          <w:bCs w:val="0"/>
          <w:u w:val="none"/>
        </w:rPr>
        <w:t xml:space="preserve">When uncertain if a patient is </w:t>
      </w:r>
      <w:r w:rsidR="4EE27334">
        <w:rPr>
          <w:b w:val="0"/>
          <w:bCs w:val="0"/>
          <w:u w:val="none"/>
        </w:rPr>
        <w:t>presenting</w:t>
      </w:r>
      <w:r w:rsidR="48D38051">
        <w:rPr>
          <w:b w:val="0"/>
          <w:bCs w:val="0"/>
          <w:u w:val="none"/>
        </w:rPr>
        <w:t xml:space="preserve"> </w:t>
      </w:r>
      <w:r w:rsidR="72CFC4AF">
        <w:rPr>
          <w:b w:val="0"/>
          <w:bCs w:val="0"/>
          <w:u w:val="none"/>
        </w:rPr>
        <w:t xml:space="preserve">with </w:t>
      </w:r>
      <w:r w:rsidR="0057AACD">
        <w:rPr>
          <w:b w:val="0"/>
          <w:bCs w:val="0"/>
          <w:u w:val="none"/>
        </w:rPr>
        <w:t>symptoms</w:t>
      </w:r>
      <w:r w:rsidR="48D38051">
        <w:rPr>
          <w:b w:val="0"/>
          <w:bCs w:val="0"/>
          <w:u w:val="none"/>
        </w:rPr>
        <w:t xml:space="preserve"> due to stroke vs a stroke mimic, unless ther</w:t>
      </w:r>
      <w:r w:rsidR="07681FB4">
        <w:rPr>
          <w:b w:val="0"/>
          <w:bCs w:val="0"/>
          <w:u w:val="none"/>
        </w:rPr>
        <w:t>e a</w:t>
      </w:r>
      <w:r w:rsidR="48D38051">
        <w:rPr>
          <w:b w:val="0"/>
          <w:bCs w:val="0"/>
          <w:u w:val="none"/>
        </w:rPr>
        <w:t>r</w:t>
      </w:r>
      <w:r w:rsidR="2525B92C">
        <w:rPr>
          <w:b w:val="0"/>
          <w:bCs w:val="0"/>
          <w:u w:val="none"/>
        </w:rPr>
        <w:t>e</w:t>
      </w:r>
      <w:r w:rsidR="48D38051">
        <w:rPr>
          <w:b w:val="0"/>
          <w:bCs w:val="0"/>
          <w:u w:val="none"/>
        </w:rPr>
        <w:t xml:space="preserve"> absolute contraindications, the risk of harm with IV thrombolysis is low. The benefit of IV thrombolysis </w:t>
      </w:r>
      <w:r w:rsidR="48D38051">
        <w:rPr>
          <w:b w:val="0"/>
          <w:bCs w:val="0"/>
          <w:u w:val="none"/>
        </w:rPr>
        <w:t>likely outweighs</w:t>
      </w:r>
      <w:r w:rsidR="48D38051">
        <w:rPr>
          <w:b w:val="0"/>
          <w:bCs w:val="0"/>
          <w:u w:val="none"/>
        </w:rPr>
        <w:t xml:space="preserve"> risk in these patients. </w:t>
      </w:r>
    </w:p>
    <w:p w:rsidR="6B005844" w:rsidP="620101E6" w:rsidRDefault="6B005844" w14:paraId="286CCD1D" w14:textId="6AEF87C0">
      <w:pPr>
        <w:pStyle w:val="ListParagraph"/>
        <w:numPr>
          <w:ilvl w:val="0"/>
          <w:numId w:val="3"/>
        </w:numPr>
        <w:rPr>
          <w:b w:val="1"/>
          <w:bCs w:val="1"/>
          <w:u w:val="none"/>
        </w:rPr>
      </w:pPr>
      <w:r w:rsidRPr="620101E6" w:rsidR="6B005844">
        <w:rPr>
          <w:b w:val="1"/>
          <w:bCs w:val="1"/>
          <w:u w:val="none"/>
        </w:rPr>
        <w:t>Moya-Moya</w:t>
      </w:r>
    </w:p>
    <w:p w:rsidR="270EB582" w:rsidP="620101E6" w:rsidRDefault="270EB582" w14:paraId="35398EE9" w14:textId="095B01A6">
      <w:pPr>
        <w:pStyle w:val="ListParagraph"/>
        <w:numPr>
          <w:ilvl w:val="1"/>
          <w:numId w:val="3"/>
        </w:numPr>
        <w:rPr>
          <w:b w:val="0"/>
          <w:bCs w:val="0"/>
          <w:u w:val="none"/>
        </w:rPr>
      </w:pPr>
      <w:r w:rsidR="270EB582">
        <w:rPr>
          <w:b w:val="0"/>
          <w:bCs w:val="0"/>
          <w:u w:val="none"/>
        </w:rPr>
        <w:t xml:space="preserve">IV thrombolysis in AIS patients with Moya-Moya disease does not appear to have an increased risk of ICH and </w:t>
      </w:r>
      <w:r w:rsidR="270EB582">
        <w:rPr>
          <w:b w:val="0"/>
          <w:bCs w:val="0"/>
          <w:u w:val="none"/>
        </w:rPr>
        <w:t>likely provides</w:t>
      </w:r>
      <w:r w:rsidR="270EB582">
        <w:rPr>
          <w:b w:val="0"/>
          <w:bCs w:val="0"/>
          <w:u w:val="none"/>
        </w:rPr>
        <w:t xml:space="preserve"> </w:t>
      </w:r>
      <w:r w:rsidR="270EB582">
        <w:rPr>
          <w:b w:val="0"/>
          <w:bCs w:val="0"/>
          <w:u w:val="none"/>
        </w:rPr>
        <w:t>benefit</w:t>
      </w:r>
      <w:r w:rsidR="270EB582">
        <w:rPr>
          <w:b w:val="0"/>
          <w:bCs w:val="0"/>
          <w:u w:val="none"/>
        </w:rPr>
        <w:t xml:space="preserve"> that outweigh</w:t>
      </w:r>
      <w:r w:rsidR="5D8D8251">
        <w:rPr>
          <w:b w:val="0"/>
          <w:bCs w:val="0"/>
          <w:u w:val="none"/>
        </w:rPr>
        <w:t>s</w:t>
      </w:r>
      <w:r w:rsidR="270EB582">
        <w:rPr>
          <w:b w:val="0"/>
          <w:bCs w:val="0"/>
          <w:u w:val="none"/>
        </w:rPr>
        <w:t xml:space="preserve"> risk. </w:t>
      </w:r>
    </w:p>
    <w:p w:rsidR="620101E6" w:rsidP="620101E6" w:rsidRDefault="620101E6" w14:paraId="10519F07" w14:textId="25ED8F15">
      <w:pPr>
        <w:pStyle w:val="Normal"/>
        <w:rPr>
          <w:b w:val="0"/>
          <w:bCs w:val="0"/>
          <w:u w:val="none"/>
        </w:rPr>
      </w:pPr>
    </w:p>
    <w:p w:rsidR="318339A0" w:rsidP="620101E6" w:rsidRDefault="318339A0" w14:paraId="10C363D4" w14:textId="28886DCC">
      <w:pPr>
        <w:pStyle w:val="Normal"/>
      </w:pPr>
      <w:r w:rsidRPr="620101E6" w:rsidR="318339A0">
        <w:rPr>
          <w:rFonts w:ascii="Aptos" w:hAnsi="Aptos" w:eastAsia="Aptos" w:cs="Aptos"/>
          <w:b w:val="1"/>
          <w:bCs w:val="1"/>
          <w:i w:val="1"/>
          <w:iCs w:val="1"/>
          <w:noProof w:val="0"/>
          <w:sz w:val="24"/>
          <w:szCs w:val="24"/>
          <w:lang w:val="en-US"/>
        </w:rPr>
        <w:t>Disclaimer:</w:t>
      </w:r>
      <w:r w:rsidRPr="620101E6" w:rsidR="318339A0">
        <w:rPr>
          <w:rFonts w:ascii="Aptos" w:hAnsi="Aptos" w:eastAsia="Aptos" w:cs="Aptos"/>
          <w:i w:val="1"/>
          <w:iCs w:val="1"/>
          <w:noProof w:val="0"/>
          <w:sz w:val="24"/>
          <w:szCs w:val="24"/>
          <w:lang w:val="en-US"/>
        </w:rPr>
        <w:t xml:space="preserve"> This document is intended for guidance purposes only. Clinical decisions must always be made </w:t>
      </w:r>
      <w:r w:rsidRPr="620101E6" w:rsidR="318339A0">
        <w:rPr>
          <w:rFonts w:ascii="Aptos" w:hAnsi="Aptos" w:eastAsia="Aptos" w:cs="Aptos"/>
          <w:i w:val="1"/>
          <w:iCs w:val="1"/>
          <w:noProof w:val="0"/>
          <w:sz w:val="24"/>
          <w:szCs w:val="24"/>
          <w:lang w:val="en-US"/>
        </w:rPr>
        <w:t>in accordance with</w:t>
      </w:r>
      <w:r w:rsidRPr="620101E6" w:rsidR="318339A0">
        <w:rPr>
          <w:rFonts w:ascii="Aptos" w:hAnsi="Aptos" w:eastAsia="Aptos" w:cs="Aptos"/>
          <w:i w:val="1"/>
          <w:iCs w:val="1"/>
          <w:noProof w:val="0"/>
          <w:sz w:val="24"/>
          <w:szCs w:val="24"/>
          <w:lang w:val="en-US"/>
        </w:rPr>
        <w:t xml:space="preserve"> current clinical guidelines, local policies and protocols, and the professional judgment and discretion of the treating clinician.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a7e3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d1d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a3f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37FB06"/>
    <w:rsid w:val="0057AACD"/>
    <w:rsid w:val="01429CCF"/>
    <w:rsid w:val="01EE676D"/>
    <w:rsid w:val="02C1B368"/>
    <w:rsid w:val="031479C2"/>
    <w:rsid w:val="04F3B220"/>
    <w:rsid w:val="0677EF3C"/>
    <w:rsid w:val="06B5E6A5"/>
    <w:rsid w:val="070343E8"/>
    <w:rsid w:val="07681FB4"/>
    <w:rsid w:val="0963F0E3"/>
    <w:rsid w:val="09A0AF68"/>
    <w:rsid w:val="09E70280"/>
    <w:rsid w:val="0A04B571"/>
    <w:rsid w:val="0A24C274"/>
    <w:rsid w:val="0DCFC145"/>
    <w:rsid w:val="0FA88C20"/>
    <w:rsid w:val="0FD5A6EB"/>
    <w:rsid w:val="103D5BE1"/>
    <w:rsid w:val="109D71D1"/>
    <w:rsid w:val="11268874"/>
    <w:rsid w:val="121F87DB"/>
    <w:rsid w:val="1440E213"/>
    <w:rsid w:val="14965D28"/>
    <w:rsid w:val="1653AEFE"/>
    <w:rsid w:val="172C7F9C"/>
    <w:rsid w:val="188806B7"/>
    <w:rsid w:val="19D81741"/>
    <w:rsid w:val="1A6E458C"/>
    <w:rsid w:val="1C50138B"/>
    <w:rsid w:val="1C955339"/>
    <w:rsid w:val="2312AC12"/>
    <w:rsid w:val="236B5D97"/>
    <w:rsid w:val="23ED23AD"/>
    <w:rsid w:val="241611C2"/>
    <w:rsid w:val="245B930A"/>
    <w:rsid w:val="2525B92C"/>
    <w:rsid w:val="269FD55E"/>
    <w:rsid w:val="270EB582"/>
    <w:rsid w:val="28A646DF"/>
    <w:rsid w:val="29683C99"/>
    <w:rsid w:val="2B16FAFB"/>
    <w:rsid w:val="2BEEAB79"/>
    <w:rsid w:val="2C6B3AAE"/>
    <w:rsid w:val="2CB747CE"/>
    <w:rsid w:val="2E1CEF32"/>
    <w:rsid w:val="2EDAF185"/>
    <w:rsid w:val="2FF25C37"/>
    <w:rsid w:val="30C17123"/>
    <w:rsid w:val="30F343BD"/>
    <w:rsid w:val="318339A0"/>
    <w:rsid w:val="32213CFE"/>
    <w:rsid w:val="344A8C86"/>
    <w:rsid w:val="366F9A0F"/>
    <w:rsid w:val="37B56082"/>
    <w:rsid w:val="37D18200"/>
    <w:rsid w:val="3857B700"/>
    <w:rsid w:val="399D9199"/>
    <w:rsid w:val="39CC1F13"/>
    <w:rsid w:val="39F0E962"/>
    <w:rsid w:val="3BCEF5AC"/>
    <w:rsid w:val="3E70160F"/>
    <w:rsid w:val="3E8E937E"/>
    <w:rsid w:val="3F645697"/>
    <w:rsid w:val="3FFC739B"/>
    <w:rsid w:val="40544CE0"/>
    <w:rsid w:val="40774E2D"/>
    <w:rsid w:val="41AD4012"/>
    <w:rsid w:val="41C2657C"/>
    <w:rsid w:val="41DCB57A"/>
    <w:rsid w:val="4251DA6B"/>
    <w:rsid w:val="42D2390D"/>
    <w:rsid w:val="434A7097"/>
    <w:rsid w:val="43D191AA"/>
    <w:rsid w:val="463F50B2"/>
    <w:rsid w:val="469B4D3F"/>
    <w:rsid w:val="46B86ECA"/>
    <w:rsid w:val="47666FFF"/>
    <w:rsid w:val="48D38051"/>
    <w:rsid w:val="48EA4143"/>
    <w:rsid w:val="4B27DBEE"/>
    <w:rsid w:val="4B82A1FA"/>
    <w:rsid w:val="4C0215AF"/>
    <w:rsid w:val="4C2C3E36"/>
    <w:rsid w:val="4D09E3EB"/>
    <w:rsid w:val="4D37FB06"/>
    <w:rsid w:val="4D56AAC0"/>
    <w:rsid w:val="4E05AEA4"/>
    <w:rsid w:val="4EE27334"/>
    <w:rsid w:val="4EEBF9A2"/>
    <w:rsid w:val="50D0EA9C"/>
    <w:rsid w:val="52D45D62"/>
    <w:rsid w:val="5821EDC8"/>
    <w:rsid w:val="59450ECB"/>
    <w:rsid w:val="5990BFB3"/>
    <w:rsid w:val="59AD5AAE"/>
    <w:rsid w:val="59DAA07C"/>
    <w:rsid w:val="5AB06332"/>
    <w:rsid w:val="5C7AFDED"/>
    <w:rsid w:val="5CFC09D8"/>
    <w:rsid w:val="5D191115"/>
    <w:rsid w:val="5D8D8251"/>
    <w:rsid w:val="5E63BBE3"/>
    <w:rsid w:val="5F2F8B95"/>
    <w:rsid w:val="60A5B8B0"/>
    <w:rsid w:val="60AA8017"/>
    <w:rsid w:val="6112E0DA"/>
    <w:rsid w:val="620101E6"/>
    <w:rsid w:val="625064BA"/>
    <w:rsid w:val="63B547B5"/>
    <w:rsid w:val="6497E009"/>
    <w:rsid w:val="661B4F6B"/>
    <w:rsid w:val="668F06CD"/>
    <w:rsid w:val="686A0769"/>
    <w:rsid w:val="68B2E4B5"/>
    <w:rsid w:val="69726CD5"/>
    <w:rsid w:val="698A5AE0"/>
    <w:rsid w:val="6A1CB9EC"/>
    <w:rsid w:val="6AB9711A"/>
    <w:rsid w:val="6ACC4AE1"/>
    <w:rsid w:val="6B005844"/>
    <w:rsid w:val="6C1B6D65"/>
    <w:rsid w:val="6F6BF349"/>
    <w:rsid w:val="7136674B"/>
    <w:rsid w:val="72CFC4AF"/>
    <w:rsid w:val="72EB58FA"/>
    <w:rsid w:val="74CD60ED"/>
    <w:rsid w:val="753BB814"/>
    <w:rsid w:val="764B9DEC"/>
    <w:rsid w:val="79D85FA8"/>
    <w:rsid w:val="7A3F26EE"/>
    <w:rsid w:val="7A480BBF"/>
    <w:rsid w:val="7C36D7C4"/>
    <w:rsid w:val="7C5372D4"/>
    <w:rsid w:val="7C69F9A2"/>
    <w:rsid w:val="7CEA6FD5"/>
    <w:rsid w:val="7D0FDE39"/>
    <w:rsid w:val="7D2724FA"/>
    <w:rsid w:val="7F8E6D70"/>
    <w:rsid w:val="7FC08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FB06"/>
  <w15:chartTrackingRefBased/>
  <w15:docId w15:val="{33183386-F000-43C0-B629-46C36E3F88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36D7C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16b8ce19a647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2026-02-20T16:28:00.2667586Z</dcterms:created>
  <dcterms:modified xsi:type="dcterms:W3CDTF">2026-02-23T15:53:24.8446916Z</dcterms:modified>
  <dc:creator>Emily McGee</dc:creator>
  <lastModifiedBy>Emily McGee</lastModifiedBy>
</coreProperties>
</file>