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56"/>
        </w:rPr>
        <w:t>EEP CEES Session Facilitation Guide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Standalone Facilitation Reference for Bi-Weekly CEES Sessions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Quick Reference Card — Print and Use In-Session</w:t>
      </w:r>
    </w:p>
    <w:p>
      <w:pPr>
        <w:spacing w:before="120" w:after="120"/>
        <w:pBdr>
          <w:left w:val="single" w:sz="16" w:space="8" w:color="FF6200"/>
        </w:pBdr>
        <w:ind w:left="360"/>
      </w:pPr>
      <w:r>
        <w:rPr>
          <w:rFonts w:ascii="Calibri" w:hAnsi="Calibri"/>
          <w:b/>
          <w:color w:val="1C1C1C"/>
          <w:sz w:val="21"/>
        </w:rPr>
        <w:t xml:space="preserve">Purpose: </w:t>
      </w:r>
      <w:r>
        <w:rPr>
          <w:rFonts w:ascii="Calibri" w:hAnsi="Calibri"/>
          <w:color w:val="1C1C1C"/>
          <w:sz w:val="21"/>
        </w:rPr>
        <w:t>This guide is the practitioner-facing companion for running CEES Sessions. Keep it open during every session. You do not need to hide it — participants seeing a trainer reference a guide models the behavior EEP asks of all practitioners: operating with discipline rather than improvisation.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The Five-Step Session Format (45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296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9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752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Facilitator Action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1. Scenario Selection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0:00–0:05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Confirm the scenario and set context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Introduce the scenario: context, actors (by role, not name), moment to reconstruct. Ask contributor to frame what happened in 2 minutes.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2. Reconstruction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0:05–0:15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Establish a precise factual account</w:t>
            </w:r>
          </w:p>
        </w:tc>
        <w:tc>
          <w:tcPr>
            <w:tcW w:type="dxa" w:w="47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Extract what was said, by whom, in what channel, when, in what sequence. Resist interpretation. Keep the group in description mode.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3. Contrast with Standard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0:15–0:30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Surface the gap between what happened and what the standard requires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Name the standard explicitly. Ask: "At this moment, what does the standard call for?" Name the gap with precision — not "it could have been better" but the specific divergence.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4. Lesson Capture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0:30–0:40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Produce a specific, actionable, reusable lesson</w:t>
            </w:r>
          </w:p>
        </w:tc>
        <w:tc>
          <w:tcPr>
            <w:tcW w:type="dxa" w:w="4752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Ask: "What is the single most important lesson from this scenario?" Sharpen the language. The lesson must be specific enough to test whether someone learned it.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5. Next Practice Rep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0:40–0:45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Commit to a specific behavior before the next session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Go around the group. Each participant names one specific behavior — not a general intention. Log the commitments. Open the next session by reviewing them.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Scenario Selection Criteria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Recency — </w:t>
      </w:r>
      <w:r>
        <w:rPr>
          <w:rFonts w:ascii="Calibri" w:hAnsi="Calibri"/>
          <w:color w:val="444444"/>
          <w:sz w:val="22"/>
        </w:rPr>
        <w:t>The scenario should come from the past 30 days. Older scenarios lose the specificity that makes reconstruction honest.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Instructability — </w:t>
      </w:r>
      <w:r>
        <w:rPr>
          <w:rFonts w:ascii="Calibri" w:hAnsi="Calibri"/>
          <w:color w:val="444444"/>
          <w:sz w:val="22"/>
        </w:rPr>
        <w:t>The scenario should contain a clear, teachable divergence between what happened and what the standard requires.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Contributor Comfort — </w:t>
      </w:r>
      <w:r>
        <w:rPr>
          <w:rFonts w:ascii="Calibri" w:hAnsi="Calibri"/>
          <w:color w:val="444444"/>
          <w:sz w:val="22"/>
        </w:rPr>
        <w:t>Confirm with the scenario contributor before the session that they are willing to reconstruct it in the group. Never surprise a participant with their own scenario.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C1C1C"/>
          <w:sz w:val="22"/>
        </w:rPr>
        <w:t xml:space="preserve">Variety — </w:t>
      </w:r>
      <w:r>
        <w:rPr>
          <w:rFonts w:ascii="Calibri" w:hAnsi="Calibri"/>
          <w:color w:val="444444"/>
          <w:sz w:val="22"/>
        </w:rPr>
        <w:t>Over a quarter, rotate through different scenario types — escalation moments, trust repairs, handoff failures, early wins.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When No Scenario Is Ready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Do not cancel the session. Use the library protocol:</w:t>
      </w:r>
    </w:p>
    <w:p>
      <w:pPr>
        <w:pStyle w:val="ListNumber"/>
        <w:spacing w:before="40" w:after="40"/>
      </w:pPr>
      <w:r>
        <w:rPr>
          <w:rFonts w:ascii="Calibri" w:hAnsi="Calibri"/>
          <w:color w:val="444444"/>
          <w:sz w:val="22"/>
        </w:rPr>
        <w:t>Open the EEP Scenario Library Index and select the scenario most relevant to the team's current engagement context.</w:t>
      </w:r>
    </w:p>
    <w:p>
      <w:pPr>
        <w:pStyle w:val="ListNumber"/>
        <w:spacing w:before="40" w:after="40"/>
      </w:pPr>
      <w:r>
        <w:rPr>
          <w:rFonts w:ascii="Calibri" w:hAnsi="Calibri"/>
          <w:color w:val="444444"/>
          <w:sz w:val="22"/>
        </w:rPr>
        <w:t>Present it as a library scenario: "We're going to work from the scenario library today. This one is about [brief description]. Let's reconstruct it as if it were ours."</w:t>
      </w:r>
    </w:p>
    <w:p>
      <w:pPr>
        <w:pStyle w:val="ListNumber"/>
        <w:spacing w:before="40" w:after="40"/>
      </w:pPr>
      <w:r>
        <w:rPr>
          <w:rFonts w:ascii="Calibri" w:hAnsi="Calibri"/>
          <w:color w:val="444444"/>
          <w:sz w:val="22"/>
        </w:rPr>
        <w:t>Run the full five-step format. Library scenarios are less powerful than live scenarios but are fully instructable.</w:t>
      </w:r>
    </w:p>
    <w:p>
      <w:pPr>
        <w:pStyle w:val="ListNumber"/>
        <w:spacing w:before="40" w:after="40"/>
      </w:pPr>
      <w:r>
        <w:rPr>
          <w:rFonts w:ascii="Calibri" w:hAnsi="Calibri"/>
          <w:color w:val="444444"/>
          <w:sz w:val="22"/>
        </w:rPr>
        <w:t>Close the session by asking: "Whose real scenario do we use in two weeks? Who will bring one?" Establish the commitment before the session ends.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Six Resistance Patterns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Looks Like</w:t>
            </w:r>
          </w:p>
        </w:tc>
        <w:tc>
          <w:tcPr>
            <w:tcW w:type="dxa" w:w="432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Facilitator Response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Standard Acceptance with Caveat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"I get the standard — but our account is different."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"What specifically makes this account different? Let's test that assumption against the model."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Status Drift in Signal Review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Senior participant reframes signal data through their own account experience.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"That's status language. What specific client behavior did you observe this week?"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Outcome Owner as Label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"I'm the Outcome Owner, so I decide how this works on my account."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"Ownership defines accountability, not the standard itself. The standard applies to how we deliver."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Blame in CEES Sessions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Attribution to a specific person's failure derails the session.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"We're not here to assign fault. What does this signal tell us about the system?"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Quiet Drift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No stated resistance — but sessions become shorter and shallower.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"Let's check against the WGLL standard. What was the last concrete adjustment this team made?"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Not My Scope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"That function isn't part of my workstream, so the standard doesn't apply to me."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"If they interact with the client or influence delivery outcomes, they're in scope."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After the Session — Checklist</w:t>
      </w:r>
    </w:p>
    <w:p>
      <w:pPr>
        <w:pStyle w:val="ListBullet"/>
        <w:spacing w:before="40" w:after="40"/>
      </w:pPr>
      <w:r>
        <w:rPr>
          <w:rFonts w:ascii="Calibri" w:hAnsi="Calibri"/>
          <w:color w:val="444444"/>
          <w:sz w:val="22"/>
        </w:rPr>
        <w:t>Complete the CEES Session Log within 24 hours</w:t>
      </w:r>
    </w:p>
    <w:p>
      <w:pPr>
        <w:pStyle w:val="ListBullet"/>
        <w:spacing w:before="40" w:after="40"/>
      </w:pPr>
      <w:r>
        <w:rPr>
          <w:rFonts w:ascii="Calibri" w:hAnsi="Calibri"/>
          <w:color w:val="444444"/>
          <w:sz w:val="22"/>
        </w:rPr>
        <w:t>Document the lesson statement exactly as captured from the group</w:t>
      </w:r>
    </w:p>
    <w:p>
      <w:pPr>
        <w:pStyle w:val="ListBullet"/>
        <w:spacing w:before="40" w:after="40"/>
      </w:pPr>
      <w:r>
        <w:rPr>
          <w:rFonts w:ascii="Calibri" w:hAnsi="Calibri"/>
          <w:color w:val="444444"/>
          <w:sz w:val="22"/>
        </w:rPr>
        <w:t>Log all closing commitments by participant name</w:t>
      </w:r>
    </w:p>
    <w:p>
      <w:pPr>
        <w:pStyle w:val="ListBullet"/>
        <w:spacing w:before="40" w:after="40"/>
      </w:pPr>
      <w:r>
        <w:rPr>
          <w:rFonts w:ascii="Calibri" w:hAnsi="Calibri"/>
          <w:color w:val="444444"/>
          <w:sz w:val="22"/>
        </w:rPr>
        <w:t>Flag any scenario worthy of playbook addition</w:t>
      </w:r>
    </w:p>
    <w:p>
      <w:pPr>
        <w:pStyle w:val="ListBullet"/>
        <w:spacing w:before="40" w:after="40"/>
      </w:pPr>
      <w:r>
        <w:rPr>
          <w:rFonts w:ascii="Calibri" w:hAnsi="Calibri"/>
          <w:color w:val="444444"/>
          <w:sz w:val="22"/>
        </w:rPr>
        <w:t>Confirm next session date and scenario contributor before leaving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CEES Session Facilitation Guide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