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aps/>
          <w:color w:val="FF6200"/>
          <w:sz w:val="20"/>
          <w:szCs w:val="20"/>
        </w:rPr>
        <w:t xml:space="preserve">ENGAGEMENT EXCELLENCE PROGRAM</w:t>
      </w:r>
    </w:p>
    <w:p>
      <w:pPr>
        <w:spacing w:after="200" w:before="0"/>
      </w:pPr>
      <w:r>
        <w:rPr>
          <w:rFonts w:ascii="Calibri" w:cs="Calibri" w:eastAsia="Calibri" w:hAnsi="Calibri"/>
          <w:color w:val="9E9E9E"/>
          <w:sz w:val="18"/>
          <w:szCs w:val="18"/>
        </w:rPr>
        <w:t xml:space="preserve">AVANADE  ·  INTERNAL  ·  OPERATIONAL STANDARD</w:t>
      </w:r>
    </w:p>
    <w:p>
      <w:pPr>
        <w:spacing w:after="80" w:before="0"/>
      </w:pPr>
      <w:r>
        <w:rPr>
          <w:rFonts w:ascii="Calibri" w:cs="Calibri" w:eastAsia="Calibri" w:hAnsi="Calibri"/>
          <w:b/>
          <w:bCs/>
          <w:color w:val="1C1C1C"/>
          <w:sz w:val="64"/>
          <w:szCs w:val="64"/>
        </w:rPr>
        <w:t xml:space="preserve">EEP Master Playbook</w:t>
      </w:r>
    </w:p>
    <w:p>
      <w:pPr>
        <w:spacing w:after="400" w:before="0"/>
      </w:pPr>
      <w:r>
        <w:rPr>
          <w:rFonts w:ascii="Calibri" w:cs="Calibri" w:eastAsia="Calibri" w:hAnsi="Calibri"/>
          <w:i/>
          <w:iCs/>
          <w:color w:val="444444"/>
          <w:sz w:val="28"/>
          <w:szCs w:val="28"/>
        </w:rPr>
        <w:t xml:space="preserve">The Complete Operational Reference for the Engagement Excellence Program</w:t>
      </w:r>
    </w:p>
    <w:p>
      <w:pPr>
        <w:pBdr>
          <w:bottom w:val="single" w:color="FF6200" w:sz="12" w:space="1"/>
        </w:pBdr>
        <w:spacing w:after="160" w:before="160"/>
      </w:pPr>
    </w:p>
    <w:p>
      <w:pPr>
        <w:spacing w:after="60" w:before="200"/>
      </w:pPr>
      <w:r>
        <w:rPr>
          <w:rFonts w:ascii="Calibri" w:cs="Calibri" w:eastAsia="Calibri" w:hAnsi="Calibri"/>
          <w:color w:val="9E9E9E"/>
          <w:sz w:val="22"/>
          <w:szCs w:val="22"/>
        </w:rPr>
        <w:t xml:space="preserve">Program Lead:  </w:t>
      </w:r>
      <w:r>
        <w:rPr>
          <w:rFonts w:ascii="Calibri" w:cs="Calibri" w:eastAsia="Calibri" w:hAnsi="Calibri"/>
          <w:b/>
          <w:bCs/>
          <w:color w:val="1C1C1C"/>
          <w:sz w:val="22"/>
          <w:szCs w:val="22"/>
        </w:rPr>
        <w:t xml:space="preserve">Mike Garcia</w:t>
      </w:r>
    </w:p>
    <w:p>
      <w:pPr>
        <w:spacing w:after="60" w:before="0"/>
      </w:pPr>
      <w:r>
        <w:rPr>
          <w:rFonts w:ascii="Calibri" w:cs="Calibri" w:eastAsia="Calibri" w:hAnsi="Calibri"/>
          <w:color w:val="9E9E9E"/>
          <w:sz w:val="22"/>
          <w:szCs w:val="22"/>
        </w:rPr>
        <w:t xml:space="preserve">Version:  </w:t>
      </w:r>
      <w:r>
        <w:rPr>
          <w:rFonts w:ascii="Calibri" w:cs="Calibri" w:eastAsia="Calibri" w:hAnsi="Calibri"/>
          <w:b/>
          <w:bCs/>
          <w:color w:val="1C1C1C"/>
          <w:sz w:val="22"/>
          <w:szCs w:val="22"/>
        </w:rPr>
        <w:t xml:space="preserve">1.0 — Initial Release</w:t>
      </w:r>
    </w:p>
    <w:p>
      <w:pPr>
        <w:spacing w:after="60" w:before="0"/>
      </w:pPr>
      <w:r>
        <w:rPr>
          <w:rFonts w:ascii="Calibri" w:cs="Calibri" w:eastAsia="Calibri" w:hAnsi="Calibri"/>
          <w:color w:val="9E9E9E"/>
          <w:sz w:val="22"/>
          <w:szCs w:val="22"/>
        </w:rPr>
        <w:t xml:space="preserve">Effective Date:  </w:t>
      </w:r>
      <w:r>
        <w:rPr>
          <w:rFonts w:ascii="Calibri" w:cs="Calibri" w:eastAsia="Calibri" w:hAnsi="Calibri"/>
          <w:b/>
          <w:bCs/>
          <w:color w:val="1C1C1C"/>
          <w:sz w:val="22"/>
          <w:szCs w:val="22"/>
        </w:rPr>
        <w:t xml:space="preserve">June 2026</w:t>
      </w:r>
    </w:p>
    <w:p>
      <w:pPr>
        <w:spacing w:after="60" w:before="0"/>
      </w:pPr>
      <w:r>
        <w:rPr>
          <w:rFonts w:ascii="Calibri" w:cs="Calibri" w:eastAsia="Calibri" w:hAnsi="Calibri"/>
          <w:color w:val="9E9E9E"/>
          <w:sz w:val="22"/>
          <w:szCs w:val="22"/>
        </w:rPr>
        <w:t xml:space="preserve">Classification:  </w:t>
      </w:r>
      <w:r>
        <w:rPr>
          <w:rFonts w:ascii="Calibri" w:cs="Calibri" w:eastAsia="Calibri" w:hAnsi="Calibri"/>
          <w:b/>
          <w:bCs/>
          <w:color w:val="C62828"/>
          <w:sz w:val="22"/>
          <w:szCs w:val="22"/>
        </w:rPr>
        <w:t xml:space="preserve">Internal — Operational Standard — Mandatory Compliance</w:t>
      </w:r>
    </w:p>
    <w:p>
      <w:pPr>
        <w:spacing w:after="60" w:before="0"/>
      </w:pPr>
      <w:r>
        <w:rPr>
          <w:rFonts w:ascii="Calibri" w:cs="Calibri" w:eastAsia="Calibri" w:hAnsi="Calibri"/>
          <w:color w:val="9E9E9E"/>
          <w:sz w:val="22"/>
          <w:szCs w:val="22"/>
        </w:rPr>
        <w:t xml:space="preserve">Status:  </w:t>
      </w:r>
      <w:r>
        <w:rPr>
          <w:rFonts w:ascii="Calibri" w:cs="Calibri" w:eastAsia="Calibri" w:hAnsi="Calibri"/>
          <w:b/>
          <w:bCs/>
          <w:color w:val="2E7D32"/>
          <w:sz w:val="22"/>
          <w:szCs w:val="22"/>
        </w:rPr>
        <w:t xml:space="preserve">Final — Active Delivery Standard</w:t>
      </w:r>
    </w:p>
    <w:p>
      <w:pPr>
        <w:spacing w:after="0" w:before="400"/>
      </w:pPr>
    </w:p>
    <w:p>
      <w:pPr>
        <w:pBdr>
          <w:bottom w:val="single" w:color="FF6200" w:sz="12" w:space="1"/>
        </w:pBdr>
        <w:spacing w:after="160" w:before="160"/>
      </w:pPr>
    </w:p>
    <w:p>
      <w:pPr>
        <w:spacing w:after="0" w:before="120"/>
      </w:pPr>
      <w:r>
        <w:rPr>
          <w:rFonts w:ascii="Calibri" w:cs="Calibri" w:eastAsia="Calibri" w:hAnsi="Calibri"/>
          <w:i/>
          <w:iCs/>
          <w:color w:val="9E9E9E"/>
          <w:sz w:val="18"/>
          <w:szCs w:val="18"/>
        </w:rPr>
        <w:t xml:space="preserve">Built on original frameworks developed by Mike Garcia — EDEv4, CEEDS, CE Framework.</w:t>
      </w:r>
    </w:p>
    <w:p>
      <w:r>
        <w:br w:type="page"/>
      </w:r>
    </w:p>
    <w:p>
      <w:pPr>
        <w:pStyle w:val="Heading1"/>
        <w:pBdr>
          <w:bottom w:val="single" w:color="FF6200" w:sz="8" w:space="1"/>
        </w:pBdr>
        <w:spacing w:after="120" w:before="400"/>
      </w:pPr>
      <w:r>
        <w:rPr>
          <w:rFonts w:ascii="Calibri" w:cs="Calibri" w:eastAsia="Calibri" w:hAnsi="Calibri"/>
          <w:b/>
          <w:bCs/>
          <w:color w:val="1C1C1C"/>
          <w:sz w:val="32"/>
          <w:szCs w:val="32"/>
        </w:rPr>
        <w:t xml:space="preserve">How to Use This Playbook</w:t>
      </w:r>
    </w:p>
    <w:p>
      <w:pPr>
        <w:spacing w:after="80" w:before="60"/>
      </w:pPr>
      <w:r>
        <w:rPr>
          <w:rFonts w:ascii="Calibri" w:cs="Calibri" w:eastAsia="Calibri" w:hAnsi="Calibri"/>
          <w:color w:val="444444"/>
          <w:sz w:val="22"/>
          <w:szCs w:val="22"/>
        </w:rPr>
        <w:t xml:space="preserve">This Playbook is the primary operational reference for the Engagement Excellence Program. It is a working document — not a one-time read. Use it before, during, and after every engagement, every session, and every certification event.</w:t>
      </w:r>
    </w:p>
    <w:p>
      <w:pPr>
        <w:spacing w:after="120" w:before="120"/>
      </w:pPr>
    </w:p>
    <w:p>
      <w:pPr>
        <w:pStyle w:val="Heading2"/>
        <w:spacing w:after="80" w:before="280"/>
      </w:pPr>
      <w:r>
        <w:rPr>
          <w:rFonts w:ascii="Calibri" w:cs="Calibri" w:eastAsia="Calibri" w:hAnsi="Calibri"/>
          <w:b/>
          <w:bCs/>
          <w:color w:val="FF6200"/>
          <w:sz w:val="26"/>
          <w:szCs w:val="26"/>
        </w:rPr>
        <w:t xml:space="preserve">Who This Playbook Is For</w:t>
      </w:r>
    </w:p>
    <w:p>
      <w:pPr>
        <w:pStyle w:val="ListParagraph"/>
        <w:numPr>
          <w:ilvl w:val="0"/>
          <w:numId w:val="1"/>
        </w:numPr>
        <w:spacing w:after="40" w:before="40"/>
      </w:pPr>
      <w:r>
        <w:rPr>
          <w:rFonts w:ascii="Calibri" w:cs="Calibri" w:eastAsia="Calibri" w:hAnsi="Calibri"/>
          <w:b/>
          <w:bCs/>
          <w:color w:val="1C1C1C"/>
          <w:sz w:val="22"/>
          <w:szCs w:val="22"/>
        </w:rPr>
        <w:t xml:space="preserve">Program Lead (Mike Garcia) — </w:t>
      </w:r>
      <w:r>
        <w:rPr>
          <w:rFonts w:ascii="Calibri" w:cs="Calibri" w:eastAsia="Calibri" w:hAnsi="Calibri"/>
          <w:color w:val="444444"/>
          <w:sz w:val="22"/>
          <w:szCs w:val="22"/>
        </w:rPr>
        <w:t xml:space="preserve">Maintains and evolves this document. Owns all standards, runbooks, and certification records. Conducts quarterly reviews and publishes updates.</w:t>
      </w:r>
    </w:p>
    <w:p>
      <w:pPr>
        <w:pStyle w:val="ListParagraph"/>
        <w:numPr>
          <w:ilvl w:val="0"/>
          <w:numId w:val="1"/>
        </w:numPr>
        <w:spacing w:after="40" w:before="40"/>
      </w:pPr>
      <w:r>
        <w:rPr>
          <w:rFonts w:ascii="Calibri" w:cs="Calibri" w:eastAsia="Calibri" w:hAnsi="Calibri"/>
          <w:b/>
          <w:bCs/>
          <w:color w:val="1C1C1C"/>
          <w:sz w:val="22"/>
          <w:szCs w:val="22"/>
        </w:rPr>
        <w:t xml:space="preserve">Engagement Leads — </w:t>
      </w:r>
      <w:r>
        <w:rPr>
          <w:rFonts w:ascii="Calibri" w:cs="Calibri" w:eastAsia="Calibri" w:hAnsi="Calibri"/>
          <w:color w:val="444444"/>
          <w:sz w:val="22"/>
          <w:szCs w:val="22"/>
        </w:rPr>
        <w:t xml:space="preserve">Execute all EEP operating motions on every in-scope engagement. Reference this playbook for runbooks, signal framework, and operating motion guidance.</w:t>
      </w:r>
    </w:p>
    <w:p>
      <w:pPr>
        <w:pStyle w:val="ListParagraph"/>
        <w:numPr>
          <w:ilvl w:val="0"/>
          <w:numId w:val="1"/>
        </w:numPr>
        <w:spacing w:after="40" w:before="40"/>
      </w:pPr>
      <w:r>
        <w:rPr>
          <w:rFonts w:ascii="Calibri" w:cs="Calibri" w:eastAsia="Calibri" w:hAnsi="Calibri"/>
          <w:b/>
          <w:bCs/>
          <w:color w:val="1C1C1C"/>
          <w:sz w:val="22"/>
          <w:szCs w:val="22"/>
        </w:rPr>
        <w:t xml:space="preserve">Level 3 EEP Trainers — </w:t>
      </w:r>
      <w:r>
        <w:rPr>
          <w:rFonts w:ascii="Calibri" w:cs="Calibri" w:eastAsia="Calibri" w:hAnsi="Calibri"/>
          <w:color w:val="444444"/>
          <w:sz w:val="22"/>
          <w:szCs w:val="22"/>
        </w:rPr>
        <w:t xml:space="preserve">Deliver CEES Sessions, certify Level 1 Practitioners, and contribute to the scenario library and playbook evolution.</w:t>
      </w:r>
    </w:p>
    <w:p>
      <w:pPr>
        <w:pStyle w:val="ListParagraph"/>
        <w:numPr>
          <w:ilvl w:val="0"/>
          <w:numId w:val="1"/>
        </w:numPr>
        <w:spacing w:after="40" w:before="40"/>
      </w:pPr>
      <w:r>
        <w:rPr>
          <w:rFonts w:ascii="Calibri" w:cs="Calibri" w:eastAsia="Calibri" w:hAnsi="Calibri"/>
          <w:b/>
          <w:bCs/>
          <w:color w:val="1C1C1C"/>
          <w:sz w:val="22"/>
          <w:szCs w:val="22"/>
        </w:rPr>
        <w:t xml:space="preserve">All EEP Practitioners — </w:t>
      </w:r>
      <w:r>
        <w:rPr>
          <w:rFonts w:ascii="Calibri" w:cs="Calibri" w:eastAsia="Calibri" w:hAnsi="Calibri"/>
          <w:color w:val="444444"/>
          <w:sz w:val="22"/>
          <w:szCs w:val="22"/>
        </w:rPr>
        <w:t xml:space="preserve">Reference the WGLL calibration rubric, communication tests, and signal framework in daily delivery work.</w:t>
      </w:r>
    </w:p>
    <w:p>
      <w:pPr>
        <w:spacing w:after="120" w:before="120"/>
      </w:pPr>
    </w:p>
    <w:p>
      <w:pPr>
        <w:pStyle w:val="Heading2"/>
        <w:spacing w:after="80" w:before="280"/>
      </w:pPr>
      <w:r>
        <w:rPr>
          <w:rFonts w:ascii="Calibri" w:cs="Calibri" w:eastAsia="Calibri" w:hAnsi="Calibri"/>
          <w:b/>
          <w:bCs/>
          <w:color w:val="FF6200"/>
          <w:sz w:val="26"/>
          <w:szCs w:val="26"/>
        </w:rPr>
        <w:t xml:space="preserve">How to Navigate</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25%"/>
            <w:tcBorders>
              <w:bottom w:val="single" w:color="FF6200" w:sz="4"/>
            </w:tcBorders>
            <w:shd w:fill="1C1C1C" w:val="clear"/>
          </w:tcPr>
          <w:p>
            <w:r>
              <w:rPr>
                <w:rFonts w:ascii="Calibri" w:cs="Calibri" w:eastAsia="Calibri" w:hAnsi="Calibri"/>
                <w:b/>
                <w:bCs/>
                <w:color w:val="FFFFFF"/>
                <w:sz w:val="18"/>
                <w:szCs w:val="18"/>
              </w:rPr>
              <w:t xml:space="preserve">Section</w:t>
            </w:r>
          </w:p>
        </w:tc>
        <w:tc>
          <w:tcPr>
            <w:tcW w:type="pct" w:w="50%"/>
            <w:tcBorders>
              <w:bottom w:val="single" w:color="FF6200" w:sz="4"/>
            </w:tcBorders>
            <w:shd w:fill="1C1C1C" w:val="clear"/>
          </w:tcPr>
          <w:p>
            <w:r>
              <w:rPr>
                <w:rFonts w:ascii="Calibri" w:cs="Calibri" w:eastAsia="Calibri" w:hAnsi="Calibri"/>
                <w:b/>
                <w:bCs/>
                <w:color w:val="FFFFFF"/>
                <w:sz w:val="18"/>
                <w:szCs w:val="18"/>
              </w:rPr>
              <w:t xml:space="preserve">What It Contains</w:t>
            </w:r>
          </w:p>
        </w:tc>
        <w:tc>
          <w:tcPr>
            <w:tcW w:type="pct" w:w="25%"/>
            <w:tcBorders>
              <w:bottom w:val="single" w:color="FF6200" w:sz="4"/>
            </w:tcBorders>
            <w:shd w:fill="1C1C1C" w:val="clear"/>
          </w:tcPr>
          <w:p>
            <w:r>
              <w:rPr>
                <w:rFonts w:ascii="Calibri" w:cs="Calibri" w:eastAsia="Calibri" w:hAnsi="Calibri"/>
                <w:b/>
                <w:bCs/>
                <w:color w:val="FFFFFF"/>
                <w:sz w:val="18"/>
                <w:szCs w:val="18"/>
              </w:rPr>
              <w:t xml:space="preserve">Primary Audience</w:t>
            </w:r>
          </w:p>
        </w:tc>
      </w:tr>
      <w:tr>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Section 1 — Program Standards</w:t>
            </w:r>
          </w:p>
        </w:tc>
        <w:tc>
          <w:tcPr>
            <w:tcW w:type="pct" w:w="5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Five Non-Negotiables, Three Tests, Signal Streams, Validation Questions, CEEDS Pillars, Trust Architecture</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practitioners</w:t>
            </w:r>
          </w:p>
        </w:tc>
      </w:tr>
      <w:tr>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Section 2 — Operating Motions</w:t>
            </w:r>
          </w:p>
        </w:tc>
        <w:tc>
          <w:tcPr>
            <w:tcW w:type="pct" w:w="5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Five operating motions with full agendas, templates, and facilitation guidance</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Engagement Leads, Trainers</w:t>
            </w:r>
          </w:p>
        </w:tc>
      </w:tr>
      <w:tr>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Section 3 — Four Runbooks</w:t>
            </w:r>
          </w:p>
        </w:tc>
        <w:tc>
          <w:tcPr>
            <w:tcW w:type="pct" w:w="5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Escalation, Communication, Handoff, Incident Response — step-by-step decision frameworks</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practitioners</w:t>
            </w:r>
          </w:p>
        </w:tc>
      </w:tr>
      <w:tr>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Section 4 — Scenario Library</w:t>
            </w:r>
          </w:p>
        </w:tc>
        <w:tc>
          <w:tcPr>
            <w:tcW w:type="pct" w:w="5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Initial six scenarios with full facilitation notes; index by dimension and type</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Trainers, Engagement Leads</w:t>
            </w:r>
          </w:p>
        </w:tc>
      </w:tr>
      <w:tr>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Section 5 — WGLL Calibration</w:t>
            </w:r>
          </w:p>
        </w:tc>
        <w:tc>
          <w:tcPr>
            <w:tcW w:type="pct" w:w="5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Six-dimension behavioral rubric with four proficiency levels each</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practitioners</w:t>
            </w:r>
          </w:p>
        </w:tc>
      </w:tr>
      <w:tr>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Section 6 — Playbook Governance</w:t>
            </w:r>
          </w:p>
        </w:tc>
        <w:tc>
          <w:tcPr>
            <w:tcW w:type="pct" w:w="5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Version history, amendment process, contributor attribution</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Program Lead, Trainers</w:t>
            </w:r>
          </w:p>
        </w:tc>
      </w:tr>
    </w:tbl>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Playbook Update Cadence: </w:t>
      </w:r>
      <w:r>
        <w:rPr>
          <w:rFonts w:ascii="Calibri" w:cs="Calibri" w:eastAsia="Calibri" w:hAnsi="Calibri"/>
          <w:color w:val="1C1C1C"/>
          <w:sz w:val="21"/>
          <w:szCs w:val="21"/>
        </w:rPr>
        <w:t xml:space="preserve">This playbook is updated quarterly by the Program Lead. All amendments follow the process defined in Section 6. The current version is always the authoritative document. Superseded versions are archived but not deleted.</w:t>
      </w:r>
    </w:p>
    <w:p>
      <w:r>
        <w:br w:type="page"/>
      </w:r>
    </w:p>
    <w:p>
      <w:pPr>
        <w:pStyle w:val="Heading1"/>
        <w:pBdr>
          <w:bottom w:val="single" w:color="FF6200" w:sz="8" w:space="1"/>
        </w:pBdr>
        <w:spacing w:after="120" w:before="400"/>
      </w:pPr>
      <w:r>
        <w:rPr>
          <w:rFonts w:ascii="Calibri" w:cs="Calibri" w:eastAsia="Calibri" w:hAnsi="Calibri"/>
          <w:b/>
          <w:bCs/>
          <w:color w:val="1C1C1C"/>
          <w:sz w:val="32"/>
          <w:szCs w:val="32"/>
        </w:rPr>
        <w:t xml:space="preserve">Section 1 — Program Standards Reference</w:t>
      </w:r>
    </w:p>
    <w:p>
      <w:pPr>
        <w:spacing w:after="80" w:before="60"/>
      </w:pPr>
      <w:r>
        <w:rPr>
          <w:rFonts w:ascii="Calibri" w:cs="Calibri" w:eastAsia="Calibri" w:hAnsi="Calibri"/>
          <w:color w:val="444444"/>
          <w:sz w:val="22"/>
          <w:szCs w:val="22"/>
        </w:rPr>
        <w:t xml:space="preserve">This section contains the core standards of the Engagement Excellence Program. Every practitioner must know these standards without reference. Every Engagement Lead must enforce them without exception. Every trainer must teach them with precision.</w:t>
      </w:r>
    </w:p>
    <w:p>
      <w:pPr>
        <w:pStyle w:val="Heading2"/>
        <w:spacing w:after="80" w:before="280"/>
      </w:pPr>
      <w:r>
        <w:rPr>
          <w:rFonts w:ascii="Calibri" w:cs="Calibri" w:eastAsia="Calibri" w:hAnsi="Calibri"/>
          <w:b/>
          <w:bCs/>
          <w:color w:val="FF6200"/>
          <w:sz w:val="26"/>
          <w:szCs w:val="26"/>
        </w:rPr>
        <w:t xml:space="preserve">1.1 — The Five Non-Negotiable Commitments</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These commitments are formal statements of organizational obligation. They are non-negotiable, non-waivable, and non-optional. They apply to every engagement, without exception, from the first day of delivery through the final close.</w:t>
      </w:r>
    </w:p>
    <w:p>
      <w:pPr>
        <w:spacing w:after="120" w:before="120"/>
      </w:pPr>
    </w:p>
    <w:p>
      <w:pPr>
        <w:spacing w:after="40" w:before="80"/>
      </w:pPr>
      <w:r>
        <w:rPr>
          <w:rFonts w:ascii="Calibri" w:cs="Calibri" w:eastAsia="Calibri" w:hAnsi="Calibri"/>
          <w:b/>
          <w:bCs/>
          <w:caps/>
          <w:color w:val="FF6200"/>
          <w:sz w:val="18"/>
          <w:szCs w:val="18"/>
        </w:rPr>
        <w:t xml:space="preserve">Non-Negotiable I — Outcome Ownership</w:t>
      </w:r>
    </w:p>
    <w:p>
      <w:pPr>
        <w:spacing w:after="80" w:before="60"/>
      </w:pPr>
      <w:r>
        <w:rPr>
          <w:rFonts w:ascii="Calibri" w:cs="Calibri" w:eastAsia="Calibri" w:hAnsi="Calibri"/>
          <w:color w:val="444444"/>
          <w:sz w:val="22"/>
          <w:szCs w:val="22"/>
        </w:rPr>
        <w:t xml:space="preserve">Every engagement has a named Outcome Owner, visible to the client in writing, before delivery begins. The Outcome Owner is assigned at kickoff, documented in the engagement record, and communicated to the client as a formal accountability declaration. No engagement may proceed to active delivery without this designation in place.</w:t>
      </w: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Enforcement: </w:t>
      </w:r>
      <w:r>
        <w:rPr>
          <w:rFonts w:ascii="Calibri" w:cs="Calibri" w:eastAsia="Calibri" w:hAnsi="Calibri"/>
          <w:color w:val="1C1C1C"/>
          <w:sz w:val="21"/>
          <w:szCs w:val="21"/>
        </w:rPr>
        <w:t xml:space="preserve">An engagement without a named, client-confirmed Outcome Owner is not operating at EEP standard. The Engagement Lead is accountable for this designation on every engagement they lead.</w:t>
      </w:r>
    </w:p>
    <w:p>
      <w:pPr>
        <w:spacing w:after="40" w:before="80"/>
      </w:pPr>
      <w:r>
        <w:rPr>
          <w:rFonts w:ascii="Calibri" w:cs="Calibri" w:eastAsia="Calibri" w:hAnsi="Calibri"/>
          <w:b/>
          <w:bCs/>
          <w:caps/>
          <w:color w:val="FF6200"/>
          <w:sz w:val="18"/>
          <w:szCs w:val="18"/>
        </w:rPr>
        <w:t xml:space="preserve">Non-Negotiable II — Communication Standards</w:t>
      </w:r>
    </w:p>
    <w:p>
      <w:pPr>
        <w:spacing w:after="80" w:before="60"/>
      </w:pPr>
      <w:r>
        <w:rPr>
          <w:rFonts w:ascii="Calibri" w:cs="Calibri" w:eastAsia="Calibri" w:hAnsi="Calibri"/>
          <w:color w:val="444444"/>
          <w:sz w:val="22"/>
          <w:szCs w:val="22"/>
        </w:rPr>
        <w:t xml:space="preserve">Every client-facing communication passes the Three Communication Tests before it is sent — no exceptions. The Three Tests are a structured quality gate applied to all written and verbal communications. Communications that do not pass all three tests are not sent. There is no expedience exception.</w:t>
      </w: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Enforcement: </w:t>
      </w:r>
      <w:r>
        <w:rPr>
          <w:rFonts w:ascii="Calibri" w:cs="Calibri" w:eastAsia="Calibri" w:hAnsi="Calibri"/>
          <w:color w:val="1C1C1C"/>
          <w:sz w:val="21"/>
          <w:szCs w:val="21"/>
        </w:rPr>
        <w:t xml:space="preserve">A communication that fails any one of the three tests has not met the EEP standard and is revised before delivery. No exceptions for seniority or schedule pressure.</w:t>
      </w:r>
    </w:p>
    <w:p>
      <w:pPr>
        <w:spacing w:after="40" w:before="80"/>
      </w:pPr>
      <w:r>
        <w:rPr>
          <w:rFonts w:ascii="Calibri" w:cs="Calibri" w:eastAsia="Calibri" w:hAnsi="Calibri"/>
          <w:b/>
          <w:bCs/>
          <w:caps/>
          <w:color w:val="FF6200"/>
          <w:sz w:val="18"/>
          <w:szCs w:val="18"/>
        </w:rPr>
        <w:t xml:space="preserve">Non-Negotiable III — Value Validation at Close</w:t>
      </w:r>
    </w:p>
    <w:p>
      <w:pPr>
        <w:spacing w:after="80" w:before="60"/>
      </w:pPr>
      <w:r>
        <w:rPr>
          <w:rFonts w:ascii="Calibri" w:cs="Calibri" w:eastAsia="Calibri" w:hAnsi="Calibri"/>
          <w:color w:val="444444"/>
          <w:sz w:val="22"/>
          <w:szCs w:val="22"/>
        </w:rPr>
        <w:t xml:space="preserve">Every engagement closes with validated client articulation of value received. An engagement is not declared closed until the client has been given the structured opportunity to articulate — in their own words — what value they received. The Engagement Lead is responsible for facilitating this validation. No engagement is administratively closed without this record in the engagement file.</w:t>
      </w: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Enforcement: </w:t>
      </w:r>
      <w:r>
        <w:rPr>
          <w:rFonts w:ascii="Calibri" w:cs="Calibri" w:eastAsia="Calibri" w:hAnsi="Calibri"/>
          <w:color w:val="1C1C1C"/>
          <w:sz w:val="21"/>
          <w:szCs w:val="21"/>
        </w:rPr>
        <w:t xml:space="preserve">A signed milestone document is not sufficient. The client must be able to state in their own words what was delivered and why it mattered. This is the close standard.</w:t>
      </w:r>
    </w:p>
    <w:p>
      <w:pPr>
        <w:spacing w:after="40" w:before="80"/>
      </w:pPr>
      <w:r>
        <w:rPr>
          <w:rFonts w:ascii="Calibri" w:cs="Calibri" w:eastAsia="Calibri" w:hAnsi="Calibri"/>
          <w:b/>
          <w:bCs/>
          <w:caps/>
          <w:color w:val="FF6200"/>
          <w:sz w:val="18"/>
          <w:szCs w:val="18"/>
        </w:rPr>
        <w:t xml:space="preserve">Non-Negotiable IV — Runbook Adherence</w:t>
      </w:r>
    </w:p>
    <w:p>
      <w:pPr>
        <w:spacing w:after="80" w:before="60"/>
      </w:pPr>
      <w:r>
        <w:rPr>
          <w:rFonts w:ascii="Calibri" w:cs="Calibri" w:eastAsia="Calibri" w:hAnsi="Calibri"/>
          <w:color w:val="444444"/>
          <w:sz w:val="22"/>
          <w:szCs w:val="22"/>
        </w:rPr>
        <w:t xml:space="preserve">Every delivery incident follows the applicable Runbook — Escalation, Communication, Handoff, or Incident Response — without improvisation in high-pressure scenarios. The Runbooks exist precisely because high-pressure moments produce poor judgment. The Runbook is the judgment. Engagement Leads are responsible for ensuring all team members know which Runbook applies before they are in a position to need it.</w:t>
      </w: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Enforcement: </w:t>
      </w:r>
      <w:r>
        <w:rPr>
          <w:rFonts w:ascii="Calibri" w:cs="Calibri" w:eastAsia="Calibri" w:hAnsi="Calibri"/>
          <w:color w:val="1C1C1C"/>
          <w:sz w:val="21"/>
          <w:szCs w:val="21"/>
        </w:rPr>
        <w:t xml:space="preserve">Improvisation in a high-stakes delivery moment is a program deviation. The Runbook is not a suggestion — it is the pre-decided decision framework that removes improvisation from the moments that matter most.</w:t>
      </w:r>
    </w:p>
    <w:p>
      <w:pPr>
        <w:spacing w:after="40" w:before="80"/>
      </w:pPr>
      <w:r>
        <w:rPr>
          <w:rFonts w:ascii="Calibri" w:cs="Calibri" w:eastAsia="Calibri" w:hAnsi="Calibri"/>
          <w:b/>
          <w:bCs/>
          <w:caps/>
          <w:color w:val="FF6200"/>
          <w:sz w:val="18"/>
          <w:szCs w:val="18"/>
        </w:rPr>
        <w:t xml:space="preserve">Non-Negotiable V — Operating Cadences</w:t>
      </w:r>
    </w:p>
    <w:p>
      <w:pPr>
        <w:spacing w:after="80" w:before="60"/>
      </w:pPr>
      <w:r>
        <w:rPr>
          <w:rFonts w:ascii="Calibri" w:cs="Calibri" w:eastAsia="Calibri" w:hAnsi="Calibri"/>
          <w:color w:val="444444"/>
          <w:sz w:val="22"/>
          <w:szCs w:val="22"/>
        </w:rPr>
        <w:t xml:space="preserve">The four operating cadences — the Weekly Signal Review, the Per-Engagement Ownership Kickoff, the Bi-Weekly CEES Sessions, and the Quarterly Signal Framework Review — are non-negotiable standing commitments, not optional enhancements. They are not to be cancelled, deferred, or abbreviated due to schedule pressure or workload. They exist to prevent the conditions that create schedule pressure and workload crises.</w:t>
      </w: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Enforcement: </w:t>
      </w:r>
      <w:r>
        <w:rPr>
          <w:rFonts w:ascii="Calibri" w:cs="Calibri" w:eastAsia="Calibri" w:hAnsi="Calibri"/>
          <w:color w:val="1C1C1C"/>
          <w:sz w:val="21"/>
          <w:szCs w:val="21"/>
        </w:rPr>
        <w:t xml:space="preserve">A cancelled CEES Session is a program deviation. A skipped Signal Review is a program deviation. These cadences are the operational infrastructure of the program — not additions to it.</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1.2 — The Three Communication Tests</w:t>
      </w:r>
    </w:p>
    <w:p>
      <w:pPr>
        <w:spacing w:after="80" w:before="60"/>
      </w:pPr>
      <w:r>
        <w:rPr>
          <w:rFonts w:ascii="Calibri" w:cs="Calibri" w:eastAsia="Calibri" w:hAnsi="Calibri"/>
          <w:color w:val="444444"/>
          <w:sz w:val="22"/>
          <w:szCs w:val="22"/>
        </w:rPr>
        <w:t xml:space="preserve">The Three Tests are applied to every client-facing communication before it is sent — major or minor, email or verbal summary, status update or escalation notice. There are no exceptions.</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18%"/>
            <w:tcBorders>
              <w:bottom w:val="single" w:color="FF6200" w:sz="4"/>
            </w:tcBorders>
            <w:shd w:fill="1C1C1C" w:val="clear"/>
          </w:tcPr>
          <w:p>
            <w:r>
              <w:rPr>
                <w:rFonts w:ascii="Calibri" w:cs="Calibri" w:eastAsia="Calibri" w:hAnsi="Calibri"/>
                <w:b/>
                <w:bCs/>
                <w:color w:val="FFFFFF"/>
                <w:sz w:val="18"/>
                <w:szCs w:val="18"/>
              </w:rPr>
              <w:t xml:space="preserve">Test</w:t>
            </w:r>
          </w:p>
        </w:tc>
        <w:tc>
          <w:tcPr>
            <w:tcW w:type="pct" w:w="28%"/>
            <w:tcBorders>
              <w:bottom w:val="single" w:color="FF6200" w:sz="4"/>
            </w:tcBorders>
            <w:shd w:fill="1C1C1C" w:val="clear"/>
          </w:tcPr>
          <w:p>
            <w:r>
              <w:rPr>
                <w:rFonts w:ascii="Calibri" w:cs="Calibri" w:eastAsia="Calibri" w:hAnsi="Calibri"/>
                <w:b/>
                <w:bCs/>
                <w:color w:val="FFFFFF"/>
                <w:sz w:val="18"/>
                <w:szCs w:val="18"/>
              </w:rPr>
              <w:t xml:space="preserve">The Question</w:t>
            </w:r>
          </w:p>
        </w:tc>
        <w:tc>
          <w:tcPr>
            <w:tcW w:type="pct" w:w="27%"/>
            <w:tcBorders>
              <w:bottom w:val="single" w:color="FF6200" w:sz="4"/>
            </w:tcBorders>
            <w:shd w:fill="1C1C1C" w:val="clear"/>
          </w:tcPr>
          <w:p>
            <w:r>
              <w:rPr>
                <w:rFonts w:ascii="Calibri" w:cs="Calibri" w:eastAsia="Calibri" w:hAnsi="Calibri"/>
                <w:b/>
                <w:bCs/>
                <w:color w:val="FFFFFF"/>
                <w:sz w:val="18"/>
                <w:szCs w:val="18"/>
              </w:rPr>
              <w:t xml:space="preserve">Pass Condition</w:t>
            </w:r>
          </w:p>
        </w:tc>
        <w:tc>
          <w:tcPr>
            <w:tcW w:type="pct" w:w="27%"/>
            <w:tcBorders>
              <w:bottom w:val="single" w:color="FF6200" w:sz="4"/>
            </w:tcBorders>
            <w:shd w:fill="1C1C1C" w:val="clear"/>
          </w:tcPr>
          <w:p>
            <w:r>
              <w:rPr>
                <w:rFonts w:ascii="Calibri" w:cs="Calibri" w:eastAsia="Calibri" w:hAnsi="Calibri"/>
                <w:b/>
                <w:bCs/>
                <w:color w:val="FFFFFF"/>
                <w:sz w:val="18"/>
                <w:szCs w:val="18"/>
              </w:rPr>
              <w:t xml:space="preserve">Fail Condition</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Repeat-Back Test</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Could the client accurately restate the key content of this communication in their own words after one reading?</w:t>
            </w:r>
          </w:p>
        </w:tc>
        <w:tc>
          <w:tcPr>
            <w:tcW w:type="pct" w:w="2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Core message stated in plain client language. No jargon, no unexplained acronyms, no passive constructions that obscure meaning.</w:t>
            </w:r>
          </w:p>
        </w:tc>
        <w:tc>
          <w:tcPr>
            <w:tcW w:type="pct" w:w="2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Message contains technical language the client does not use. Meaning requires interpretation.</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Stakes Test</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Does the client understand what happens next if they do or do not take the requested action?</w:t>
            </w:r>
          </w:p>
        </w:tc>
        <w:tc>
          <w:tcPr>
            <w:tcW w:type="pct" w:w="27%"/>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Message explicitly states what the client needs to do, decide, or know — and what happens if they don't.</w:t>
            </w:r>
          </w:p>
        </w:tc>
        <w:tc>
          <w:tcPr>
            <w:tcW w:type="pct" w:w="27%"/>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Message is technically accurate but describes what happened without connecting it to the client's world or required action.</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Next-Step Test</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Is the immediate next action crystal clear — who does it, when, and how will completion be confirmed?</w:t>
            </w:r>
          </w:p>
        </w:tc>
        <w:tc>
          <w:tcPr>
            <w:tcW w:type="pct" w:w="2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Message ends with a specific next step: who does what, by when, and what the client will hear next.</w:t>
            </w:r>
          </w:p>
        </w:tc>
        <w:tc>
          <w:tcPr>
            <w:tcW w:type="pct" w:w="2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Message ends with 'please let us know if you have questions' or no defined next step.</w:t>
            </w:r>
          </w:p>
        </w:tc>
      </w:tr>
    </w:tbl>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Application Rule: </w:t>
      </w:r>
      <w:r>
        <w:rPr>
          <w:rFonts w:ascii="Calibri" w:cs="Calibri" w:eastAsia="Calibri" w:hAnsi="Calibri"/>
          <w:color w:val="1C1C1C"/>
          <w:sz w:val="21"/>
          <w:szCs w:val="21"/>
        </w:rPr>
        <w:t xml:space="preserve">When any test fails, the communication is rewritten before send. Not revised minimally — rewritten until it passes. The test is not a checklist to satisfy; it is a quality standard to meet.</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1.3 — The Three Signal Streams</w:t>
      </w:r>
    </w:p>
    <w:p>
      <w:pPr>
        <w:spacing w:after="80" w:before="60"/>
      </w:pPr>
      <w:r>
        <w:rPr>
          <w:rFonts w:ascii="Calibri" w:cs="Calibri" w:eastAsia="Calibri" w:hAnsi="Calibri"/>
          <w:color w:val="444444"/>
          <w:sz w:val="22"/>
          <w:szCs w:val="22"/>
        </w:rPr>
        <w:t xml:space="preserve">Signal Intelligence is the team's ability to detect, interpret, and act on the three signal streams before they become problems the client surfaces. Signals are monitored weekly — not in post-mortems, not at project gates. Weekly cadence transforms signal intelligence from a retrospective discipline into a predictive one.</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Signal vs. Status: </w:t>
      </w:r>
      <w:r>
        <w:rPr>
          <w:rFonts w:ascii="Calibri" w:cs="Calibri" w:eastAsia="Calibri" w:hAnsi="Calibri"/>
          <w:color w:val="1C1C1C"/>
          <w:sz w:val="21"/>
          <w:szCs w:val="21"/>
        </w:rPr>
        <w:t xml:space="preserve">Status language reports what happened. Signal language describes what the client experienced and what it predicts. 'The Phase 2 milestone is green' is status. 'The client's VP has stopped attending our weekly calls — that's a friction signal we need to address before it becomes an escalation' is signal.</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0%"/>
            <w:tcBorders>
              <w:bottom w:val="single" w:color="FF6200" w:sz="4"/>
            </w:tcBorders>
            <w:shd w:fill="1C1C1C" w:val="clear"/>
          </w:tcPr>
          <w:p>
            <w:r>
              <w:rPr>
                <w:rFonts w:ascii="Calibri" w:cs="Calibri" w:eastAsia="Calibri" w:hAnsi="Calibri"/>
                <w:b/>
                <w:bCs/>
                <w:color w:val="FFFFFF"/>
                <w:sz w:val="18"/>
                <w:szCs w:val="18"/>
              </w:rPr>
              <w:t xml:space="preserve">Signal Stream</w:t>
            </w:r>
          </w:p>
        </w:tc>
        <w:tc>
          <w:tcPr>
            <w:tcW w:type="pct" w:w="28%"/>
            <w:tcBorders>
              <w:bottom w:val="single" w:color="FF6200" w:sz="4"/>
            </w:tcBorders>
            <w:shd w:fill="1C1C1C" w:val="clear"/>
          </w:tcPr>
          <w:p>
            <w:r>
              <w:rPr>
                <w:rFonts w:ascii="Calibri" w:cs="Calibri" w:eastAsia="Calibri" w:hAnsi="Calibri"/>
                <w:b/>
                <w:bCs/>
                <w:color w:val="FFFFFF"/>
                <w:sz w:val="18"/>
                <w:szCs w:val="18"/>
              </w:rPr>
              <w:t xml:space="preserve">Leading Indicators</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Amber Flag Condition</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Red Flag Condition</w:t>
            </w:r>
          </w:p>
        </w:tc>
      </w:tr>
      <w:tr>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Customer Friction</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Client re-asks questions already answered; client escalates without warning; client reduces engagement in status calls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One friction indicator observed in two consecutive weeks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Two or more friction indicators observed simultaneously; client mentions concern to a non-engagement contact</w:t>
            </w:r>
          </w:p>
        </w:tc>
      </w:tr>
      <w:tr>
        <w:tc>
          <w:tcPr>
            <w:tcW w:type="pct" w:w="2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Communication Clarity</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Client requests clarification on a communication within 24 hours; client action is delayed or incorrect relative to our ask; client forwards our communication without adding context</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Two clarification requests in one week; one delayed action traceable to communication ambiguity</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Client expresses confusion about program status or next steps; missed action traceable to our communication failure</w:t>
            </w:r>
          </w:p>
        </w:tc>
      </w:tr>
      <w:tr>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Ownership Follow-Through</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Committed action not completed on stated date; client asks 'what happened with X?'; open issue count grows week-over-week</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One missed commitment with no proactive client notification; open issue count increasing for two consecutive weeks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Client raises a missed commitment in a formal communication; open issues aged beyond agreed resolution window</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1.4 — The Three Outcome Validation Questions</w:t>
      </w:r>
    </w:p>
    <w:p>
      <w:pPr>
        <w:spacing w:after="80" w:before="60"/>
      </w:pPr>
      <w:r>
        <w:rPr>
          <w:rFonts w:ascii="Calibri" w:cs="Calibri" w:eastAsia="Calibri" w:hAnsi="Calibri"/>
          <w:color w:val="444444"/>
          <w:sz w:val="22"/>
          <w:szCs w:val="22"/>
        </w:rPr>
        <w:t xml:space="preserve">These three questions are asked at every engagement close — before the engagement is declared complete. The client must be able to articulate value in their own words. The delivery team may offer language support, but the client owns the narrative.</w:t>
      </w:r>
    </w:p>
    <w:p>
      <w:pPr>
        <w:spacing w:after="120" w:before="120"/>
      </w:pPr>
    </w:p>
    <w:p>
      <w:pPr>
        <w:pStyle w:val="ListParagraph"/>
        <w:numPr>
          <w:ilvl w:val="0"/>
          <w:numId w:val="2"/>
        </w:numPr>
        <w:spacing w:after="40" w:before="40"/>
      </w:pPr>
      <w:r>
        <w:rPr>
          <w:rFonts w:ascii="Calibri" w:cs="Calibri" w:eastAsia="Calibri" w:hAnsi="Calibri"/>
          <w:color w:val="444444"/>
          <w:sz w:val="22"/>
          <w:szCs w:val="22"/>
        </w:rPr>
        <w:t xml:space="preserve">"What was most valuable about this engagement?" — Forces the client to articulate value, which reinforces it for them and surfaces the language they will use in reference conversations.</w:t>
      </w:r>
    </w:p>
    <w:p>
      <w:pPr>
        <w:pStyle w:val="ListParagraph"/>
        <w:numPr>
          <w:ilvl w:val="0"/>
          <w:numId w:val="2"/>
        </w:numPr>
        <w:spacing w:after="40" w:before="40"/>
      </w:pPr>
      <w:r>
        <w:rPr>
          <w:rFonts w:ascii="Calibri" w:cs="Calibri" w:eastAsia="Calibri" w:hAnsi="Calibri"/>
          <w:color w:val="444444"/>
          <w:sz w:val="22"/>
          <w:szCs w:val="22"/>
        </w:rPr>
        <w:t xml:space="preserve">"What would you tell a peer about what we helped you achieve?" — Tests whether the client has a reusable narrative about the value. This is the reference conversation in miniature.</w:t>
      </w:r>
    </w:p>
    <w:p>
      <w:pPr>
        <w:pStyle w:val="ListParagraph"/>
        <w:numPr>
          <w:ilvl w:val="0"/>
          <w:numId w:val="2"/>
        </w:numPr>
        <w:spacing w:after="40" w:before="40"/>
      </w:pPr>
      <w:r>
        <w:rPr>
          <w:rFonts w:ascii="Calibri" w:cs="Calibri" w:eastAsia="Calibri" w:hAnsi="Calibri"/>
          <w:color w:val="444444"/>
          <w:sz w:val="22"/>
          <w:szCs w:val="22"/>
        </w:rPr>
        <w:t xml:space="preserve">"What's the one thing you'd want us to carry forward into the next phase?" — Establishes continuity and surfaces unfinished business. Opens the next engagement conversation.</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Close Standard: </w:t>
      </w:r>
      <w:r>
        <w:rPr>
          <w:rFonts w:ascii="Calibri" w:cs="Calibri" w:eastAsia="Calibri" w:hAnsi="Calibri"/>
          <w:color w:val="1C1C1C"/>
          <w:sz w:val="21"/>
          <w:szCs w:val="21"/>
        </w:rPr>
        <w:t xml:space="preserve">An engagement that closes with a signed milestone document but no client articulation of value has not closed cleanly under the EEP standard. The distinction matters because reference conversations, renewal conversations, and executive briefings are all driven by client language — not by our deliverable list.</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1.5 — The Four CEEDS Pillars</w:t>
      </w:r>
    </w:p>
    <w:p>
      <w:pPr>
        <w:spacing w:after="80" w:before="60"/>
      </w:pPr>
      <w:r>
        <w:rPr>
          <w:rFonts w:ascii="Calibri" w:cs="Calibri" w:eastAsia="Calibri" w:hAnsi="Calibri"/>
          <w:color w:val="444444"/>
          <w:sz w:val="22"/>
          <w:szCs w:val="22"/>
        </w:rPr>
        <w:t xml:space="preserve">The four CEEDS pillars are most usefully understood not as aspirational values, but as explicit trade-offs that the team commits to when operating under the standard.</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Pillar</w:t>
            </w:r>
          </w:p>
        </w:tc>
        <w:tc>
          <w:tcPr>
            <w:tcW w:type="pct" w:w="40%"/>
            <w:tcBorders>
              <w:bottom w:val="single" w:color="FF6200" w:sz="4"/>
            </w:tcBorders>
            <w:shd w:fill="1C1C1C" w:val="clear"/>
          </w:tcPr>
          <w:p>
            <w:r>
              <w:rPr>
                <w:rFonts w:ascii="Calibri" w:cs="Calibri" w:eastAsia="Calibri" w:hAnsi="Calibri"/>
                <w:b/>
                <w:bCs/>
                <w:color w:val="FFFFFF"/>
                <w:sz w:val="18"/>
                <w:szCs w:val="18"/>
              </w:rPr>
              <w:t xml:space="preserve">What It Means in Practice</w:t>
            </w:r>
          </w:p>
        </w:tc>
        <w:tc>
          <w:tcPr>
            <w:tcW w:type="pct" w:w="38%"/>
            <w:tcBorders>
              <w:bottom w:val="single" w:color="FF6200" w:sz="4"/>
            </w:tcBorders>
            <w:shd w:fill="1C1C1C" w:val="clear"/>
          </w:tcPr>
          <w:p>
            <w:r>
              <w:rPr>
                <w:rFonts w:ascii="Calibri" w:cs="Calibri" w:eastAsia="Calibri" w:hAnsi="Calibri"/>
                <w:b/>
                <w:bCs/>
                <w:color w:val="FFFFFF"/>
                <w:sz w:val="18"/>
                <w:szCs w:val="18"/>
              </w:rPr>
              <w:t xml:space="preserve">The Trade-Off</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Customer Experience Over Technical Perfection</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When a choice must be made between a solution that is technically elegant but confusing to the client and one that is technically sufficient but clearly understood, choose clarity.</w:t>
            </w:r>
          </w:p>
        </w:tc>
        <w:tc>
          <w:tcPr>
            <w:tcW w:type="pct" w:w="3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Technical elegance is not the primary measure of delivery quality. Client comprehension is.</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Clarity Over Complexity</w:t>
            </w:r>
          </w:p>
        </w:tc>
        <w:tc>
          <w:tcPr>
            <w:tcW w:type="pct" w:w="4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measure of a communication is not sophistication but comprehension. The standard is always the client's ability to act, not the team's ability to impress.</w:t>
            </w:r>
          </w:p>
        </w:tc>
        <w:tc>
          <w:tcPr>
            <w:tcW w:type="pct" w:w="3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 communication that demonstrates expertise but produces confusion has failed. A communication that produces action has succeeded.</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Ownership Without Boundaries</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An EEP team member does not leave an issue unaddressed because it falls outside their defined role. Ownership is volunteered, not assigned by default.</w:t>
            </w:r>
          </w:p>
        </w:tc>
        <w:tc>
          <w:tcPr>
            <w:tcW w:type="pct" w:w="3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'Not my scope' is not a closing move. It is a clarifying statement — and it must be followed by identifying who does own it.</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Signal Over Opinion</w:t>
            </w:r>
          </w:p>
        </w:tc>
        <w:tc>
          <w:tcPr>
            <w:tcW w:type="pct" w:w="4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Engagement health is assessed through observable, tracked indicators rather than individual intuition or seniority-weighted opinion.</w:t>
            </w:r>
          </w:p>
        </w:tc>
        <w:tc>
          <w:tcPr>
            <w:tcW w:type="pct" w:w="3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 senior practitioner's impression that 'the client seems fine' is not a signal. Observable client behavior is a signal.</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1.6 — The CE Framework Trust Architecture</w:t>
      </w:r>
    </w:p>
    <w:p>
      <w:pPr>
        <w:spacing w:after="80" w:before="60"/>
      </w:pPr>
      <w:r>
        <w:rPr>
          <w:rFonts w:ascii="Calibri" w:cs="Calibri" w:eastAsia="Calibri" w:hAnsi="Calibri"/>
          <w:color w:val="444444"/>
          <w:sz w:val="22"/>
          <w:szCs w:val="22"/>
        </w:rPr>
        <w:t xml:space="preserve">The CE Framework provides the model of client trust that all other EEP components are designed to produce. It explains which behaviors build trust, which behaviors erode it, and why the sequencing of trust-building activities matters as much as the activities themselves.</w:t>
      </w:r>
    </w:p>
    <w:p>
      <w:pPr>
        <w:spacing w:after="120" w:before="120"/>
      </w:pPr>
    </w:p>
    <w:p>
      <w:pPr>
        <w:pStyle w:val="Heading3"/>
        <w:spacing w:after="60" w:before="200"/>
      </w:pPr>
      <w:r>
        <w:rPr>
          <w:rFonts w:ascii="Calibri" w:cs="Calibri" w:eastAsia="Calibri" w:hAnsi="Calibri"/>
          <w:b/>
          <w:bCs/>
          <w:color w:val="1C1C1C"/>
          <w:sz w:val="22"/>
          <w:szCs w:val="22"/>
        </w:rPr>
        <w:t xml:space="preserve">Three Trust Layers</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18%"/>
            <w:tcBorders>
              <w:bottom w:val="single" w:color="FF6200" w:sz="4"/>
            </w:tcBorders>
            <w:shd w:fill="1C1C1C" w:val="clear"/>
          </w:tcPr>
          <w:p>
            <w:r>
              <w:rPr>
                <w:rFonts w:ascii="Calibri" w:cs="Calibri" w:eastAsia="Calibri" w:hAnsi="Calibri"/>
                <w:b/>
                <w:bCs/>
                <w:color w:val="FFFFFF"/>
                <w:sz w:val="18"/>
                <w:szCs w:val="18"/>
              </w:rPr>
              <w:t xml:space="preserve">Layer</w:t>
            </w:r>
          </w:p>
        </w:tc>
        <w:tc>
          <w:tcPr>
            <w:tcW w:type="pct" w:w="25%"/>
            <w:tcBorders>
              <w:bottom w:val="single" w:color="FF6200" w:sz="4"/>
            </w:tcBorders>
            <w:shd w:fill="1C1C1C" w:val="clear"/>
          </w:tcPr>
          <w:p>
            <w:r>
              <w:rPr>
                <w:rFonts w:ascii="Calibri" w:cs="Calibri" w:eastAsia="Calibri" w:hAnsi="Calibri"/>
                <w:b/>
                <w:bCs/>
                <w:color w:val="FFFFFF"/>
                <w:sz w:val="18"/>
                <w:szCs w:val="18"/>
              </w:rPr>
              <w:t xml:space="preserve">Definition</w:t>
            </w:r>
          </w:p>
        </w:tc>
        <w:tc>
          <w:tcPr>
            <w:tcW w:type="pct" w:w="30%"/>
            <w:tcBorders>
              <w:bottom w:val="single" w:color="FF6200" w:sz="4"/>
            </w:tcBorders>
            <w:shd w:fill="1C1C1C" w:val="clear"/>
          </w:tcPr>
          <w:p>
            <w:r>
              <w:rPr>
                <w:rFonts w:ascii="Calibri" w:cs="Calibri" w:eastAsia="Calibri" w:hAnsi="Calibri"/>
                <w:b/>
                <w:bCs/>
                <w:color w:val="FFFFFF"/>
                <w:sz w:val="18"/>
                <w:szCs w:val="18"/>
              </w:rPr>
              <w:t xml:space="preserve">How It's Built</w:t>
            </w:r>
          </w:p>
        </w:tc>
        <w:tc>
          <w:tcPr>
            <w:tcW w:type="pct" w:w="27%"/>
            <w:tcBorders>
              <w:bottom w:val="single" w:color="FF6200" w:sz="4"/>
            </w:tcBorders>
            <w:shd w:fill="1C1C1C" w:val="clear"/>
          </w:tcPr>
          <w:p>
            <w:r>
              <w:rPr>
                <w:rFonts w:ascii="Calibri" w:cs="Calibri" w:eastAsia="Calibri" w:hAnsi="Calibri"/>
                <w:b/>
                <w:bCs/>
                <w:color w:val="FFFFFF"/>
                <w:sz w:val="18"/>
                <w:szCs w:val="18"/>
              </w:rPr>
              <w:t xml:space="preserve">What Erodes It</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Credibility</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client believes we know what we are doing.</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Pre-engagement assessment, kickoff framing, first deliverable quality. Established early — in the first 30 days.</w:t>
            </w:r>
          </w:p>
        </w:tc>
        <w:tc>
          <w:tcPr>
            <w:tcW w:type="pct" w:w="2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Arriving unprepared; generic kickoffs; early technical errors; failing to demonstrate knowledge of the client's environment.</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Reliability</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client can predict how we will behave.</w:t>
            </w:r>
          </w:p>
        </w:tc>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Consistent follow-through on commitments, predictable communication rhythms, behavioral consistency under pressure.</w:t>
            </w:r>
          </w:p>
        </w:tc>
        <w:tc>
          <w:tcPr>
            <w:tcW w:type="pct" w:w="27%"/>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Missed commitments; inconsistent communication; different behavior under pressure than in normal conditions.</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Referenceability</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client actively advocates for working with us.</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Accumulated credibility and reliability over the full engagement arc. The client stakes their professional reputation on recommending the team.</w:t>
            </w:r>
          </w:p>
        </w:tc>
        <w:tc>
          <w:tcPr>
            <w:tcW w:type="pct" w:w="2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Any single significant trust failure that isn't recovered transparently. A smooth delivery that left the client unable to articulate value.</w:t>
            </w:r>
          </w:p>
        </w:tc>
      </w:tr>
    </w:tbl>
    <w:p>
      <w:pPr>
        <w:spacing w:after="120" w:before="120"/>
      </w:pPr>
    </w:p>
    <w:p>
      <w:pPr>
        <w:pStyle w:val="Heading3"/>
        <w:spacing w:after="60" w:before="200"/>
      </w:pPr>
      <w:r>
        <w:rPr>
          <w:rFonts w:ascii="Calibri" w:cs="Calibri" w:eastAsia="Calibri" w:hAnsi="Calibri"/>
          <w:b/>
          <w:bCs/>
          <w:color w:val="1C1C1C"/>
          <w:sz w:val="22"/>
          <w:szCs w:val="22"/>
        </w:rPr>
        <w:t xml:space="preserve">Three Trust Dimensions</w:t>
      </w:r>
    </w:p>
    <w:p>
      <w:pPr>
        <w:spacing w:after="80" w:before="60"/>
      </w:pPr>
      <w:r>
        <w:rPr>
          <w:rFonts w:ascii="Calibri" w:cs="Calibri" w:eastAsia="Calibri" w:hAnsi="Calibri"/>
          <w:color w:val="444444"/>
          <w:sz w:val="22"/>
          <w:szCs w:val="22"/>
        </w:rPr>
        <w:t xml:space="preserve">All three dimensions must be active simultaneously for trust to build. A deficit in any one dimension erodes the others.</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15%"/>
            <w:tcBorders>
              <w:bottom w:val="single" w:color="FF6200" w:sz="4"/>
            </w:tcBorders>
            <w:shd w:fill="1C1C1C" w:val="clear"/>
          </w:tcPr>
          <w:p>
            <w:r>
              <w:rPr>
                <w:rFonts w:ascii="Calibri" w:cs="Calibri" w:eastAsia="Calibri" w:hAnsi="Calibri"/>
                <w:b/>
                <w:bCs/>
                <w:color w:val="FFFFFF"/>
                <w:sz w:val="18"/>
                <w:szCs w:val="18"/>
              </w:rPr>
              <w:t xml:space="preserve">Dimension</w:t>
            </w:r>
          </w:p>
        </w:tc>
        <w:tc>
          <w:tcPr>
            <w:tcW w:type="pct" w:w="45%"/>
            <w:tcBorders>
              <w:bottom w:val="single" w:color="FF6200" w:sz="4"/>
            </w:tcBorders>
            <w:shd w:fill="1C1C1C" w:val="clear"/>
          </w:tcPr>
          <w:p>
            <w:r>
              <w:rPr>
                <w:rFonts w:ascii="Calibri" w:cs="Calibri" w:eastAsia="Calibri" w:hAnsi="Calibri"/>
                <w:b/>
                <w:bCs/>
                <w:color w:val="FFFFFF"/>
                <w:sz w:val="18"/>
                <w:szCs w:val="18"/>
              </w:rPr>
              <w:t xml:space="preserve">Definition</w:t>
            </w:r>
          </w:p>
        </w:tc>
        <w:tc>
          <w:tcPr>
            <w:tcW w:type="pct" w:w="40%"/>
            <w:tcBorders>
              <w:bottom w:val="single" w:color="FF6200" w:sz="4"/>
            </w:tcBorders>
            <w:shd w:fill="1C1C1C" w:val="clear"/>
          </w:tcPr>
          <w:p>
            <w:r>
              <w:rPr>
                <w:rFonts w:ascii="Calibri" w:cs="Calibri" w:eastAsia="Calibri" w:hAnsi="Calibri"/>
                <w:b/>
                <w:bCs/>
                <w:color w:val="FFFFFF"/>
                <w:sz w:val="18"/>
                <w:szCs w:val="18"/>
              </w:rPr>
              <w:t xml:space="preserve">Failure Mode</w:t>
            </w:r>
          </w:p>
        </w:tc>
      </w:tr>
      <w:tr>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KNOW</w:t>
            </w:r>
          </w:p>
        </w:tc>
        <w:tc>
          <w:tcPr>
            <w:tcW w:type="pct" w:w="4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client believes we understand their environment, their constraints, and their definition of success.</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 team that knows the client's environment deeply but fails to communicate proactively will see the KNOW dimension eroded by the TELL deficit.</w:t>
            </w:r>
          </w:p>
        </w:tc>
      </w:tr>
      <w:tr>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DO</w:t>
            </w:r>
          </w:p>
        </w:tc>
        <w:tc>
          <w:tcPr>
            <w:tcW w:type="pct" w:w="4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client observes us executing in alignment with what we said we would do.</w:t>
            </w:r>
          </w:p>
        </w:tc>
        <w:tc>
          <w:tcPr>
            <w:tcW w:type="pct" w:w="4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 team that communicates well but misses commitments will see the DO dimension collapse the entire trust architecture regardless of the other two dimensions' strength.</w:t>
            </w:r>
          </w:p>
        </w:tc>
      </w:tr>
      <w:tr>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TELL</w:t>
            </w:r>
          </w:p>
        </w:tc>
        <w:tc>
          <w:tcPr>
            <w:tcW w:type="pct" w:w="4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client experiences us communicating proactively, honestly, and with appropriate context.</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 team that delivers technically but communicates reactively — only when asked — will fail to build the TELL dimension even when KNOW and DO are strong.</w:t>
            </w:r>
          </w:p>
        </w:tc>
      </w:tr>
    </w:tbl>
    <w:p>
      <w:r>
        <w:br w:type="page"/>
      </w:r>
    </w:p>
    <w:p>
      <w:pPr>
        <w:pStyle w:val="Heading1"/>
        <w:pBdr>
          <w:bottom w:val="single" w:color="FF6200" w:sz="8" w:space="1"/>
        </w:pBdr>
        <w:spacing w:after="120" w:before="400"/>
      </w:pPr>
      <w:r>
        <w:rPr>
          <w:rFonts w:ascii="Calibri" w:cs="Calibri" w:eastAsia="Calibri" w:hAnsi="Calibri"/>
          <w:b/>
          <w:bCs/>
          <w:color w:val="1C1C1C"/>
          <w:sz w:val="32"/>
          <w:szCs w:val="32"/>
        </w:rPr>
        <w:t xml:space="preserve">Section 2 — Operating Motions Reference</w:t>
      </w:r>
    </w:p>
    <w:p>
      <w:pPr>
        <w:spacing w:after="80" w:before="60"/>
      </w:pPr>
      <w:r>
        <w:rPr>
          <w:rFonts w:ascii="Calibri" w:cs="Calibri" w:eastAsia="Calibri" w:hAnsi="Calibri"/>
          <w:color w:val="444444"/>
          <w:sz w:val="22"/>
          <w:szCs w:val="22"/>
        </w:rPr>
        <w:t xml:space="preserve">The five operating motions are the recurring practices that keep the EEP active between engagements, across the portfolio, and over time. These are not meetings added to an already full calendar. They are the minimum operational infrastructure required to run a delivery organization at EEP standard.</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5%"/>
            <w:tcBorders>
              <w:bottom w:val="single" w:color="FF6200" w:sz="4"/>
            </w:tcBorders>
            <w:shd w:fill="1C1C1C" w:val="clear"/>
          </w:tcPr>
          <w:p>
            <w:r>
              <w:rPr>
                <w:rFonts w:ascii="Calibri" w:cs="Calibri" w:eastAsia="Calibri" w:hAnsi="Calibri"/>
                <w:b/>
                <w:bCs/>
                <w:color w:val="FFFFFF"/>
                <w:sz w:val="18"/>
                <w:szCs w:val="18"/>
              </w:rPr>
              <w:t xml:space="preserve">Operating Motion</w:t>
            </w:r>
          </w:p>
        </w:tc>
        <w:tc>
          <w:tcPr>
            <w:tcW w:type="pct" w:w="15%"/>
            <w:tcBorders>
              <w:bottom w:val="single" w:color="FF6200" w:sz="4"/>
            </w:tcBorders>
            <w:shd w:fill="1C1C1C" w:val="clear"/>
          </w:tcPr>
          <w:p>
            <w:r>
              <w:rPr>
                <w:rFonts w:ascii="Calibri" w:cs="Calibri" w:eastAsia="Calibri" w:hAnsi="Calibri"/>
                <w:b/>
                <w:bCs/>
                <w:color w:val="FFFFFF"/>
                <w:sz w:val="18"/>
                <w:szCs w:val="18"/>
              </w:rPr>
              <w:t xml:space="preserve">Frequency</w:t>
            </w:r>
          </w:p>
        </w:tc>
        <w:tc>
          <w:tcPr>
            <w:tcW w:type="pct" w:w="40%"/>
            <w:tcBorders>
              <w:bottom w:val="single" w:color="FF6200" w:sz="4"/>
            </w:tcBorders>
            <w:shd w:fill="1C1C1C" w:val="clear"/>
          </w:tcPr>
          <w:p>
            <w:r>
              <w:rPr>
                <w:rFonts w:ascii="Calibri" w:cs="Calibri" w:eastAsia="Calibri" w:hAnsi="Calibri"/>
                <w:b/>
                <w:bCs/>
                <w:color w:val="FFFFFF"/>
                <w:sz w:val="18"/>
                <w:szCs w:val="18"/>
              </w:rPr>
              <w:t xml:space="preserve">Primary Output</w:t>
            </w:r>
          </w:p>
        </w:tc>
        <w:tc>
          <w:tcPr>
            <w:tcW w:type="pct" w:w="20%"/>
            <w:tcBorders>
              <w:bottom w:val="single" w:color="FF6200" w:sz="4"/>
            </w:tcBorders>
            <w:shd w:fill="1C1C1C" w:val="clear"/>
          </w:tcPr>
          <w:p>
            <w:r>
              <w:rPr>
                <w:rFonts w:ascii="Calibri" w:cs="Calibri" w:eastAsia="Calibri" w:hAnsi="Calibri"/>
                <w:b/>
                <w:bCs/>
                <w:color w:val="FFFFFF"/>
                <w:sz w:val="18"/>
                <w:szCs w:val="18"/>
              </w:rPr>
              <w:t xml:space="preserve">Owner</w:t>
            </w:r>
          </w:p>
        </w:tc>
      </w:tr>
      <w:tr>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Customer Signal Review</w:t>
            </w:r>
          </w:p>
        </w:tc>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Weekly</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 health status; early risk flags surfaced and assigned</w:t>
            </w:r>
          </w:p>
        </w:tc>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 / Engagement Lead</w:t>
            </w:r>
          </w:p>
        </w:tc>
      </w:tr>
      <w:tr>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Ownership Kickoff</w:t>
            </w:r>
          </w:p>
        </w:tc>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Per engagement start</w:t>
            </w:r>
          </w:p>
        </w:tc>
        <w:tc>
          <w:tcPr>
            <w:tcW w:type="pct" w:w="4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Named Outcome Owner documented and communicated to client in writing</w:t>
            </w:r>
          </w:p>
        </w:tc>
        <w:tc>
          <w:tcPr>
            <w:tcW w:type="pct" w:w="2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Engagement Lead</w:t>
            </w:r>
          </w:p>
        </w:tc>
      </w:tr>
      <w:tr>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Per-Issue Owner Assignment</w:t>
            </w:r>
          </w:p>
        </w:tc>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Per new issue</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Every open issue has a named owner and a committed resolution date</w:t>
            </w:r>
          </w:p>
        </w:tc>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 Lead</w:t>
            </w:r>
          </w:p>
        </w:tc>
      </w:tr>
      <w:tr>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CEES Simulation Session</w:t>
            </w:r>
          </w:p>
        </w:tc>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Bi-weekly</w:t>
            </w:r>
          </w:p>
        </w:tc>
        <w:tc>
          <w:tcPr>
            <w:tcW w:type="pct" w:w="4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Team judgment calibrated; scenario library updated with real cases</w:t>
            </w:r>
          </w:p>
        </w:tc>
        <w:tc>
          <w:tcPr>
            <w:tcW w:type="pct" w:w="2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Program Lead / Certified Trainer</w:t>
            </w:r>
          </w:p>
        </w:tc>
      </w:tr>
      <w:tr>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Signal Framework Review</w:t>
            </w:r>
          </w:p>
        </w:tc>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Quarterly</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Signal indicators updated to reflect current portfolio and client environment</w:t>
            </w:r>
          </w:p>
        </w:tc>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2.1 — Weekly Customer Signal Review</w:t>
      </w:r>
    </w:p>
    <w:p>
      <w:pPr>
        <w:spacing w:after="80" w:before="60"/>
      </w:pPr>
      <w:r>
        <w:rPr>
          <w:rFonts w:ascii="Calibri" w:cs="Calibri" w:eastAsia="Calibri" w:hAnsi="Calibri"/>
          <w:color w:val="444444"/>
          <w:sz w:val="22"/>
          <w:szCs w:val="22"/>
        </w:rPr>
        <w:t xml:space="preserve">The Weekly Customer Signal Review is a diagnostic session — not a status meeting. Its purpose is to surface early indicators before they become incidents. The distinction between signal language and status language is enforced in every session.</w:t>
      </w:r>
    </w:p>
    <w:p>
      <w:pPr>
        <w:spacing w:after="120" w:before="120"/>
      </w:pPr>
    </w:p>
    <w:p>
      <w:pPr>
        <w:pStyle w:val="Heading3"/>
        <w:spacing w:after="60" w:before="200"/>
      </w:pPr>
      <w:r>
        <w:rPr>
          <w:rFonts w:ascii="Calibri" w:cs="Calibri" w:eastAsia="Calibri" w:hAnsi="Calibri"/>
          <w:b/>
          <w:bCs/>
          <w:color w:val="1C1C1C"/>
          <w:sz w:val="22"/>
          <w:szCs w:val="22"/>
        </w:rPr>
        <w:t xml:space="preserve">Session Format (30–45 minutes)</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12%"/>
            <w:tcBorders>
              <w:bottom w:val="single" w:color="FF6200" w:sz="4"/>
            </w:tcBorders>
            <w:shd w:fill="1C1C1C" w:val="clear"/>
          </w:tcPr>
          <w:p>
            <w:r>
              <w:rPr>
                <w:rFonts w:ascii="Calibri" w:cs="Calibri" w:eastAsia="Calibri" w:hAnsi="Calibri"/>
                <w:b/>
                <w:bCs/>
                <w:color w:val="FFFFFF"/>
                <w:sz w:val="18"/>
                <w:szCs w:val="18"/>
              </w:rPr>
              <w:t xml:space="preserve">Time</w:t>
            </w:r>
          </w:p>
        </w:tc>
        <w:tc>
          <w:tcPr>
            <w:tcW w:type="pct" w:w="22%"/>
            <w:tcBorders>
              <w:bottom w:val="single" w:color="FF6200" w:sz="4"/>
            </w:tcBorders>
            <w:shd w:fill="1C1C1C" w:val="clear"/>
          </w:tcPr>
          <w:p>
            <w:r>
              <w:rPr>
                <w:rFonts w:ascii="Calibri" w:cs="Calibri" w:eastAsia="Calibri" w:hAnsi="Calibri"/>
                <w:b/>
                <w:bCs/>
                <w:color w:val="FFFFFF"/>
                <w:sz w:val="18"/>
                <w:szCs w:val="18"/>
              </w:rPr>
              <w:t xml:space="preserve">Segment</w:t>
            </w:r>
          </w:p>
        </w:tc>
        <w:tc>
          <w:tcPr>
            <w:tcW w:type="pct" w:w="66%"/>
            <w:tcBorders>
              <w:bottom w:val="single" w:color="FF6200" w:sz="4"/>
            </w:tcBorders>
            <w:shd w:fill="1C1C1C" w:val="clear"/>
          </w:tcPr>
          <w:p>
            <w:r>
              <w:rPr>
                <w:rFonts w:ascii="Calibri" w:cs="Calibri" w:eastAsia="Calibri" w:hAnsi="Calibri"/>
                <w:b/>
                <w:bCs/>
                <w:color w:val="FFFFFF"/>
                <w:sz w:val="18"/>
                <w:szCs w:val="18"/>
              </w:rPr>
              <w:t xml:space="preserve">Facilitator Action</w:t>
            </w:r>
          </w:p>
        </w:tc>
      </w:tr>
      <w:tr>
        <w:tc>
          <w:tcPr>
            <w:tcW w:type="pct" w:w="1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0:00–0:05</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Opening</w:t>
            </w:r>
          </w:p>
        </w:tc>
        <w:tc>
          <w:tcPr>
            <w:tcW w:type="pct" w:w="6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State the session purpose: 'We're reading signals today, not reporting status. If you find yourself saying everything is on track, reframe to what the client is experiencing.'</w:t>
            </w:r>
          </w:p>
        </w:tc>
      </w:tr>
      <w:tr>
        <w:tc>
          <w:tcPr>
            <w:tcW w:type="pct" w:w="1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0:05–0:20</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Stream 1 — Customer Friction</w:t>
            </w:r>
          </w:p>
        </w:tc>
        <w:tc>
          <w:tcPr>
            <w:tcW w:type="pct" w:w="6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Ask: 'What are we seeing in the client's behavior this week — not in our delivery status?' Enforce signal language. Redirect status language immediately.</w:t>
            </w:r>
          </w:p>
        </w:tc>
      </w:tr>
      <w:tr>
        <w:tc>
          <w:tcPr>
            <w:tcW w:type="pct" w:w="1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0:20–0:30</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Stream 2 — Communication Clarity</w:t>
            </w:r>
          </w:p>
        </w:tc>
        <w:tc>
          <w:tcPr>
            <w:tcW w:type="pct" w:w="6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Ask: 'Have we received any clarification requests? Any delayed actions traceable to our communications? Any communications forwarded without context?'</w:t>
            </w:r>
          </w:p>
        </w:tc>
      </w:tr>
      <w:tr>
        <w:tc>
          <w:tcPr>
            <w:tcW w:type="pct" w:w="1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0:30–0:40</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Stream 3 — Ownership Follow-Through</w:t>
            </w:r>
          </w:p>
        </w:tc>
        <w:tc>
          <w:tcPr>
            <w:tcW w:type="pct" w:w="6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Review open issues log. Ask: 'What is past its committed date? What has the client asked about that we haven't closed?'</w:t>
            </w:r>
          </w:p>
        </w:tc>
      </w:tr>
      <w:tr>
        <w:tc>
          <w:tcPr>
            <w:tcW w:type="pct" w:w="1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0:40–0:45</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Flag Assessment &amp; Actions</w:t>
            </w:r>
          </w:p>
        </w:tc>
        <w:tc>
          <w:tcPr>
            <w:tcW w:type="pct" w:w="6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Assign flag level (Green/Amber/Red) per stream. Assign action owners and deadlines for any Amber or Red flags. Document in Signal Review Log.</w:t>
            </w:r>
          </w:p>
        </w:tc>
      </w:tr>
    </w:tbl>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Signal Review Rule: </w:t>
      </w:r>
      <w:r>
        <w:rPr>
          <w:rFonts w:ascii="Calibri" w:cs="Calibri" w:eastAsia="Calibri" w:hAnsi="Calibri"/>
          <w:color w:val="1C1C1C"/>
          <w:sz w:val="21"/>
          <w:szCs w:val="21"/>
        </w:rPr>
        <w:t xml:space="preserve">If the Signal Review produces no flags and no actions, one of two things is true: the engagement is genuinely healthy, or the review was not honest enough. Ask the question: 'What would we be worried about if we were being completely honest?' before closing.</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2.2 — Per-Engagement Ownership Kickoff</w:t>
      </w:r>
    </w:p>
    <w:p>
      <w:pPr>
        <w:spacing w:after="80" w:before="60"/>
      </w:pPr>
      <w:r>
        <w:rPr>
          <w:rFonts w:ascii="Calibri" w:cs="Calibri" w:eastAsia="Calibri" w:hAnsi="Calibri"/>
          <w:color w:val="444444"/>
          <w:sz w:val="22"/>
          <w:szCs w:val="22"/>
        </w:rPr>
        <w:t xml:space="preserve">The Ownership Kickoff establishes the Outcome Owner model at the start of every engagement. It is not a staffing decision — it is a trust architecture decision. The client's experience of accountability is determined by whether they can answer 'who owns this?' without ambiguity and without having to ask.</w:t>
      </w:r>
    </w:p>
    <w:p>
      <w:pPr>
        <w:spacing w:after="120" w:before="120"/>
      </w:pPr>
    </w:p>
    <w:p>
      <w:pPr>
        <w:pStyle w:val="Heading3"/>
        <w:spacing w:after="60" w:before="200"/>
      </w:pPr>
      <w:r>
        <w:rPr>
          <w:rFonts w:ascii="Calibri" w:cs="Calibri" w:eastAsia="Calibri" w:hAnsi="Calibri"/>
          <w:b/>
          <w:bCs/>
          <w:color w:val="1C1C1C"/>
          <w:sz w:val="22"/>
          <w:szCs w:val="22"/>
        </w:rPr>
        <w:t xml:space="preserve">Kickoff Checklist</w:t>
      </w:r>
    </w:p>
    <w:p>
      <w:pPr>
        <w:pStyle w:val="ListParagraph"/>
        <w:numPr>
          <w:ilvl w:val="0"/>
          <w:numId w:val="2"/>
        </w:numPr>
        <w:spacing w:after="40" w:before="40"/>
      </w:pPr>
      <w:r>
        <w:rPr>
          <w:rFonts w:ascii="Calibri" w:cs="Calibri" w:eastAsia="Calibri" w:hAnsi="Calibri"/>
          <w:color w:val="444444"/>
          <w:sz w:val="22"/>
          <w:szCs w:val="22"/>
        </w:rPr>
        <w:t xml:space="preserve">Name the Outcome Owner — one person, one name, before delivery begins.</w:t>
      </w:r>
    </w:p>
    <w:p>
      <w:pPr>
        <w:pStyle w:val="ListParagraph"/>
        <w:numPr>
          <w:ilvl w:val="0"/>
          <w:numId w:val="2"/>
        </w:numPr>
        <w:spacing w:after="40" w:before="40"/>
      </w:pPr>
      <w:r>
        <w:rPr>
          <w:rFonts w:ascii="Calibri" w:cs="Calibri" w:eastAsia="Calibri" w:hAnsi="Calibri"/>
          <w:color w:val="444444"/>
          <w:sz w:val="22"/>
          <w:szCs w:val="22"/>
        </w:rPr>
        <w:t xml:space="preserve">Document the Outcome Owner in the engagement record.</w:t>
      </w:r>
    </w:p>
    <w:p>
      <w:pPr>
        <w:pStyle w:val="ListParagraph"/>
        <w:numPr>
          <w:ilvl w:val="0"/>
          <w:numId w:val="2"/>
        </w:numPr>
        <w:spacing w:after="40" w:before="40"/>
      </w:pPr>
      <w:r>
        <w:rPr>
          <w:rFonts w:ascii="Calibri" w:cs="Calibri" w:eastAsia="Calibri" w:hAnsi="Calibri"/>
          <w:color w:val="444444"/>
          <w:sz w:val="22"/>
          <w:szCs w:val="22"/>
        </w:rPr>
        <w:t xml:space="preserve">Communicate the Outcome Owner to the client in writing — email or formal kickoff document — before the first deliverable is produced.</w:t>
      </w:r>
    </w:p>
    <w:p>
      <w:pPr>
        <w:pStyle w:val="ListParagraph"/>
        <w:numPr>
          <w:ilvl w:val="0"/>
          <w:numId w:val="2"/>
        </w:numPr>
        <w:spacing w:after="40" w:before="40"/>
      </w:pPr>
      <w:r>
        <w:rPr>
          <w:rFonts w:ascii="Calibri" w:cs="Calibri" w:eastAsia="Calibri" w:hAnsi="Calibri"/>
          <w:color w:val="444444"/>
          <w:sz w:val="22"/>
          <w:szCs w:val="22"/>
        </w:rPr>
        <w:t xml:space="preserve">Confirm client receipt of the Outcome Owner communication.</w:t>
      </w:r>
    </w:p>
    <w:p>
      <w:pPr>
        <w:pStyle w:val="ListParagraph"/>
        <w:numPr>
          <w:ilvl w:val="0"/>
          <w:numId w:val="2"/>
        </w:numPr>
        <w:spacing w:after="40" w:before="40"/>
      </w:pPr>
      <w:r>
        <w:rPr>
          <w:rFonts w:ascii="Calibri" w:cs="Calibri" w:eastAsia="Calibri" w:hAnsi="Calibri"/>
          <w:color w:val="444444"/>
          <w:sz w:val="22"/>
          <w:szCs w:val="22"/>
        </w:rPr>
        <w:t xml:space="preserve">Establish the communication cadence — frequency, channel, format — and document it.</w:t>
      </w:r>
    </w:p>
    <w:p>
      <w:pPr>
        <w:pStyle w:val="ListParagraph"/>
        <w:numPr>
          <w:ilvl w:val="0"/>
          <w:numId w:val="2"/>
        </w:numPr>
        <w:spacing w:after="40" w:before="40"/>
      </w:pPr>
      <w:r>
        <w:rPr>
          <w:rFonts w:ascii="Calibri" w:cs="Calibri" w:eastAsia="Calibri" w:hAnsi="Calibri"/>
          <w:color w:val="444444"/>
          <w:sz w:val="22"/>
          <w:szCs w:val="22"/>
        </w:rPr>
        <w:t xml:space="preserve">Establish the escalation path — who the client calls if the Outcome Owner is unavailable.</w:t>
      </w:r>
    </w:p>
    <w:p>
      <w:pPr>
        <w:spacing w:after="120" w:before="120"/>
      </w:pPr>
    </w:p>
    <w:p>
      <w:pPr>
        <w:pStyle w:val="Heading3"/>
        <w:spacing w:after="60" w:before="200"/>
      </w:pPr>
      <w:r>
        <w:rPr>
          <w:rFonts w:ascii="Calibri" w:cs="Calibri" w:eastAsia="Calibri" w:hAnsi="Calibri"/>
          <w:b/>
          <w:bCs/>
          <w:color w:val="1C1C1C"/>
          <w:sz w:val="22"/>
          <w:szCs w:val="22"/>
        </w:rPr>
        <w:t xml:space="preserve">Client Communication Template</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Subject: [Engagement Name] — Your Engagement Team and Primary Contact
Dear [Client Name],
As we begin [Engagement Name], I want to confirm your primary point of contact for this engagement.
[Outcome Owner Name], [Title], is your named Outcome Owner for this engagement. They are responsible for your experience throughout delivery — not just for their specific workstream. If you have questions, concerns, or need to escalate anything at any point, [Outcome Owner Name] is your first call.
Contact: [email] | [phone]
We will be in touch [frequency] via [channel]. Our first [status update / check-in] is scheduled for [date].
[Engagement Lead Name]</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2.3 — Per-Issue Outcome Owner Assignment</w:t>
      </w:r>
    </w:p>
    <w:p>
      <w:pPr>
        <w:spacing w:after="80" w:before="60"/>
      </w:pPr>
      <w:r>
        <w:rPr>
          <w:rFonts w:ascii="Calibri" w:cs="Calibri" w:eastAsia="Calibri" w:hAnsi="Calibri"/>
          <w:color w:val="444444"/>
          <w:sz w:val="22"/>
          <w:szCs w:val="22"/>
        </w:rPr>
        <w:t xml:space="preserve">Every open issue has one named Outcome Owner and one committed resolution date. This is not a project management practice — it is a trust architecture practice. The client's experience of issue resolution is determined by whether they can answer 'who owns this?' without ambiguity.</w:t>
      </w:r>
    </w:p>
    <w:p>
      <w:pPr>
        <w:spacing w:after="120" w:before="120"/>
      </w:pPr>
    </w:p>
    <w:p>
      <w:pPr>
        <w:pStyle w:val="Heading3"/>
        <w:spacing w:after="60" w:before="200"/>
      </w:pPr>
      <w:r>
        <w:rPr>
          <w:rFonts w:ascii="Calibri" w:cs="Calibri" w:eastAsia="Calibri" w:hAnsi="Calibri"/>
          <w:b/>
          <w:bCs/>
          <w:color w:val="1C1C1C"/>
          <w:sz w:val="22"/>
          <w:szCs w:val="22"/>
        </w:rPr>
        <w:t xml:space="preserve">Assignment Protocol</w:t>
      </w:r>
    </w:p>
    <w:p>
      <w:pPr>
        <w:pStyle w:val="ListParagraph"/>
        <w:numPr>
          <w:ilvl w:val="0"/>
          <w:numId w:val="2"/>
        </w:numPr>
        <w:spacing w:after="40" w:before="40"/>
      </w:pPr>
      <w:r>
        <w:rPr>
          <w:rFonts w:ascii="Calibri" w:cs="Calibri" w:eastAsia="Calibri" w:hAnsi="Calibri"/>
          <w:color w:val="444444"/>
          <w:sz w:val="22"/>
          <w:szCs w:val="22"/>
        </w:rPr>
        <w:t xml:space="preserve">Issue identified — in Signal Review, client communication, or internal observation.</w:t>
      </w:r>
    </w:p>
    <w:p>
      <w:pPr>
        <w:pStyle w:val="ListParagraph"/>
        <w:numPr>
          <w:ilvl w:val="0"/>
          <w:numId w:val="2"/>
        </w:numPr>
        <w:spacing w:after="40" w:before="40"/>
      </w:pPr>
      <w:r>
        <w:rPr>
          <w:rFonts w:ascii="Calibri" w:cs="Calibri" w:eastAsia="Calibri" w:hAnsi="Calibri"/>
          <w:color w:val="444444"/>
          <w:sz w:val="22"/>
          <w:szCs w:val="22"/>
        </w:rPr>
        <w:t xml:space="preserve">Issue documented — description, date identified, how identified.</w:t>
      </w:r>
    </w:p>
    <w:p>
      <w:pPr>
        <w:pStyle w:val="ListParagraph"/>
        <w:numPr>
          <w:ilvl w:val="0"/>
          <w:numId w:val="2"/>
        </w:numPr>
        <w:spacing w:after="40" w:before="40"/>
      </w:pPr>
      <w:r>
        <w:rPr>
          <w:rFonts w:ascii="Calibri" w:cs="Calibri" w:eastAsia="Calibri" w:hAnsi="Calibri"/>
          <w:color w:val="444444"/>
          <w:sz w:val="22"/>
          <w:szCs w:val="22"/>
        </w:rPr>
        <w:t xml:space="preserve">Outcome Owner named — one person, immediately.</w:t>
      </w:r>
    </w:p>
    <w:p>
      <w:pPr>
        <w:pStyle w:val="ListParagraph"/>
        <w:numPr>
          <w:ilvl w:val="0"/>
          <w:numId w:val="2"/>
        </w:numPr>
        <w:spacing w:after="40" w:before="40"/>
      </w:pPr>
      <w:r>
        <w:rPr>
          <w:rFonts w:ascii="Calibri" w:cs="Calibri" w:eastAsia="Calibri" w:hAnsi="Calibri"/>
          <w:color w:val="444444"/>
          <w:sz w:val="22"/>
          <w:szCs w:val="22"/>
        </w:rPr>
        <w:t xml:space="preserve">Client notified in writing — if the issue is client-visible, the client receives written confirmation of who owns it and when they will hear next.</w:t>
      </w:r>
    </w:p>
    <w:p>
      <w:pPr>
        <w:pStyle w:val="ListParagraph"/>
        <w:numPr>
          <w:ilvl w:val="0"/>
          <w:numId w:val="2"/>
        </w:numPr>
        <w:spacing w:after="40" w:before="40"/>
      </w:pPr>
      <w:r>
        <w:rPr>
          <w:rFonts w:ascii="Calibri" w:cs="Calibri" w:eastAsia="Calibri" w:hAnsi="Calibri"/>
          <w:color w:val="444444"/>
          <w:sz w:val="22"/>
          <w:szCs w:val="22"/>
        </w:rPr>
        <w:t xml:space="preserve">Committed resolution date set — specific date, not 'as soon as possible.'</w:t>
      </w:r>
    </w:p>
    <w:p>
      <w:pPr>
        <w:pStyle w:val="ListParagraph"/>
        <w:numPr>
          <w:ilvl w:val="0"/>
          <w:numId w:val="2"/>
        </w:numPr>
        <w:spacing w:after="40" w:before="40"/>
      </w:pPr>
      <w:r>
        <w:rPr>
          <w:rFonts w:ascii="Calibri" w:cs="Calibri" w:eastAsia="Calibri" w:hAnsi="Calibri"/>
          <w:color w:val="444444"/>
          <w:sz w:val="22"/>
          <w:szCs w:val="22"/>
        </w:rPr>
        <w:t xml:space="preserve">Escalation trigger defined — 'If not resolved by [date], escalate to [name].'</w:t>
      </w:r>
    </w:p>
    <w:p>
      <w:pPr>
        <w:pStyle w:val="ListParagraph"/>
        <w:numPr>
          <w:ilvl w:val="0"/>
          <w:numId w:val="2"/>
        </w:numPr>
        <w:spacing w:after="40" w:before="40"/>
      </w:pPr>
      <w:r>
        <w:rPr>
          <w:rFonts w:ascii="Calibri" w:cs="Calibri" w:eastAsia="Calibri" w:hAnsi="Calibri"/>
          <w:color w:val="444444"/>
          <w:sz w:val="22"/>
          <w:szCs w:val="22"/>
        </w:rPr>
        <w:t xml:space="preserve">Resolution documented — actual resolution date, client confirmation received.</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Ownership Rule: </w:t>
      </w:r>
      <w:r>
        <w:rPr>
          <w:rFonts w:ascii="Calibri" w:cs="Calibri" w:eastAsia="Calibri" w:hAnsi="Calibri"/>
          <w:color w:val="1C1C1C"/>
          <w:sz w:val="21"/>
          <w:szCs w:val="21"/>
        </w:rPr>
        <w:t xml:space="preserve">An issue without a named owner is an orphaned issue. An orphaned issue is a trust risk. The Engagement Lead is accountable for ensuring no issue is orphaned at any point during delivery.</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2.4 — Bi-Weekly CEES Session</w:t>
      </w:r>
    </w:p>
    <w:p>
      <w:pPr>
        <w:spacing w:after="80" w:before="60"/>
      </w:pPr>
      <w:r>
        <w:rPr>
          <w:rFonts w:ascii="Calibri" w:cs="Calibri" w:eastAsia="Calibri" w:hAnsi="Calibri"/>
          <w:color w:val="444444"/>
          <w:sz w:val="22"/>
          <w:szCs w:val="22"/>
        </w:rPr>
        <w:t xml:space="preserve">The CEES Session (Customer Engagement Excellence Simulation) is the heartbeat of the Engagement Excellence Program. It is the format that produces the most durable behavioral change over time. Every aspect of this session's design is intentional — do not abbreviate it.</w:t>
      </w:r>
    </w:p>
    <w:p>
      <w:pPr>
        <w:spacing w:after="120" w:before="120"/>
      </w:pPr>
    </w:p>
    <w:p>
      <w:pPr>
        <w:pStyle w:val="Heading3"/>
        <w:spacing w:after="60" w:before="200"/>
      </w:pPr>
      <w:r>
        <w:rPr>
          <w:rFonts w:ascii="Calibri" w:cs="Calibri" w:eastAsia="Calibri" w:hAnsi="Calibri"/>
          <w:b/>
          <w:bCs/>
          <w:color w:val="1C1C1C"/>
          <w:sz w:val="22"/>
          <w:szCs w:val="22"/>
        </w:rPr>
        <w:t xml:space="preserve">The Five-Step Session Format (45 minutes)</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18%"/>
            <w:tcBorders>
              <w:bottom w:val="single" w:color="FF6200" w:sz="4"/>
            </w:tcBorders>
            <w:shd w:fill="1C1C1C" w:val="clear"/>
          </w:tcPr>
          <w:p>
            <w:r>
              <w:rPr>
                <w:rFonts w:ascii="Calibri" w:cs="Calibri" w:eastAsia="Calibri" w:hAnsi="Calibri"/>
                <w:b/>
                <w:bCs/>
                <w:color w:val="FFFFFF"/>
                <w:sz w:val="18"/>
                <w:szCs w:val="18"/>
              </w:rPr>
              <w:t xml:space="preserve">Step</w:t>
            </w:r>
          </w:p>
        </w:tc>
        <w:tc>
          <w:tcPr>
            <w:tcW w:type="pct" w:w="10%"/>
            <w:tcBorders>
              <w:bottom w:val="single" w:color="FF6200" w:sz="4"/>
            </w:tcBorders>
            <w:shd w:fill="1C1C1C" w:val="clear"/>
          </w:tcPr>
          <w:p>
            <w:r>
              <w:rPr>
                <w:rFonts w:ascii="Calibri" w:cs="Calibri" w:eastAsia="Calibri" w:hAnsi="Calibri"/>
                <w:b/>
                <w:bCs/>
                <w:color w:val="FFFFFF"/>
                <w:sz w:val="18"/>
                <w:szCs w:val="18"/>
              </w:rPr>
              <w:t xml:space="preserve">Time</w:t>
            </w:r>
          </w:p>
        </w:tc>
        <w:tc>
          <w:tcPr>
            <w:tcW w:type="pct" w:w="28%"/>
            <w:tcBorders>
              <w:bottom w:val="single" w:color="FF6200" w:sz="4"/>
            </w:tcBorders>
            <w:shd w:fill="1C1C1C" w:val="clear"/>
          </w:tcPr>
          <w:p>
            <w:r>
              <w:rPr>
                <w:rFonts w:ascii="Calibri" w:cs="Calibri" w:eastAsia="Calibri" w:hAnsi="Calibri"/>
                <w:b/>
                <w:bCs/>
                <w:color w:val="FFFFFF"/>
                <w:sz w:val="18"/>
                <w:szCs w:val="18"/>
              </w:rPr>
              <w:t xml:space="preserve">Purpose</w:t>
            </w:r>
          </w:p>
        </w:tc>
        <w:tc>
          <w:tcPr>
            <w:tcW w:type="pct" w:w="44%"/>
            <w:tcBorders>
              <w:bottom w:val="single" w:color="FF6200" w:sz="4"/>
            </w:tcBorders>
            <w:shd w:fill="1C1C1C" w:val="clear"/>
          </w:tcPr>
          <w:p>
            <w:r>
              <w:rPr>
                <w:rFonts w:ascii="Calibri" w:cs="Calibri" w:eastAsia="Calibri" w:hAnsi="Calibri"/>
                <w:b/>
                <w:bCs/>
                <w:color w:val="FFFFFF"/>
                <w:sz w:val="18"/>
                <w:szCs w:val="18"/>
              </w:rPr>
              <w:t xml:space="preserve">Facilitator Action</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1. Scenario Selection</w:t>
            </w:r>
          </w:p>
        </w:tc>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0:00–0:05</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Confirm the scenario and set context</w:t>
            </w:r>
          </w:p>
        </w:tc>
        <w:tc>
          <w:tcPr>
            <w:tcW w:type="pct" w:w="44%"/>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Introduce the scenario: context, actors (by role, not name), moment to reconstruct. Ask contributor to frame what happened in 2 minutes.</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2. Reconstruction</w:t>
            </w:r>
          </w:p>
        </w:tc>
        <w:tc>
          <w:tcPr>
            <w:tcW w:type="pct" w:w="1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0:05–0:15</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Establish a precise factual account</w:t>
            </w:r>
          </w:p>
        </w:tc>
        <w:tc>
          <w:tcPr>
            <w:tcW w:type="pct" w:w="44%"/>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Extract what was said, by whom, in what channel, when, in what sequence. Resist interpretation. Keep the group in description mode.</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3. Contrast with Standard</w:t>
            </w:r>
          </w:p>
        </w:tc>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0:15–0:30</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Surface the gap between what happened and what the standard requires</w:t>
            </w:r>
          </w:p>
        </w:tc>
        <w:tc>
          <w:tcPr>
            <w:tcW w:type="pct" w:w="44%"/>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Name the standard explicitly. Ask: 'At this moment, what does the standard call for?' Name the gap with precision — not 'it could have been better' but the specific divergence.</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4. Lesson Capture</w:t>
            </w:r>
          </w:p>
        </w:tc>
        <w:tc>
          <w:tcPr>
            <w:tcW w:type="pct" w:w="1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0:30–0:40</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Produce a specific, actionable, reusable lesson</w:t>
            </w:r>
          </w:p>
        </w:tc>
        <w:tc>
          <w:tcPr>
            <w:tcW w:type="pct" w:w="44%"/>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Ask: 'What is the single most important lesson from this scenario?' Sharpen the language. The lesson must be specific enough to test whether someone learned it.</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5. Next Practice Rep</w:t>
            </w:r>
          </w:p>
        </w:tc>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0:40–0:45</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Commit to a specific behavior before the next session</w:t>
            </w:r>
          </w:p>
        </w:tc>
        <w:tc>
          <w:tcPr>
            <w:tcW w:type="pct" w:w="44%"/>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Go around the group. Each participant names one specific behavior — not a general intention. Log the commitments. Open the next session by reviewing them.</w:t>
            </w:r>
          </w:p>
        </w:tc>
      </w:tr>
    </w:tbl>
    <w:p>
      <w:pPr>
        <w:spacing w:after="120" w:before="120"/>
      </w:pPr>
    </w:p>
    <w:p>
      <w:pPr>
        <w:pStyle w:val="Heading3"/>
        <w:spacing w:after="60" w:before="200"/>
      </w:pPr>
      <w:r>
        <w:rPr>
          <w:rFonts w:ascii="Calibri" w:cs="Calibri" w:eastAsia="Calibri" w:hAnsi="Calibri"/>
          <w:b/>
          <w:bCs/>
          <w:color w:val="1C1C1C"/>
          <w:sz w:val="22"/>
          <w:szCs w:val="22"/>
        </w:rPr>
        <w:t xml:space="preserve">Scenario Selection Criteria</w:t>
      </w:r>
    </w:p>
    <w:p>
      <w:pPr>
        <w:pStyle w:val="ListParagraph"/>
        <w:numPr>
          <w:ilvl w:val="0"/>
          <w:numId w:val="1"/>
        </w:numPr>
        <w:spacing w:after="40" w:before="40"/>
      </w:pPr>
      <w:r>
        <w:rPr>
          <w:rFonts w:ascii="Calibri" w:cs="Calibri" w:eastAsia="Calibri" w:hAnsi="Calibri"/>
          <w:b/>
          <w:bCs/>
          <w:color w:val="1C1C1C"/>
          <w:sz w:val="22"/>
          <w:szCs w:val="22"/>
        </w:rPr>
        <w:t xml:space="preserve">Recency — </w:t>
      </w:r>
      <w:r>
        <w:rPr>
          <w:rFonts w:ascii="Calibri" w:cs="Calibri" w:eastAsia="Calibri" w:hAnsi="Calibri"/>
          <w:color w:val="444444"/>
          <w:sz w:val="22"/>
          <w:szCs w:val="22"/>
        </w:rPr>
        <w:t xml:space="preserve">The scenario should come from the past 30 days. Older scenarios lose the specificity that makes reconstruction honest.</w:t>
      </w:r>
    </w:p>
    <w:p>
      <w:pPr>
        <w:pStyle w:val="ListParagraph"/>
        <w:numPr>
          <w:ilvl w:val="0"/>
          <w:numId w:val="1"/>
        </w:numPr>
        <w:spacing w:after="40" w:before="40"/>
      </w:pPr>
      <w:r>
        <w:rPr>
          <w:rFonts w:ascii="Calibri" w:cs="Calibri" w:eastAsia="Calibri" w:hAnsi="Calibri"/>
          <w:b/>
          <w:bCs/>
          <w:color w:val="1C1C1C"/>
          <w:sz w:val="22"/>
          <w:szCs w:val="22"/>
        </w:rPr>
        <w:t xml:space="preserve">Instructability — </w:t>
      </w:r>
      <w:r>
        <w:rPr>
          <w:rFonts w:ascii="Calibri" w:cs="Calibri" w:eastAsia="Calibri" w:hAnsi="Calibri"/>
          <w:color w:val="444444"/>
          <w:sz w:val="22"/>
          <w:szCs w:val="22"/>
        </w:rPr>
        <w:t xml:space="preserve">The scenario should contain a clear, teachable divergence between what happened and what the standard requires.</w:t>
      </w:r>
    </w:p>
    <w:p>
      <w:pPr>
        <w:pStyle w:val="ListParagraph"/>
        <w:numPr>
          <w:ilvl w:val="0"/>
          <w:numId w:val="1"/>
        </w:numPr>
        <w:spacing w:after="40" w:before="40"/>
      </w:pPr>
      <w:r>
        <w:rPr>
          <w:rFonts w:ascii="Calibri" w:cs="Calibri" w:eastAsia="Calibri" w:hAnsi="Calibri"/>
          <w:b/>
          <w:bCs/>
          <w:color w:val="1C1C1C"/>
          <w:sz w:val="22"/>
          <w:szCs w:val="22"/>
        </w:rPr>
        <w:t xml:space="preserve">Contributor Comfort — </w:t>
      </w:r>
      <w:r>
        <w:rPr>
          <w:rFonts w:ascii="Calibri" w:cs="Calibri" w:eastAsia="Calibri" w:hAnsi="Calibri"/>
          <w:color w:val="444444"/>
          <w:sz w:val="22"/>
          <w:szCs w:val="22"/>
        </w:rPr>
        <w:t xml:space="preserve">Confirm with the scenario contributor before the session that they are willing to reconstruct it in the group. Never surprise a participant with their own scenario.</w:t>
      </w:r>
    </w:p>
    <w:p>
      <w:pPr>
        <w:pStyle w:val="ListParagraph"/>
        <w:numPr>
          <w:ilvl w:val="0"/>
          <w:numId w:val="1"/>
        </w:numPr>
        <w:spacing w:after="40" w:before="40"/>
      </w:pPr>
      <w:r>
        <w:rPr>
          <w:rFonts w:ascii="Calibri" w:cs="Calibri" w:eastAsia="Calibri" w:hAnsi="Calibri"/>
          <w:b/>
          <w:bCs/>
          <w:color w:val="1C1C1C"/>
          <w:sz w:val="22"/>
          <w:szCs w:val="22"/>
        </w:rPr>
        <w:t xml:space="preserve">Variety — </w:t>
      </w:r>
      <w:r>
        <w:rPr>
          <w:rFonts w:ascii="Calibri" w:cs="Calibri" w:eastAsia="Calibri" w:hAnsi="Calibri"/>
          <w:color w:val="444444"/>
          <w:sz w:val="22"/>
          <w:szCs w:val="22"/>
        </w:rPr>
        <w:t xml:space="preserve">Over a quarter, rotate through different scenario types — escalation moments, trust repairs, handoff failures, early wins.</w:t>
      </w:r>
    </w:p>
    <w:p>
      <w:pPr>
        <w:spacing w:after="120" w:before="120"/>
      </w:pPr>
    </w:p>
    <w:p>
      <w:pPr>
        <w:pStyle w:val="Heading3"/>
        <w:spacing w:after="60" w:before="200"/>
      </w:pPr>
      <w:r>
        <w:rPr>
          <w:rFonts w:ascii="Calibri" w:cs="Calibri" w:eastAsia="Calibri" w:hAnsi="Calibri"/>
          <w:b/>
          <w:bCs/>
          <w:color w:val="1C1C1C"/>
          <w:sz w:val="22"/>
          <w:szCs w:val="22"/>
        </w:rPr>
        <w:t xml:space="preserve">When No Scenario Is Ready</w:t>
      </w:r>
    </w:p>
    <w:p>
      <w:pPr>
        <w:spacing w:after="80" w:before="60"/>
      </w:pPr>
      <w:r>
        <w:rPr>
          <w:rFonts w:ascii="Calibri" w:cs="Calibri" w:eastAsia="Calibri" w:hAnsi="Calibri"/>
          <w:color w:val="444444"/>
          <w:sz w:val="22"/>
          <w:szCs w:val="22"/>
        </w:rPr>
        <w:t xml:space="preserve">Do not cancel the session. Use the library protocol: open Section 4 of this playbook, select the scenario most relevant to the team's current engagement context, and run the full five-step format. Library scenarios are less powerful than live scenarios but are fully instructable.</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Precision Matters: </w:t>
      </w:r>
      <w:r>
        <w:rPr>
          <w:rFonts w:ascii="Calibri" w:cs="Calibri" w:eastAsia="Calibri" w:hAnsi="Calibri"/>
          <w:color w:val="1C1C1C"/>
          <w:sz w:val="21"/>
          <w:szCs w:val="21"/>
        </w:rPr>
        <w:t xml:space="preserve">The contrast is only as useful as its precision. 'The communication could have been better' is not a contrast — it is a generalization that produces nothing. 'The standard requires escalation within four hours of identifying a client blocker. In this scenario, the blocker was identified on Tuesday afternoon and escalated Friday morning — 60-plus hours later' is a contrast.</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2.5 — Quarterly Signal Framework Review</w:t>
      </w:r>
    </w:p>
    <w:p>
      <w:pPr>
        <w:spacing w:after="80" w:before="60"/>
      </w:pPr>
      <w:r>
        <w:rPr>
          <w:rFonts w:ascii="Calibri" w:cs="Calibri" w:eastAsia="Calibri" w:hAnsi="Calibri"/>
          <w:color w:val="444444"/>
          <w:sz w:val="22"/>
          <w:szCs w:val="22"/>
        </w:rPr>
        <w:t xml:space="preserve">The Quarterly Signal Framework Review is the program's honest-signal moment. It is not a celebration. It is not a status update. It is a structured, evidence-based assessment of what the program is producing — and what needs to change.</w:t>
      </w:r>
    </w:p>
    <w:p>
      <w:pPr>
        <w:spacing w:after="120" w:before="120"/>
      </w:pPr>
    </w:p>
    <w:p>
      <w:pPr>
        <w:pStyle w:val="Heading3"/>
        <w:spacing w:after="60" w:before="200"/>
      </w:pPr>
      <w:r>
        <w:rPr>
          <w:rFonts w:ascii="Calibri" w:cs="Calibri" w:eastAsia="Calibri" w:hAnsi="Calibri"/>
          <w:b/>
          <w:bCs/>
          <w:color w:val="1C1C1C"/>
          <w:sz w:val="22"/>
          <w:szCs w:val="22"/>
        </w:rPr>
        <w:t xml:space="preserve">Pre-Work (Program Lead, before the review)</w:t>
      </w:r>
    </w:p>
    <w:p>
      <w:pPr>
        <w:pStyle w:val="ListParagraph"/>
        <w:numPr>
          <w:ilvl w:val="0"/>
          <w:numId w:val="1"/>
        </w:numPr>
        <w:spacing w:after="40" w:before="40"/>
      </w:pPr>
      <w:r>
        <w:rPr>
          <w:rFonts w:ascii="Calibri" w:cs="Calibri" w:eastAsia="Calibri" w:hAnsi="Calibri"/>
          <w:color w:val="444444"/>
          <w:sz w:val="22"/>
          <w:szCs w:val="22"/>
        </w:rPr>
        <w:t xml:space="preserve">Compile all three signal stream readings for the quarter</w:t>
      </w:r>
    </w:p>
    <w:p>
      <w:pPr>
        <w:pStyle w:val="ListParagraph"/>
        <w:numPr>
          <w:ilvl w:val="0"/>
          <w:numId w:val="1"/>
        </w:numPr>
        <w:spacing w:after="40" w:before="40"/>
      </w:pPr>
      <w:r>
        <w:rPr>
          <w:rFonts w:ascii="Calibri" w:cs="Calibri" w:eastAsia="Calibri" w:hAnsi="Calibri"/>
          <w:color w:val="444444"/>
          <w:sz w:val="22"/>
          <w:szCs w:val="22"/>
        </w:rPr>
        <w:t xml:space="preserve">Compile certification progression data</w:t>
      </w:r>
    </w:p>
    <w:p>
      <w:pPr>
        <w:pStyle w:val="ListParagraph"/>
        <w:numPr>
          <w:ilvl w:val="0"/>
          <w:numId w:val="1"/>
        </w:numPr>
        <w:spacing w:after="40" w:before="40"/>
      </w:pPr>
      <w:r>
        <w:rPr>
          <w:rFonts w:ascii="Calibri" w:cs="Calibri" w:eastAsia="Calibri" w:hAnsi="Calibri"/>
          <w:color w:val="444444"/>
          <w:sz w:val="22"/>
          <w:szCs w:val="22"/>
        </w:rPr>
        <w:t xml:space="preserve">Compile scenario library additions and playbook updates</w:t>
      </w:r>
    </w:p>
    <w:p>
      <w:pPr>
        <w:pStyle w:val="ListParagraph"/>
        <w:numPr>
          <w:ilvl w:val="0"/>
          <w:numId w:val="1"/>
        </w:numPr>
        <w:spacing w:after="40" w:before="40"/>
      </w:pPr>
      <w:r>
        <w:rPr>
          <w:rFonts w:ascii="Calibri" w:cs="Calibri" w:eastAsia="Calibri" w:hAnsi="Calibri"/>
          <w:color w:val="444444"/>
          <w:sz w:val="22"/>
          <w:szCs w:val="22"/>
        </w:rPr>
        <w:t xml:space="preserve">Compile escalation post-reviews from the quarter</w:t>
      </w:r>
    </w:p>
    <w:p>
      <w:pPr>
        <w:pStyle w:val="ListParagraph"/>
        <w:numPr>
          <w:ilvl w:val="0"/>
          <w:numId w:val="1"/>
        </w:numPr>
        <w:spacing w:after="40" w:before="40"/>
      </w:pPr>
      <w:r>
        <w:rPr>
          <w:rFonts w:ascii="Calibri" w:cs="Calibri" w:eastAsia="Calibri" w:hAnsi="Calibri"/>
          <w:color w:val="444444"/>
          <w:sz w:val="22"/>
          <w:szCs w:val="22"/>
        </w:rPr>
        <w:t xml:space="preserve">Identify one thing the program is doing well, one thing that is drifting, and one proposed adjustment</w:t>
      </w:r>
    </w:p>
    <w:p>
      <w:pPr>
        <w:spacing w:after="120" w:before="120"/>
      </w:pPr>
    </w:p>
    <w:p>
      <w:pPr>
        <w:pStyle w:val="Heading3"/>
        <w:spacing w:after="60" w:before="200"/>
      </w:pPr>
      <w:r>
        <w:rPr>
          <w:rFonts w:ascii="Calibri" w:cs="Calibri" w:eastAsia="Calibri" w:hAnsi="Calibri"/>
          <w:b/>
          <w:bCs/>
          <w:color w:val="1C1C1C"/>
          <w:sz w:val="22"/>
          <w:szCs w:val="22"/>
        </w:rPr>
        <w:t xml:space="preserve">Session Agenda (60 minutes)</w:t>
      </w:r>
    </w:p>
    <w:tbl>
      <w:tblPr>
        <w:tblW w:type="pct" w:w="100%"/>
        <w:tblBorders>
          <w:top w:val="none"/>
          <w:left w:val="none"/>
          <w:bottom w:val="none"/>
          <w:right w:val="none"/>
          <w:insideH w:val="single" w:color="auto" w:sz="4"/>
          <w:insideV w:val="single" w:color="auto" w:sz="4"/>
        </w:tblBorders>
      </w:tblPr>
      <w:tblGrid>
        <w:gridCol w:w="100"/>
        <w:gridCol w:w="100"/>
        <w:gridCol w:w="100"/>
      </w:tblGrid>
      <w:tr>
        <w:trPr>
          <w:tblHeader/>
        </w:trPr>
        <w:tc>
          <w:tcPr>
            <w:tcW w:type="pct" w:w="15%"/>
            <w:tcBorders>
              <w:bottom w:val="single" w:color="FF6200" w:sz="4"/>
            </w:tcBorders>
            <w:shd w:fill="1C1C1C" w:val="clear"/>
          </w:tcPr>
          <w:p>
            <w:r>
              <w:rPr>
                <w:rFonts w:ascii="Calibri" w:cs="Calibri" w:eastAsia="Calibri" w:hAnsi="Calibri"/>
                <w:b/>
                <w:bCs/>
                <w:color w:val="FFFFFF"/>
                <w:sz w:val="18"/>
                <w:szCs w:val="18"/>
              </w:rPr>
              <w:t xml:space="preserve">Time</w:t>
            </w:r>
          </w:p>
        </w:tc>
        <w:tc>
          <w:tcPr>
            <w:tcW w:type="pct" w:w="30%"/>
            <w:tcBorders>
              <w:bottom w:val="single" w:color="FF6200" w:sz="4"/>
            </w:tcBorders>
            <w:shd w:fill="1C1C1C" w:val="clear"/>
          </w:tcPr>
          <w:p>
            <w:r>
              <w:rPr>
                <w:rFonts w:ascii="Calibri" w:cs="Calibri" w:eastAsia="Calibri" w:hAnsi="Calibri"/>
                <w:b/>
                <w:bCs/>
                <w:color w:val="FFFFFF"/>
                <w:sz w:val="18"/>
                <w:szCs w:val="18"/>
              </w:rPr>
              <w:t xml:space="preserve">Segment</w:t>
            </w:r>
          </w:p>
        </w:tc>
        <w:tc>
          <w:tcPr>
            <w:tcW w:type="pct" w:w="55%"/>
            <w:tcBorders>
              <w:bottom w:val="single" w:color="FF6200" w:sz="4"/>
            </w:tcBorders>
            <w:shd w:fill="1C1C1C" w:val="clear"/>
          </w:tcPr>
          <w:p>
            <w:r>
              <w:rPr>
                <w:rFonts w:ascii="Calibri" w:cs="Calibri" w:eastAsia="Calibri" w:hAnsi="Calibri"/>
                <w:b/>
                <w:bCs/>
                <w:color w:val="FFFFFF"/>
                <w:sz w:val="18"/>
                <w:szCs w:val="18"/>
              </w:rPr>
              <w:t xml:space="preserve">Purpose</w:t>
            </w:r>
          </w:p>
        </w:tc>
      </w:tr>
      <w:tr>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0:00–0:10</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Leading Indicator Review</w:t>
            </w:r>
          </w:p>
        </w:tc>
        <w:tc>
          <w:tcPr>
            <w:tcW w:type="pct" w:w="5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Share signal stream data: what are we reading across the portfolio?</w:t>
            </w:r>
          </w:p>
        </w:tc>
      </w:tr>
      <w:tr>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0:10–0:20</w:t>
            </w:r>
          </w:p>
        </w:tc>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Lagging Indicator Review</w:t>
            </w:r>
          </w:p>
        </w:tc>
        <w:tc>
          <w:tcPr>
            <w:tcW w:type="pct" w:w="5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Share outcome data: what is the program producing?</w:t>
            </w:r>
          </w:p>
        </w:tc>
      </w:tr>
      <w:tr>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0:20–0:35</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Honest Assessment</w:t>
            </w:r>
          </w:p>
        </w:tc>
        <w:tc>
          <w:tcPr>
            <w:tcW w:type="pct" w:w="5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What is working? What is drifting? What do we not understand?</w:t>
            </w:r>
          </w:p>
        </w:tc>
      </w:tr>
      <w:tr>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0:35–0:50</w:t>
            </w:r>
          </w:p>
        </w:tc>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Program Adjustment</w:t>
            </w:r>
          </w:p>
        </w:tc>
        <w:tc>
          <w:tcPr>
            <w:tcW w:type="pct" w:w="5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One specific adjustment to make in the next quarter. Named owner, named deadline.</w:t>
            </w:r>
          </w:p>
        </w:tc>
      </w:tr>
      <w:tr>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0:50–0:60</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Recognition</w:t>
            </w:r>
          </w:p>
        </w:tc>
        <w:tc>
          <w:tcPr>
            <w:tcW w:type="pct" w:w="5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Name one practitioner who demonstrated above-standard behavior. Be specific.</w:t>
            </w:r>
          </w:p>
        </w:tc>
      </w:tr>
    </w:tbl>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Review Rule: </w:t>
      </w:r>
      <w:r>
        <w:rPr>
          <w:rFonts w:ascii="Calibri" w:cs="Calibri" w:eastAsia="Calibri" w:hAnsi="Calibri"/>
          <w:color w:val="1C1C1C"/>
          <w:sz w:val="21"/>
          <w:szCs w:val="21"/>
        </w:rPr>
        <w:t xml:space="preserve">If the honest assessment segment produces no identified drift and no proposed adjustment, the review was not honest enough. Restart it. A quarterly review that produces no program adjustment is a status update, not a review.</w:t>
      </w:r>
    </w:p>
    <w:p>
      <w:r>
        <w:br w:type="page"/>
      </w:r>
    </w:p>
    <w:p>
      <w:pPr>
        <w:pStyle w:val="Heading1"/>
        <w:pBdr>
          <w:bottom w:val="single" w:color="FF6200" w:sz="8" w:space="1"/>
        </w:pBdr>
        <w:spacing w:after="120" w:before="400"/>
      </w:pPr>
      <w:r>
        <w:rPr>
          <w:rFonts w:ascii="Calibri" w:cs="Calibri" w:eastAsia="Calibri" w:hAnsi="Calibri"/>
          <w:b/>
          <w:bCs/>
          <w:color w:val="1C1C1C"/>
          <w:sz w:val="32"/>
          <w:szCs w:val="32"/>
        </w:rPr>
        <w:t xml:space="preserve">Section 3 — The Four Runbooks</w:t>
      </w:r>
    </w:p>
    <w:p>
      <w:pPr>
        <w:spacing w:after="80" w:before="60"/>
      </w:pPr>
      <w:r>
        <w:rPr>
          <w:rFonts w:ascii="Calibri" w:cs="Calibri" w:eastAsia="Calibri" w:hAnsi="Calibri"/>
          <w:color w:val="444444"/>
          <w:sz w:val="22"/>
          <w:szCs w:val="22"/>
        </w:rPr>
        <w:t xml:space="preserve">Runbooks are pre-decided decision frameworks that remove improvisation from high-stakes moments. They exist precisely because high-pressure moments produce poor judgment. The Runbook is the judgment. Engagement Leads are responsible for ensuring all team members know which Runbook applies before they are in a position to need it.</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Non-Negotiable IV: </w:t>
      </w:r>
      <w:r>
        <w:rPr>
          <w:rFonts w:ascii="Calibri" w:cs="Calibri" w:eastAsia="Calibri" w:hAnsi="Calibri"/>
          <w:color w:val="1C1C1C"/>
          <w:sz w:val="21"/>
          <w:szCs w:val="21"/>
        </w:rPr>
        <w:t xml:space="preserve">Every delivery incident follows the applicable Runbook without improvisation. This is not a recommendation — it is a program commitment. Deviation from the Runbook in a high-stakes moment is a program deviation that must be documented and reviewed.</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Runbook 1 — Escalation Runbook</w:t>
      </w:r>
    </w:p>
    <w:p>
      <w:pPr>
        <w:spacing w:after="80" w:before="60"/>
      </w:pPr>
      <w:r>
        <w:rPr>
          <w:rFonts w:ascii="Calibri" w:cs="Calibri" w:eastAsia="Calibri" w:hAnsi="Calibri"/>
          <w:color w:val="444444"/>
          <w:sz w:val="22"/>
          <w:szCs w:val="22"/>
        </w:rPr>
        <w:t xml:space="preserve">The Escalation Runbook defines exactly how an issue is escalated: who is notified, in what sequence, with what information, and on what timeline. Early escalation is a trust-building behavior. Late escalation is the one that damages credibility.</w:t>
      </w:r>
    </w:p>
    <w:p>
      <w:pPr>
        <w:spacing w:after="120" w:before="120"/>
      </w:pPr>
    </w:p>
    <w:p>
      <w:pPr>
        <w:pStyle w:val="Heading3"/>
        <w:spacing w:after="60" w:before="200"/>
      </w:pPr>
      <w:r>
        <w:rPr>
          <w:rFonts w:ascii="Calibri" w:cs="Calibri" w:eastAsia="Calibri" w:hAnsi="Calibri"/>
          <w:b/>
          <w:bCs/>
          <w:color w:val="1C1C1C"/>
          <w:sz w:val="22"/>
          <w:szCs w:val="22"/>
        </w:rPr>
        <w:t xml:space="preserve">Escalation Trigger Conditions</w:t>
      </w:r>
    </w:p>
    <w:p>
      <w:pPr>
        <w:spacing w:after="80" w:before="60"/>
      </w:pPr>
      <w:r>
        <w:rPr>
          <w:rFonts w:ascii="Calibri" w:cs="Calibri" w:eastAsia="Calibri" w:hAnsi="Calibri"/>
          <w:color w:val="444444"/>
          <w:sz w:val="22"/>
          <w:szCs w:val="22"/>
        </w:rPr>
        <w:t xml:space="preserve">Escalate immediately when any of the following conditions are met:</w:t>
      </w:r>
    </w:p>
    <w:p>
      <w:pPr>
        <w:pStyle w:val="ListParagraph"/>
        <w:numPr>
          <w:ilvl w:val="0"/>
          <w:numId w:val="1"/>
        </w:numPr>
        <w:spacing w:after="40" w:before="40"/>
      </w:pPr>
      <w:r>
        <w:rPr>
          <w:rFonts w:ascii="Calibri" w:cs="Calibri" w:eastAsia="Calibri" w:hAnsi="Calibri"/>
          <w:color w:val="444444"/>
          <w:sz w:val="22"/>
          <w:szCs w:val="22"/>
        </w:rPr>
        <w:t xml:space="preserve">A client blocker is identified that cannot be resolved within the committed timeline</w:t>
      </w:r>
    </w:p>
    <w:p>
      <w:pPr>
        <w:pStyle w:val="ListParagraph"/>
        <w:numPr>
          <w:ilvl w:val="0"/>
          <w:numId w:val="1"/>
        </w:numPr>
        <w:spacing w:after="40" w:before="40"/>
      </w:pPr>
      <w:r>
        <w:rPr>
          <w:rFonts w:ascii="Calibri" w:cs="Calibri" w:eastAsia="Calibri" w:hAnsi="Calibri"/>
          <w:color w:val="444444"/>
          <w:sz w:val="22"/>
          <w:szCs w:val="22"/>
        </w:rPr>
        <w:t xml:space="preserve">A Customer Friction signal reaches Red flag status</w:t>
      </w:r>
    </w:p>
    <w:p>
      <w:pPr>
        <w:pStyle w:val="ListParagraph"/>
        <w:numPr>
          <w:ilvl w:val="0"/>
          <w:numId w:val="1"/>
        </w:numPr>
        <w:spacing w:after="40" w:before="40"/>
      </w:pPr>
      <w:r>
        <w:rPr>
          <w:rFonts w:ascii="Calibri" w:cs="Calibri" w:eastAsia="Calibri" w:hAnsi="Calibri"/>
          <w:color w:val="444444"/>
          <w:sz w:val="22"/>
          <w:szCs w:val="22"/>
        </w:rPr>
        <w:t xml:space="preserve">A committed action is missed and the client has been notified but the issue remains unresolved after 24 hours</w:t>
      </w:r>
    </w:p>
    <w:p>
      <w:pPr>
        <w:pStyle w:val="ListParagraph"/>
        <w:numPr>
          <w:ilvl w:val="0"/>
          <w:numId w:val="1"/>
        </w:numPr>
        <w:spacing w:after="40" w:before="40"/>
      </w:pPr>
      <w:r>
        <w:rPr>
          <w:rFonts w:ascii="Calibri" w:cs="Calibri" w:eastAsia="Calibri" w:hAnsi="Calibri"/>
          <w:color w:val="444444"/>
          <w:sz w:val="22"/>
          <w:szCs w:val="22"/>
        </w:rPr>
        <w:t xml:space="preserve">A delivery incident carries client relationship risk beyond the Engagement Lead's authority to resolve</w:t>
      </w:r>
    </w:p>
    <w:p>
      <w:pPr>
        <w:pStyle w:val="ListParagraph"/>
        <w:numPr>
          <w:ilvl w:val="0"/>
          <w:numId w:val="1"/>
        </w:numPr>
        <w:spacing w:after="40" w:before="40"/>
      </w:pPr>
      <w:r>
        <w:rPr>
          <w:rFonts w:ascii="Calibri" w:cs="Calibri" w:eastAsia="Calibri" w:hAnsi="Calibri"/>
          <w:color w:val="444444"/>
          <w:sz w:val="22"/>
          <w:szCs w:val="22"/>
        </w:rPr>
        <w:t xml:space="preserve">The client escalates to a contact outside the engagement team</w:t>
      </w:r>
    </w:p>
    <w:p>
      <w:pPr>
        <w:pStyle w:val="ListParagraph"/>
        <w:numPr>
          <w:ilvl w:val="0"/>
          <w:numId w:val="1"/>
        </w:numPr>
        <w:spacing w:after="40" w:before="40"/>
      </w:pPr>
      <w:r>
        <w:rPr>
          <w:rFonts w:ascii="Calibri" w:cs="Calibri" w:eastAsia="Calibri" w:hAnsi="Calibri"/>
          <w:color w:val="444444"/>
          <w:sz w:val="22"/>
          <w:szCs w:val="22"/>
        </w:rPr>
        <w:t xml:space="preserve">A technical issue is discovered that materially changes the engagement scope, timeline, or cost</w:t>
      </w:r>
    </w:p>
    <w:p>
      <w:pPr>
        <w:spacing w:after="120" w:before="120"/>
      </w:pPr>
    </w:p>
    <w:p>
      <w:pPr>
        <w:pStyle w:val="Heading3"/>
        <w:spacing w:after="60" w:before="200"/>
      </w:pPr>
      <w:r>
        <w:rPr>
          <w:rFonts w:ascii="Calibri" w:cs="Calibri" w:eastAsia="Calibri" w:hAnsi="Calibri"/>
          <w:b/>
          <w:bCs/>
          <w:color w:val="1C1C1C"/>
          <w:sz w:val="22"/>
          <w:szCs w:val="22"/>
        </w:rPr>
        <w:t xml:space="preserve">Five-Step Escalation Sequence</w:t>
      </w: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tblGrid>
      <w:tr>
        <w:trPr>
          <w:tblHeader/>
        </w:trPr>
        <w:tc>
          <w:tcPr>
            <w:tcW w:type="pct" w:w="10%"/>
            <w:tcBorders>
              <w:bottom w:val="single" w:color="FF6200" w:sz="4"/>
            </w:tcBorders>
            <w:shd w:fill="1C1C1C" w:val="clear"/>
          </w:tcPr>
          <w:p>
            <w:r>
              <w:rPr>
                <w:rFonts w:ascii="Calibri" w:cs="Calibri" w:eastAsia="Calibri" w:hAnsi="Calibri"/>
                <w:b/>
                <w:bCs/>
                <w:color w:val="FFFFFF"/>
                <w:sz w:val="18"/>
                <w:szCs w:val="18"/>
              </w:rPr>
              <w:t xml:space="preserve">Step</w:t>
            </w:r>
          </w:p>
        </w:tc>
        <w:tc>
          <w:tcPr>
            <w:tcW w:type="pct" w:w="35%"/>
            <w:tcBorders>
              <w:bottom w:val="single" w:color="FF6200" w:sz="4"/>
            </w:tcBorders>
            <w:shd w:fill="1C1C1C" w:val="clear"/>
          </w:tcPr>
          <w:p>
            <w:r>
              <w:rPr>
                <w:rFonts w:ascii="Calibri" w:cs="Calibri" w:eastAsia="Calibri" w:hAnsi="Calibri"/>
                <w:b/>
                <w:bCs/>
                <w:color w:val="FFFFFF"/>
                <w:sz w:val="18"/>
                <w:szCs w:val="18"/>
              </w:rPr>
              <w:t xml:space="preserve">Action</w:t>
            </w:r>
          </w:p>
        </w:tc>
        <w:tc>
          <w:tcPr>
            <w:tcW w:type="pct" w:w="18%"/>
            <w:tcBorders>
              <w:bottom w:val="single" w:color="FF6200" w:sz="4"/>
            </w:tcBorders>
            <w:shd w:fill="1C1C1C" w:val="clear"/>
          </w:tcPr>
          <w:p>
            <w:r>
              <w:rPr>
                <w:rFonts w:ascii="Calibri" w:cs="Calibri" w:eastAsia="Calibri" w:hAnsi="Calibri"/>
                <w:b/>
                <w:bCs/>
                <w:color w:val="FFFFFF"/>
                <w:sz w:val="18"/>
                <w:szCs w:val="18"/>
              </w:rPr>
              <w:t xml:space="preserve">Timeline</w:t>
            </w:r>
          </w:p>
        </w:tc>
        <w:tc>
          <w:tcPr>
            <w:tcW w:type="pct" w:w="18%"/>
            <w:tcBorders>
              <w:bottom w:val="single" w:color="FF6200" w:sz="4"/>
            </w:tcBorders>
            <w:shd w:fill="1C1C1C" w:val="clear"/>
          </w:tcPr>
          <w:p>
            <w:r>
              <w:rPr>
                <w:rFonts w:ascii="Calibri" w:cs="Calibri" w:eastAsia="Calibri" w:hAnsi="Calibri"/>
                <w:b/>
                <w:bCs/>
                <w:color w:val="FFFFFF"/>
                <w:sz w:val="18"/>
                <w:szCs w:val="18"/>
              </w:rPr>
              <w:t xml:space="preserve">Owner</w:t>
            </w:r>
          </w:p>
        </w:tc>
        <w:tc>
          <w:tcPr>
            <w:tcW w:type="pct" w:w="19%"/>
            <w:tcBorders>
              <w:bottom w:val="single" w:color="FF6200" w:sz="4"/>
            </w:tcBorders>
            <w:shd w:fill="1C1C1C" w:val="clear"/>
          </w:tcPr>
          <w:p>
            <w:r>
              <w:rPr>
                <w:rFonts w:ascii="Calibri" w:cs="Calibri" w:eastAsia="Calibri" w:hAnsi="Calibri"/>
                <w:b/>
                <w:bCs/>
                <w:color w:val="FFFFFF"/>
                <w:sz w:val="18"/>
                <w:szCs w:val="18"/>
              </w:rPr>
              <w:t xml:space="preserve">Template</w:t>
            </w:r>
          </w:p>
        </w:tc>
      </w:tr>
      <w:tr>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Step 1</w:t>
            </w:r>
          </w:p>
        </w:tc>
        <w:tc>
          <w:tcPr>
            <w:tcW w:type="pct" w:w="3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Acknowledge the issue internally — confirm what is known, what is unknown, and what the client impact is.</w:t>
            </w:r>
          </w:p>
        </w:tc>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Within 1 hour of identification</w:t>
            </w:r>
          </w:p>
        </w:tc>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 Lead</w:t>
            </w:r>
          </w:p>
        </w:tc>
        <w:tc>
          <w:tcPr>
            <w:tcW w:type="pct" w:w="19%"/>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Internal acknowledgment message to team</w:t>
            </w:r>
          </w:p>
        </w:tc>
      </w:tr>
      <w:tr>
        <w:tc>
          <w:tcPr>
            <w:tcW w:type="pct" w:w="1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Step 2</w:t>
            </w:r>
          </w:p>
        </w:tc>
        <w:tc>
          <w:tcPr>
            <w:tcW w:type="pct" w:w="3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Confirm the Outcome Owner — one named person owns the escalation from this point forward.</w:t>
            </w:r>
          </w:p>
        </w:tc>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Within 1 hour of identification</w:t>
            </w:r>
          </w:p>
        </w:tc>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Engagement Lead</w:t>
            </w:r>
          </w:p>
        </w:tc>
        <w:tc>
          <w:tcPr>
            <w:tcW w:type="pct" w:w="19%"/>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Outcome Owner assignment (Section 2.3)</w:t>
            </w:r>
          </w:p>
        </w:tc>
      </w:tr>
      <w:tr>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Step 3</w:t>
            </w:r>
          </w:p>
        </w:tc>
        <w:tc>
          <w:tcPr>
            <w:tcW w:type="pct" w:w="3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Notify the client — structured communication: what happened, what we're doing, what they should expect next.</w:t>
            </w:r>
          </w:p>
        </w:tc>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Within 1 hour of identification (for client-visible issues)</w:t>
            </w:r>
          </w:p>
        </w:tc>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Outcome Owner</w:t>
            </w:r>
          </w:p>
        </w:tc>
        <w:tc>
          <w:tcPr>
            <w:tcW w:type="pct" w:w="19%"/>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Client escalation template (below)</w:t>
            </w:r>
          </w:p>
        </w:tc>
      </w:tr>
      <w:tr>
        <w:tc>
          <w:tcPr>
            <w:tcW w:type="pct" w:w="1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Step 4</w:t>
            </w:r>
          </w:p>
        </w:tc>
        <w:tc>
          <w:tcPr>
            <w:tcW w:type="pct" w:w="3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Document the resolution path — specific actions, owners, and committed dates.</w:t>
            </w:r>
          </w:p>
        </w:tc>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Within 2 hours of identification</w:t>
            </w:r>
          </w:p>
        </w:tc>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Outcome Owner</w:t>
            </w:r>
          </w:p>
        </w:tc>
        <w:tc>
          <w:tcPr>
            <w:tcW w:type="pct" w:w="19%"/>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Issue log entry</w:t>
            </w:r>
          </w:p>
        </w:tc>
      </w:tr>
      <w:tr>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Step 5</w:t>
            </w:r>
          </w:p>
        </w:tc>
        <w:tc>
          <w:tcPr>
            <w:tcW w:type="pct" w:w="3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Post-escalation review — within 48 hours of resolution, conduct a structured review of what happened and what the program should learn.</w:t>
            </w:r>
          </w:p>
        </w:tc>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Within 48 hours of resolution</w:t>
            </w:r>
          </w:p>
        </w:tc>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 Lead + Program Lead</w:t>
            </w:r>
          </w:p>
        </w:tc>
        <w:tc>
          <w:tcPr>
            <w:tcW w:type="pct" w:w="19%"/>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Post-escalation review template (below)</w:t>
            </w:r>
          </w:p>
        </w:tc>
      </w:tr>
    </w:tbl>
    <w:p>
      <w:pPr>
        <w:spacing w:after="120" w:before="120"/>
      </w:pPr>
    </w:p>
    <w:p>
      <w:pPr>
        <w:pStyle w:val="Heading3"/>
        <w:spacing w:after="60" w:before="200"/>
      </w:pPr>
      <w:r>
        <w:rPr>
          <w:rFonts w:ascii="Calibri" w:cs="Calibri" w:eastAsia="Calibri" w:hAnsi="Calibri"/>
          <w:b/>
          <w:bCs/>
          <w:color w:val="1C1C1C"/>
          <w:sz w:val="22"/>
          <w:szCs w:val="22"/>
        </w:rPr>
        <w:t xml:space="preserve">Client Escalation Communication Template</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Subject: [Engagement Name] — Update on [Issue Description]
Dear [Client Name],
I want to make sure you have a clear picture of where things stand with [issue description].
What we know: [Factual description of the issue — what happened, when, what the impact is.]
What we are doing: [Specific actions underway, with named owners.]
What you should expect next: [Specific next communication — who will reach out, when, with what information.]
I am your named point of contact for this issue. You can reach me directly at [contact] at any time.
[Outcome Owner Name]</w:t>
      </w:r>
    </w:p>
    <w:p>
      <w:pPr>
        <w:spacing w:after="120" w:before="120"/>
      </w:pPr>
    </w:p>
    <w:p>
      <w:pPr>
        <w:pStyle w:val="Heading3"/>
        <w:spacing w:after="60" w:before="200"/>
      </w:pPr>
      <w:r>
        <w:rPr>
          <w:rFonts w:ascii="Calibri" w:cs="Calibri" w:eastAsia="Calibri" w:hAnsi="Calibri"/>
          <w:b/>
          <w:bCs/>
          <w:color w:val="1C1C1C"/>
          <w:sz w:val="22"/>
          <w:szCs w:val="22"/>
        </w:rPr>
        <w:t xml:space="preserve">Post-Escalation Review Template</w:t>
      </w:r>
    </w:p>
    <w:p>
      <w:pPr>
        <w:spacing w:after="80" w:before="60"/>
      </w:pPr>
      <w:r>
        <w:rPr>
          <w:rFonts w:ascii="Calibri" w:cs="Calibri" w:eastAsia="Calibri" w:hAnsi="Calibri"/>
          <w:color w:val="444444"/>
          <w:sz w:val="22"/>
          <w:szCs w:val="22"/>
        </w:rPr>
        <w:t xml:space="preserve">Complete within 48 hours of resolution. Document in the engagement record and share with the Program Lead.</w:t>
      </w:r>
    </w:p>
    <w:tbl>
      <w:tblPr>
        <w:tblW w:type="pct" w:w="100%"/>
        <w:tblBorders>
          <w:top w:val="none"/>
          <w:left w:val="none"/>
          <w:bottom w:val="none"/>
          <w:right w:val="none"/>
          <w:insideH w:val="single" w:color="auto" w:sz="4"/>
          <w:insideV w:val="single" w:color="auto" w:sz="4"/>
        </w:tblBorders>
      </w:tblPr>
      <w:tblGrid>
        <w:gridCol w:w="100"/>
        <w:gridCol w:w="100"/>
      </w:tblGrid>
      <w:tr>
        <w:trPr>
          <w:tblHeader/>
        </w:trPr>
        <w:tc>
          <w:tcPr>
            <w:tcW w:type="pct" w:w="30%"/>
            <w:tcBorders>
              <w:bottom w:val="single" w:color="FF6200" w:sz="4"/>
            </w:tcBorders>
            <w:shd w:fill="1C1C1C" w:val="clear"/>
          </w:tcPr>
          <w:p>
            <w:r>
              <w:rPr>
                <w:rFonts w:ascii="Calibri" w:cs="Calibri" w:eastAsia="Calibri" w:hAnsi="Calibri"/>
                <w:b/>
                <w:bCs/>
                <w:color w:val="FFFFFF"/>
                <w:sz w:val="18"/>
                <w:szCs w:val="18"/>
              </w:rPr>
              <w:t xml:space="preserve">Field</w:t>
            </w:r>
          </w:p>
        </w:tc>
        <w:tc>
          <w:tcPr>
            <w:tcW w:type="pct" w:w="70%"/>
            <w:tcBorders>
              <w:bottom w:val="single" w:color="FF6200" w:sz="4"/>
            </w:tcBorders>
            <w:shd w:fill="1C1C1C" w:val="clear"/>
          </w:tcPr>
          <w:p>
            <w:r>
              <w:rPr>
                <w:rFonts w:ascii="Calibri" w:cs="Calibri" w:eastAsia="Calibri" w:hAnsi="Calibri"/>
                <w:b/>
                <w:bCs/>
                <w:color w:val="FFFFFF"/>
                <w:sz w:val="18"/>
                <w:szCs w:val="18"/>
              </w:rPr>
              <w:t xml:space="preserve">Content</w:t>
            </w:r>
          </w:p>
        </w:tc>
      </w:tr>
      <w:tr>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Issue description</w:t>
            </w:r>
          </w:p>
        </w:tc>
        <w:tc>
          <w:tcPr>
            <w:tcW w:type="pct" w:w="7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[What happened, when, what the client impact was]</w:t>
            </w:r>
          </w:p>
        </w:tc>
      </w:tr>
      <w:tr>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Escalation timeline</w:t>
            </w:r>
          </w:p>
        </w:tc>
        <w:tc>
          <w:tcPr>
            <w:tcW w:type="pct" w:w="7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[When identified → when client notified → when resolved]</w:t>
            </w:r>
          </w:p>
        </w:tc>
      </w:tr>
      <w:tr>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Runbook adherence</w:t>
            </w:r>
          </w:p>
        </w:tc>
        <w:tc>
          <w:tcPr>
            <w:tcW w:type="pct" w:w="7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[Which steps were followed, which were not, and why]</w:t>
            </w:r>
          </w:p>
        </w:tc>
      </w:tr>
      <w:tr>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Client trust outcome</w:t>
            </w:r>
          </w:p>
        </w:tc>
        <w:tc>
          <w:tcPr>
            <w:tcW w:type="pct" w:w="7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[Did the client's trust increase, hold, or decrease? Evidence?]</w:t>
            </w:r>
          </w:p>
        </w:tc>
      </w:tr>
      <w:tr>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Lesson for CEES Session</w:t>
            </w:r>
          </w:p>
        </w:tc>
        <w:tc>
          <w:tcPr>
            <w:tcW w:type="pct" w:w="7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[What should the team learn from this escalation?]</w:t>
            </w:r>
          </w:p>
        </w:tc>
      </w:tr>
      <w:tr>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Playbook update needed?</w:t>
            </w:r>
          </w:p>
        </w:tc>
        <w:tc>
          <w:tcPr>
            <w:tcW w:type="pct" w:w="7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[Yes / No — if yes, what change is proposed?]</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Runbook 2 — Communication Runbook</w:t>
      </w:r>
    </w:p>
    <w:p>
      <w:pPr>
        <w:spacing w:after="80" w:before="60"/>
      </w:pPr>
      <w:r>
        <w:rPr>
          <w:rFonts w:ascii="Calibri" w:cs="Calibri" w:eastAsia="Calibri" w:hAnsi="Calibri"/>
          <w:color w:val="444444"/>
          <w:sz w:val="22"/>
          <w:szCs w:val="22"/>
        </w:rPr>
        <w:t xml:space="preserve">The Communication Runbook applies the Three Tests to client communications and defines who approves client-facing messages above a defined sensitivity threshold. It ensures that communication discipline is maintained even under time pressure.</w:t>
      </w:r>
    </w:p>
    <w:p>
      <w:pPr>
        <w:spacing w:after="120" w:before="120"/>
      </w:pPr>
    </w:p>
    <w:p>
      <w:pPr>
        <w:pStyle w:val="Heading3"/>
        <w:spacing w:after="60" w:before="200"/>
      </w:pPr>
      <w:r>
        <w:rPr>
          <w:rFonts w:ascii="Calibri" w:cs="Calibri" w:eastAsia="Calibri" w:hAnsi="Calibri"/>
          <w:b/>
          <w:bCs/>
          <w:color w:val="1C1C1C"/>
          <w:sz w:val="22"/>
          <w:szCs w:val="22"/>
        </w:rPr>
        <w:t xml:space="preserve">Communication Sensitivity Levels</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15%"/>
            <w:tcBorders>
              <w:bottom w:val="single" w:color="FF6200" w:sz="4"/>
            </w:tcBorders>
            <w:shd w:fill="1C1C1C" w:val="clear"/>
          </w:tcPr>
          <w:p>
            <w:r>
              <w:rPr>
                <w:rFonts w:ascii="Calibri" w:cs="Calibri" w:eastAsia="Calibri" w:hAnsi="Calibri"/>
                <w:b/>
                <w:bCs/>
                <w:color w:val="FFFFFF"/>
                <w:sz w:val="18"/>
                <w:szCs w:val="18"/>
              </w:rPr>
              <w:t xml:space="preserve">Level</w:t>
            </w:r>
          </w:p>
        </w:tc>
        <w:tc>
          <w:tcPr>
            <w:tcW w:type="pct" w:w="35%"/>
            <w:tcBorders>
              <w:bottom w:val="single" w:color="FF6200" w:sz="4"/>
            </w:tcBorders>
            <w:shd w:fill="1C1C1C" w:val="clear"/>
          </w:tcPr>
          <w:p>
            <w:r>
              <w:rPr>
                <w:rFonts w:ascii="Calibri" w:cs="Calibri" w:eastAsia="Calibri" w:hAnsi="Calibri"/>
                <w:b/>
                <w:bCs/>
                <w:color w:val="FFFFFF"/>
                <w:sz w:val="18"/>
                <w:szCs w:val="18"/>
              </w:rPr>
              <w:t xml:space="preserve">Communication Type</w:t>
            </w:r>
          </w:p>
        </w:tc>
        <w:tc>
          <w:tcPr>
            <w:tcW w:type="pct" w:w="22%"/>
            <w:tcBorders>
              <w:bottom w:val="single" w:color="FF6200" w:sz="4"/>
            </w:tcBorders>
            <w:shd w:fill="1C1C1C" w:val="clear"/>
          </w:tcPr>
          <w:p>
            <w:r>
              <w:rPr>
                <w:rFonts w:ascii="Calibri" w:cs="Calibri" w:eastAsia="Calibri" w:hAnsi="Calibri"/>
                <w:b/>
                <w:bCs/>
                <w:color w:val="FFFFFF"/>
                <w:sz w:val="18"/>
                <w:szCs w:val="18"/>
              </w:rPr>
              <w:t xml:space="preserve">Three Tests Required?</w:t>
            </w:r>
          </w:p>
        </w:tc>
        <w:tc>
          <w:tcPr>
            <w:tcW w:type="pct" w:w="28%"/>
            <w:tcBorders>
              <w:bottom w:val="single" w:color="FF6200" w:sz="4"/>
            </w:tcBorders>
            <w:shd w:fill="1C1C1C" w:val="clear"/>
          </w:tcPr>
          <w:p>
            <w:r>
              <w:rPr>
                <w:rFonts w:ascii="Calibri" w:cs="Calibri" w:eastAsia="Calibri" w:hAnsi="Calibri"/>
                <w:b/>
                <w:bCs/>
                <w:color w:val="FFFFFF"/>
                <w:sz w:val="18"/>
                <w:szCs w:val="18"/>
              </w:rPr>
              <w:t xml:space="preserve">Approval Required?</w:t>
            </w:r>
          </w:p>
        </w:tc>
      </w:tr>
      <w:tr>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Level 1 — Routine</w:t>
            </w:r>
          </w:p>
        </w:tc>
        <w:tc>
          <w:tcPr>
            <w:tcW w:type="pct" w:w="3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Status updates, scheduling, routine check-ins</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Yes — all three tests</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Self-approval (Engagement Lead or practitioner)</w:t>
            </w:r>
          </w:p>
        </w:tc>
      </w:tr>
      <w:tr>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Level 2 — Significant</w:t>
            </w:r>
          </w:p>
        </w:tc>
        <w:tc>
          <w:tcPr>
            <w:tcW w:type="pct" w:w="3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Risk notifications, scope changes, timeline updates, milestone communications</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Yes — all three tests</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Engagement Lead review before send</w:t>
            </w:r>
          </w:p>
        </w:tc>
      </w:tr>
      <w:tr>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Level 3 — High Stakes</w:t>
            </w:r>
          </w:p>
        </w:tc>
        <w:tc>
          <w:tcPr>
            <w:tcW w:type="pct" w:w="3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Escalation notices, client complaints, executive communications, engagement close communications</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Yes — all three tests</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 Lead + Program Lead review before send</w:t>
            </w:r>
          </w:p>
        </w:tc>
      </w:tr>
    </w:tbl>
    <w:p>
      <w:pPr>
        <w:spacing w:after="120" w:before="120"/>
      </w:pPr>
    </w:p>
    <w:p>
      <w:pPr>
        <w:pStyle w:val="Heading3"/>
        <w:spacing w:after="60" w:before="200"/>
      </w:pPr>
      <w:r>
        <w:rPr>
          <w:rFonts w:ascii="Calibri" w:cs="Calibri" w:eastAsia="Calibri" w:hAnsi="Calibri"/>
          <w:b/>
          <w:bCs/>
          <w:color w:val="1C1C1C"/>
          <w:sz w:val="22"/>
          <w:szCs w:val="22"/>
        </w:rPr>
        <w:t xml:space="preserve">Pre-Send Review Protocol</w:t>
      </w:r>
    </w:p>
    <w:p>
      <w:pPr>
        <w:pStyle w:val="ListParagraph"/>
        <w:numPr>
          <w:ilvl w:val="0"/>
          <w:numId w:val="2"/>
        </w:numPr>
        <w:spacing w:after="40" w:before="40"/>
      </w:pPr>
      <w:r>
        <w:rPr>
          <w:rFonts w:ascii="Calibri" w:cs="Calibri" w:eastAsia="Calibri" w:hAnsi="Calibri"/>
          <w:color w:val="444444"/>
          <w:sz w:val="22"/>
          <w:szCs w:val="22"/>
        </w:rPr>
        <w:t xml:space="preserve">Draft the communication.</w:t>
      </w:r>
    </w:p>
    <w:p>
      <w:pPr>
        <w:pStyle w:val="ListParagraph"/>
        <w:numPr>
          <w:ilvl w:val="0"/>
          <w:numId w:val="2"/>
        </w:numPr>
        <w:spacing w:after="40" w:before="40"/>
      </w:pPr>
      <w:r>
        <w:rPr>
          <w:rFonts w:ascii="Calibri" w:cs="Calibri" w:eastAsia="Calibri" w:hAnsi="Calibri"/>
          <w:color w:val="444444"/>
          <w:sz w:val="22"/>
          <w:szCs w:val="22"/>
        </w:rPr>
        <w:t xml:space="preserve">Apply Test 1 (Repeat-Back): Read the communication as if you are the client. Could you accurately restate the key content in your own words? If no — rewrite.</w:t>
      </w:r>
    </w:p>
    <w:p>
      <w:pPr>
        <w:pStyle w:val="ListParagraph"/>
        <w:numPr>
          <w:ilvl w:val="0"/>
          <w:numId w:val="2"/>
        </w:numPr>
        <w:spacing w:after="40" w:before="40"/>
      </w:pPr>
      <w:r>
        <w:rPr>
          <w:rFonts w:ascii="Calibri" w:cs="Calibri" w:eastAsia="Calibri" w:hAnsi="Calibri"/>
          <w:color w:val="444444"/>
          <w:sz w:val="22"/>
          <w:szCs w:val="22"/>
        </w:rPr>
        <w:t xml:space="preserve">Apply Test 2 (Stakes): Does the communication explicitly state what the client needs to do, decide, or know — and what happens if they don't? If no — rewrite.</w:t>
      </w:r>
    </w:p>
    <w:p>
      <w:pPr>
        <w:pStyle w:val="ListParagraph"/>
        <w:numPr>
          <w:ilvl w:val="0"/>
          <w:numId w:val="2"/>
        </w:numPr>
        <w:spacing w:after="40" w:before="40"/>
      </w:pPr>
      <w:r>
        <w:rPr>
          <w:rFonts w:ascii="Calibri" w:cs="Calibri" w:eastAsia="Calibri" w:hAnsi="Calibri"/>
          <w:color w:val="444444"/>
          <w:sz w:val="22"/>
          <w:szCs w:val="22"/>
        </w:rPr>
        <w:t xml:space="preserve">Apply Test 3 (Next-Step): Does the communication end with a specific next step — who does what, by when, and what the client will hear next? If no — rewrite.</w:t>
      </w:r>
    </w:p>
    <w:p>
      <w:pPr>
        <w:pStyle w:val="ListParagraph"/>
        <w:numPr>
          <w:ilvl w:val="0"/>
          <w:numId w:val="2"/>
        </w:numPr>
        <w:spacing w:after="40" w:before="40"/>
      </w:pPr>
      <w:r>
        <w:rPr>
          <w:rFonts w:ascii="Calibri" w:cs="Calibri" w:eastAsia="Calibri" w:hAnsi="Calibri"/>
          <w:color w:val="444444"/>
          <w:sz w:val="22"/>
          <w:szCs w:val="22"/>
        </w:rPr>
        <w:t xml:space="preserve">If all three tests pass — send (or route for approval per sensitivity level).</w:t>
      </w:r>
    </w:p>
    <w:p>
      <w:pPr>
        <w:pStyle w:val="ListParagraph"/>
        <w:numPr>
          <w:ilvl w:val="0"/>
          <w:numId w:val="2"/>
        </w:numPr>
        <w:spacing w:after="40" w:before="40"/>
      </w:pPr>
      <w:r>
        <w:rPr>
          <w:rFonts w:ascii="Calibri" w:cs="Calibri" w:eastAsia="Calibri" w:hAnsi="Calibri"/>
          <w:color w:val="444444"/>
          <w:sz w:val="22"/>
          <w:szCs w:val="22"/>
        </w:rPr>
        <w:t xml:space="preserve">If any test fails — rewrite and repeat from Step 2.</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No Exceptions: </w:t>
      </w:r>
      <w:r>
        <w:rPr>
          <w:rFonts w:ascii="Calibri" w:cs="Calibri" w:eastAsia="Calibri" w:hAnsi="Calibri"/>
          <w:color w:val="1C1C1C"/>
          <w:sz w:val="21"/>
          <w:szCs w:val="21"/>
        </w:rPr>
        <w:t xml:space="preserve">The pre-send review applies to every client-facing communication — major or minor. A routine scheduling email that fails the Next-Step Test is rewritten before send. The standard does not scale with the perceived importance of the communication.</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Runbook 3 — Handoff Runbook</w:t>
      </w:r>
    </w:p>
    <w:p>
      <w:pPr>
        <w:spacing w:after="80" w:before="60"/>
      </w:pPr>
      <w:r>
        <w:rPr>
          <w:rFonts w:ascii="Calibri" w:cs="Calibri" w:eastAsia="Calibri" w:hAnsi="Calibri"/>
          <w:color w:val="444444"/>
          <w:sz w:val="22"/>
          <w:szCs w:val="22"/>
        </w:rPr>
        <w:t xml:space="preserve">The Handoff Runbook governs how engagement ownership transitions between team members or between project phases without losing the client's accumulated trust context. A handoff that the client experiences as a disruption is a trust event — and not a positive one.</w:t>
      </w:r>
    </w:p>
    <w:p>
      <w:pPr>
        <w:spacing w:after="120" w:before="120"/>
      </w:pPr>
    </w:p>
    <w:p>
      <w:pPr>
        <w:pStyle w:val="Heading3"/>
        <w:spacing w:after="60" w:before="200"/>
      </w:pPr>
      <w:r>
        <w:rPr>
          <w:rFonts w:ascii="Calibri" w:cs="Calibri" w:eastAsia="Calibri" w:hAnsi="Calibri"/>
          <w:b/>
          <w:bCs/>
          <w:color w:val="1C1C1C"/>
          <w:sz w:val="22"/>
          <w:szCs w:val="22"/>
        </w:rPr>
        <w:t xml:space="preserve">Handoff Trigger Conditions</w:t>
      </w:r>
    </w:p>
    <w:p>
      <w:pPr>
        <w:pStyle w:val="ListParagraph"/>
        <w:numPr>
          <w:ilvl w:val="0"/>
          <w:numId w:val="1"/>
        </w:numPr>
        <w:spacing w:after="40" w:before="40"/>
      </w:pPr>
      <w:r>
        <w:rPr>
          <w:rFonts w:ascii="Calibri" w:cs="Calibri" w:eastAsia="Calibri" w:hAnsi="Calibri"/>
          <w:color w:val="444444"/>
          <w:sz w:val="22"/>
          <w:szCs w:val="22"/>
        </w:rPr>
        <w:t xml:space="preserve">Team member transition — a practitioner leaves the engagement or the organization</w:t>
      </w:r>
    </w:p>
    <w:p>
      <w:pPr>
        <w:pStyle w:val="ListParagraph"/>
        <w:numPr>
          <w:ilvl w:val="0"/>
          <w:numId w:val="1"/>
        </w:numPr>
        <w:spacing w:after="40" w:before="40"/>
      </w:pPr>
      <w:r>
        <w:rPr>
          <w:rFonts w:ascii="Calibri" w:cs="Calibri" w:eastAsia="Calibri" w:hAnsi="Calibri"/>
          <w:color w:val="444444"/>
          <w:sz w:val="22"/>
          <w:szCs w:val="22"/>
        </w:rPr>
        <w:t xml:space="preserve">Phase transition — the engagement moves from one phase to another with a different lead</w:t>
      </w:r>
    </w:p>
    <w:p>
      <w:pPr>
        <w:pStyle w:val="ListParagraph"/>
        <w:numPr>
          <w:ilvl w:val="0"/>
          <w:numId w:val="1"/>
        </w:numPr>
        <w:spacing w:after="40" w:before="40"/>
      </w:pPr>
      <w:r>
        <w:rPr>
          <w:rFonts w:ascii="Calibri" w:cs="Calibri" w:eastAsia="Calibri" w:hAnsi="Calibri"/>
          <w:color w:val="444444"/>
          <w:sz w:val="22"/>
          <w:szCs w:val="22"/>
        </w:rPr>
        <w:t xml:space="preserve">Escalation handoff — ownership transfers to a more senior practitioner during an escalation</w:t>
      </w:r>
    </w:p>
    <w:p>
      <w:pPr>
        <w:pStyle w:val="ListParagraph"/>
        <w:numPr>
          <w:ilvl w:val="0"/>
          <w:numId w:val="1"/>
        </w:numPr>
        <w:spacing w:after="40" w:before="40"/>
      </w:pPr>
      <w:r>
        <w:rPr>
          <w:rFonts w:ascii="Calibri" w:cs="Calibri" w:eastAsia="Calibri" w:hAnsi="Calibri"/>
          <w:color w:val="444444"/>
          <w:sz w:val="22"/>
          <w:szCs w:val="22"/>
        </w:rPr>
        <w:t xml:space="preserve">Engagement close — ownership transfers to account management or client success</w:t>
      </w:r>
    </w:p>
    <w:p>
      <w:pPr>
        <w:spacing w:after="120" w:before="120"/>
      </w:pPr>
    </w:p>
    <w:p>
      <w:pPr>
        <w:pStyle w:val="Heading3"/>
        <w:spacing w:after="60" w:before="200"/>
      </w:pPr>
      <w:r>
        <w:rPr>
          <w:rFonts w:ascii="Calibri" w:cs="Calibri" w:eastAsia="Calibri" w:hAnsi="Calibri"/>
          <w:b/>
          <w:bCs/>
          <w:color w:val="1C1C1C"/>
          <w:sz w:val="22"/>
          <w:szCs w:val="22"/>
        </w:rPr>
        <w:t xml:space="preserve">Six-Step Handoff Sequence</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10%"/>
            <w:tcBorders>
              <w:bottom w:val="single" w:color="FF6200" w:sz="4"/>
            </w:tcBorders>
            <w:shd w:fill="1C1C1C" w:val="clear"/>
          </w:tcPr>
          <w:p>
            <w:r>
              <w:rPr>
                <w:rFonts w:ascii="Calibri" w:cs="Calibri" w:eastAsia="Calibri" w:hAnsi="Calibri"/>
                <w:b/>
                <w:bCs/>
                <w:color w:val="FFFFFF"/>
                <w:sz w:val="18"/>
                <w:szCs w:val="18"/>
              </w:rPr>
              <w:t xml:space="preserve">Step</w:t>
            </w:r>
          </w:p>
        </w:tc>
        <w:tc>
          <w:tcPr>
            <w:tcW w:type="pct" w:w="45%"/>
            <w:tcBorders>
              <w:bottom w:val="single" w:color="FF6200" w:sz="4"/>
            </w:tcBorders>
            <w:shd w:fill="1C1C1C" w:val="clear"/>
          </w:tcPr>
          <w:p>
            <w:r>
              <w:rPr>
                <w:rFonts w:ascii="Calibri" w:cs="Calibri" w:eastAsia="Calibri" w:hAnsi="Calibri"/>
                <w:b/>
                <w:bCs/>
                <w:color w:val="FFFFFF"/>
                <w:sz w:val="18"/>
                <w:szCs w:val="18"/>
              </w:rPr>
              <w:t xml:space="preserve">Action</w:t>
            </w:r>
          </w:p>
        </w:tc>
        <w:tc>
          <w:tcPr>
            <w:tcW w:type="pct" w:w="22%"/>
            <w:tcBorders>
              <w:bottom w:val="single" w:color="FF6200" w:sz="4"/>
            </w:tcBorders>
            <w:shd w:fill="1C1C1C" w:val="clear"/>
          </w:tcPr>
          <w:p>
            <w:r>
              <w:rPr>
                <w:rFonts w:ascii="Calibri" w:cs="Calibri" w:eastAsia="Calibri" w:hAnsi="Calibri"/>
                <w:b/>
                <w:bCs/>
                <w:color w:val="FFFFFF"/>
                <w:sz w:val="18"/>
                <w:szCs w:val="18"/>
              </w:rPr>
              <w:t xml:space="preserve">Timeline</w:t>
            </w:r>
          </w:p>
        </w:tc>
        <w:tc>
          <w:tcPr>
            <w:tcW w:type="pct" w:w="23%"/>
            <w:tcBorders>
              <w:bottom w:val="single" w:color="FF6200" w:sz="4"/>
            </w:tcBorders>
            <w:shd w:fill="1C1C1C" w:val="clear"/>
          </w:tcPr>
          <w:p>
            <w:r>
              <w:rPr>
                <w:rFonts w:ascii="Calibri" w:cs="Calibri" w:eastAsia="Calibri" w:hAnsi="Calibri"/>
                <w:b/>
                <w:bCs/>
                <w:color w:val="FFFFFF"/>
                <w:sz w:val="18"/>
                <w:szCs w:val="18"/>
              </w:rPr>
              <w:t xml:space="preserve">Owner</w:t>
            </w:r>
          </w:p>
        </w:tc>
      </w:tr>
      <w:tr>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Step 1</w:t>
            </w:r>
          </w:p>
        </w:tc>
        <w:tc>
          <w:tcPr>
            <w:tcW w:type="pct" w:w="4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Outgoing owner documents current state — open issues, client relationship context, outstanding commitments, known risks, and the client's current trust level assessment.</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Minimum 5 business days before handoff</w:t>
            </w:r>
          </w:p>
        </w:tc>
        <w:tc>
          <w:tcPr>
            <w:tcW w:type="pct" w:w="23%"/>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Outgoing Outcome Owner</w:t>
            </w:r>
          </w:p>
        </w:tc>
      </w:tr>
      <w:tr>
        <w:tc>
          <w:tcPr>
            <w:tcW w:type="pct" w:w="1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Step 2</w:t>
            </w:r>
          </w:p>
        </w:tc>
        <w:tc>
          <w:tcPr>
            <w:tcW w:type="pct" w:w="4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Incoming owner briefed — minimum 30-minute structured briefing covering all documented current state. Incoming owner confirms understanding in writing.</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Minimum 3 business days before handoff</w:t>
            </w:r>
          </w:p>
        </w:tc>
        <w:tc>
          <w:tcPr>
            <w:tcW w:type="pct" w:w="23%"/>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Outgoing Outcome Owner</w:t>
            </w:r>
          </w:p>
        </w:tc>
      </w:tr>
      <w:tr>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Step 3</w:t>
            </w:r>
          </w:p>
        </w:tc>
        <w:tc>
          <w:tcPr>
            <w:tcW w:type="pct" w:w="4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Client introduction — outgoing owner introduces incoming owner to the client personally: email, call, or meeting. Both names appear in the same communication.</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Minimum 2 business days before handoff</w:t>
            </w:r>
          </w:p>
        </w:tc>
        <w:tc>
          <w:tcPr>
            <w:tcW w:type="pct" w:w="23%"/>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Outgoing Outcome Owner</w:t>
            </w:r>
          </w:p>
        </w:tc>
      </w:tr>
      <w:tr>
        <w:tc>
          <w:tcPr>
            <w:tcW w:type="pct" w:w="1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Step 4</w:t>
            </w:r>
          </w:p>
        </w:tc>
        <w:tc>
          <w:tcPr>
            <w:tcW w:type="pct" w:w="4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Incoming owner confirms receipt — written confirmation to the outgoing owner and Engagement Lead that they have received the full current state and are ready to assume ownership.</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Day of handoff</w:t>
            </w:r>
          </w:p>
        </w:tc>
        <w:tc>
          <w:tcPr>
            <w:tcW w:type="pct" w:w="23%"/>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Incoming Outcome Owner</w:t>
            </w:r>
          </w:p>
        </w:tc>
      </w:tr>
      <w:tr>
        <w:tc>
          <w:tcPr>
            <w:tcW w:type="pct" w:w="1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Step 5</w:t>
            </w:r>
          </w:p>
        </w:tc>
        <w:tc>
          <w:tcPr>
            <w:tcW w:type="pct" w:w="4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Client confirmation — incoming owner sends a direct communication to the client confirming they are now the named Outcome Owner and providing their contact information.</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Day of handoff</w:t>
            </w:r>
          </w:p>
        </w:tc>
        <w:tc>
          <w:tcPr>
            <w:tcW w:type="pct" w:w="23%"/>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Incoming Outcome Owner</w:t>
            </w:r>
          </w:p>
        </w:tc>
      </w:tr>
      <w:tr>
        <w:tc>
          <w:tcPr>
            <w:tcW w:type="pct" w:w="1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Step 6</w:t>
            </w:r>
          </w:p>
        </w:tc>
        <w:tc>
          <w:tcPr>
            <w:tcW w:type="pct" w:w="4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Handoff documented — full handoff record filed in the engagement record, including all documentation, briefing notes, and client communications.</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Within 24 hours of handoff</w:t>
            </w:r>
          </w:p>
        </w:tc>
        <w:tc>
          <w:tcPr>
            <w:tcW w:type="pct" w:w="23%"/>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Engagement Lead</w:t>
            </w:r>
          </w:p>
        </w:tc>
      </w:tr>
    </w:tbl>
    <w:p>
      <w:pPr>
        <w:spacing w:after="120" w:before="120"/>
      </w:pPr>
    </w:p>
    <w:p>
      <w:pPr>
        <w:pStyle w:val="Heading3"/>
        <w:spacing w:after="60" w:before="200"/>
      </w:pPr>
      <w:r>
        <w:rPr>
          <w:rFonts w:ascii="Calibri" w:cs="Calibri" w:eastAsia="Calibri" w:hAnsi="Calibri"/>
          <w:b/>
          <w:bCs/>
          <w:color w:val="1C1C1C"/>
          <w:sz w:val="22"/>
          <w:szCs w:val="22"/>
        </w:rPr>
        <w:t xml:space="preserve">Client Handoff Communication Template</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Subject: [Engagement Name] — Your Updated Point of Contact
Dear [Client Name],
I want to make sure you have the most current information about your engagement team.
[Outgoing Owner Name] has been your primary contact for [Engagement Name]. Effective [date], [Incoming Owner Name] will be your named Outcome Owner for this engagement.
[Incoming Owner Name] has been fully briefed on your engagement, your priorities, and all open items. They are ready to continue without interruption to your experience.
[Incoming Owner Name] can be reached at [email] | [phone].
I will remain available during the transition period. Please don't hesitate to reach out to either of us.
[Outgoing Owner Name]</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Runbook 4 — Incident Response Runbook</w:t>
      </w:r>
    </w:p>
    <w:p>
      <w:pPr>
        <w:spacing w:after="80" w:before="60"/>
      </w:pPr>
      <w:r>
        <w:rPr>
          <w:rFonts w:ascii="Calibri" w:cs="Calibri" w:eastAsia="Calibri" w:hAnsi="Calibri"/>
          <w:color w:val="444444"/>
          <w:sz w:val="22"/>
          <w:szCs w:val="22"/>
        </w:rPr>
        <w:t xml:space="preserve">The Incident Response Runbook defines the structured response to delivery incidents that carry client relationship risk. It covers the communication sequence, the Outcome Owner assignment, and the post-incident review process.</w:t>
      </w:r>
    </w:p>
    <w:p>
      <w:pPr>
        <w:spacing w:after="120" w:before="120"/>
      </w:pPr>
    </w:p>
    <w:p>
      <w:pPr>
        <w:pStyle w:val="Heading3"/>
        <w:spacing w:after="60" w:before="200"/>
      </w:pPr>
      <w:r>
        <w:rPr>
          <w:rFonts w:ascii="Calibri" w:cs="Calibri" w:eastAsia="Calibri" w:hAnsi="Calibri"/>
          <w:b/>
          <w:bCs/>
          <w:color w:val="1C1C1C"/>
          <w:sz w:val="22"/>
          <w:szCs w:val="22"/>
        </w:rPr>
        <w:t xml:space="preserve">Incident Classification</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18%"/>
            <w:tcBorders>
              <w:bottom w:val="single" w:color="FF6200" w:sz="4"/>
            </w:tcBorders>
            <w:shd w:fill="1C1C1C" w:val="clear"/>
          </w:tcPr>
          <w:p>
            <w:r>
              <w:rPr>
                <w:rFonts w:ascii="Calibri" w:cs="Calibri" w:eastAsia="Calibri" w:hAnsi="Calibri"/>
                <w:b/>
                <w:bCs/>
                <w:color w:val="FFFFFF"/>
                <w:sz w:val="18"/>
                <w:szCs w:val="18"/>
              </w:rPr>
              <w:t xml:space="preserve">Classification</w:t>
            </w:r>
          </w:p>
        </w:tc>
        <w:tc>
          <w:tcPr>
            <w:tcW w:type="pct" w:w="40%"/>
            <w:tcBorders>
              <w:bottom w:val="single" w:color="FF6200" w:sz="4"/>
            </w:tcBorders>
            <w:shd w:fill="1C1C1C" w:val="clear"/>
          </w:tcPr>
          <w:p>
            <w:r>
              <w:rPr>
                <w:rFonts w:ascii="Calibri" w:cs="Calibri" w:eastAsia="Calibri" w:hAnsi="Calibri"/>
                <w:b/>
                <w:bCs/>
                <w:color w:val="FFFFFF"/>
                <w:sz w:val="18"/>
                <w:szCs w:val="18"/>
              </w:rPr>
              <w:t xml:space="preserve">Definition</w:t>
            </w:r>
          </w:p>
        </w:tc>
        <w:tc>
          <w:tcPr>
            <w:tcW w:type="pct" w:w="25%"/>
            <w:tcBorders>
              <w:bottom w:val="single" w:color="FF6200" w:sz="4"/>
            </w:tcBorders>
            <w:shd w:fill="1C1C1C" w:val="clear"/>
          </w:tcPr>
          <w:p>
            <w:r>
              <w:rPr>
                <w:rFonts w:ascii="Calibri" w:cs="Calibri" w:eastAsia="Calibri" w:hAnsi="Calibri"/>
                <w:b/>
                <w:bCs/>
                <w:color w:val="FFFFFF"/>
                <w:sz w:val="18"/>
                <w:szCs w:val="18"/>
              </w:rPr>
              <w:t xml:space="preserve">Response Timeline</w:t>
            </w:r>
          </w:p>
        </w:tc>
        <w:tc>
          <w:tcPr>
            <w:tcW w:type="pct" w:w="17%"/>
            <w:tcBorders>
              <w:bottom w:val="single" w:color="FF6200" w:sz="4"/>
            </w:tcBorders>
            <w:shd w:fill="1C1C1C" w:val="clear"/>
          </w:tcPr>
          <w:p>
            <w:r>
              <w:rPr>
                <w:rFonts w:ascii="Calibri" w:cs="Calibri" w:eastAsia="Calibri" w:hAnsi="Calibri"/>
                <w:b/>
                <w:bCs/>
                <w:color w:val="FFFFFF"/>
                <w:sz w:val="18"/>
                <w:szCs w:val="18"/>
              </w:rPr>
              <w:t xml:space="preserve">Escalation Required?</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P1 — Critical</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Incident that materially impacts the client's business operations, creates significant trust risk, or involves a breach of a Non-Negotiable Commitment.</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Client notification within 1 hour. Program Lead notified immediately.</w:t>
            </w:r>
          </w:p>
        </w:tc>
        <w:tc>
          <w:tcPr>
            <w:tcW w:type="pct" w:w="1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Yes — Program Lead and Senior Leadership</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P2 — Significant</w:t>
            </w:r>
          </w:p>
        </w:tc>
        <w:tc>
          <w:tcPr>
            <w:tcW w:type="pct" w:w="4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Incident that impacts delivery quality, timeline, or client experience but does not rise to P1 level. Amber flag conditions met.</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Client notification within 4 hours. Engagement Lead owns response.</w:t>
            </w:r>
          </w:p>
        </w:tc>
        <w:tc>
          <w:tcPr>
            <w:tcW w:type="pct" w:w="17%"/>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Yes — Program Lead informed</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P3 — Minor</w:t>
            </w:r>
          </w:p>
        </w:tc>
        <w:tc>
          <w:tcPr>
            <w:tcW w:type="pct" w:w="4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Incident that is contained within the delivery team and does not directly impact the client experience. Green flag maintained.</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Internal resolution within 24 hours. Client notification if client-visible.</w:t>
            </w:r>
          </w:p>
        </w:tc>
        <w:tc>
          <w:tcPr>
            <w:tcW w:type="pct" w:w="17%"/>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No — Engagement Lead owns response</w:t>
            </w:r>
          </w:p>
        </w:tc>
      </w:tr>
    </w:tbl>
    <w:p>
      <w:pPr>
        <w:spacing w:after="120" w:before="120"/>
      </w:pPr>
    </w:p>
    <w:p>
      <w:pPr>
        <w:pStyle w:val="Heading3"/>
        <w:spacing w:after="60" w:before="200"/>
      </w:pPr>
      <w:r>
        <w:rPr>
          <w:rFonts w:ascii="Calibri" w:cs="Calibri" w:eastAsia="Calibri" w:hAnsi="Calibri"/>
          <w:b/>
          <w:bCs/>
          <w:color w:val="1C1C1C"/>
          <w:sz w:val="22"/>
          <w:szCs w:val="22"/>
        </w:rPr>
        <w:t xml:space="preserve">Incident Response Sequence</w:t>
      </w:r>
    </w:p>
    <w:p>
      <w:pPr>
        <w:pStyle w:val="ListParagraph"/>
        <w:numPr>
          <w:ilvl w:val="0"/>
          <w:numId w:val="2"/>
        </w:numPr>
        <w:spacing w:after="40" w:before="40"/>
      </w:pPr>
      <w:r>
        <w:rPr>
          <w:rFonts w:ascii="Calibri" w:cs="Calibri" w:eastAsia="Calibri" w:hAnsi="Calibri"/>
          <w:color w:val="444444"/>
          <w:sz w:val="22"/>
          <w:szCs w:val="22"/>
        </w:rPr>
        <w:t xml:space="preserve">Classify the incident (P1/P2/P3) — within 30 minutes of identification.</w:t>
      </w:r>
    </w:p>
    <w:p>
      <w:pPr>
        <w:pStyle w:val="ListParagraph"/>
        <w:numPr>
          <w:ilvl w:val="0"/>
          <w:numId w:val="2"/>
        </w:numPr>
        <w:spacing w:after="40" w:before="40"/>
      </w:pPr>
      <w:r>
        <w:rPr>
          <w:rFonts w:ascii="Calibri" w:cs="Calibri" w:eastAsia="Calibri" w:hAnsi="Calibri"/>
          <w:color w:val="444444"/>
          <w:sz w:val="22"/>
          <w:szCs w:val="22"/>
        </w:rPr>
        <w:t xml:space="preserve">Confirm the Outcome Owner — one named person owns the incident response from this point forward.</w:t>
      </w:r>
    </w:p>
    <w:p>
      <w:pPr>
        <w:pStyle w:val="ListParagraph"/>
        <w:numPr>
          <w:ilvl w:val="0"/>
          <w:numId w:val="2"/>
        </w:numPr>
        <w:spacing w:after="40" w:before="40"/>
      </w:pPr>
      <w:r>
        <w:rPr>
          <w:rFonts w:ascii="Calibri" w:cs="Calibri" w:eastAsia="Calibri" w:hAnsi="Calibri"/>
          <w:color w:val="444444"/>
          <w:sz w:val="22"/>
          <w:szCs w:val="22"/>
        </w:rPr>
        <w:t xml:space="preserve">Notify the client (P1: within 1 hour; P2: within 4 hours; P3: if client-visible, within 24 hours) — use the Escalation Communication Template from Runbook 1.</w:t>
      </w:r>
    </w:p>
    <w:p>
      <w:pPr>
        <w:pStyle w:val="ListParagraph"/>
        <w:numPr>
          <w:ilvl w:val="0"/>
          <w:numId w:val="2"/>
        </w:numPr>
        <w:spacing w:after="40" w:before="40"/>
      </w:pPr>
      <w:r>
        <w:rPr>
          <w:rFonts w:ascii="Calibri" w:cs="Calibri" w:eastAsia="Calibri" w:hAnsi="Calibri"/>
          <w:color w:val="444444"/>
          <w:sz w:val="22"/>
          <w:szCs w:val="22"/>
        </w:rPr>
        <w:t xml:space="preserve">Notify the Program Lead (P1: immediately; P2: within 2 hours; P3: at next Signal Review).</w:t>
      </w:r>
    </w:p>
    <w:p>
      <w:pPr>
        <w:pStyle w:val="ListParagraph"/>
        <w:numPr>
          <w:ilvl w:val="0"/>
          <w:numId w:val="2"/>
        </w:numPr>
        <w:spacing w:after="40" w:before="40"/>
      </w:pPr>
      <w:r>
        <w:rPr>
          <w:rFonts w:ascii="Calibri" w:cs="Calibri" w:eastAsia="Calibri" w:hAnsi="Calibri"/>
          <w:color w:val="444444"/>
          <w:sz w:val="22"/>
          <w:szCs w:val="22"/>
        </w:rPr>
        <w:t xml:space="preserve">Document the resolution path — specific actions, owners, and committed dates.</w:t>
      </w:r>
    </w:p>
    <w:p>
      <w:pPr>
        <w:pStyle w:val="ListParagraph"/>
        <w:numPr>
          <w:ilvl w:val="0"/>
          <w:numId w:val="2"/>
        </w:numPr>
        <w:spacing w:after="40" w:before="40"/>
      </w:pPr>
      <w:r>
        <w:rPr>
          <w:rFonts w:ascii="Calibri" w:cs="Calibri" w:eastAsia="Calibri" w:hAnsi="Calibri"/>
          <w:color w:val="444444"/>
          <w:sz w:val="22"/>
          <w:szCs w:val="22"/>
        </w:rPr>
        <w:t xml:space="preserve">Provide client updates at every checkpoint — minimum every 4 hours for P1, every 24 hours for P2.</w:t>
      </w:r>
    </w:p>
    <w:p>
      <w:pPr>
        <w:pStyle w:val="ListParagraph"/>
        <w:numPr>
          <w:ilvl w:val="0"/>
          <w:numId w:val="2"/>
        </w:numPr>
        <w:spacing w:after="40" w:before="40"/>
      </w:pPr>
      <w:r>
        <w:rPr>
          <w:rFonts w:ascii="Calibri" w:cs="Calibri" w:eastAsia="Calibri" w:hAnsi="Calibri"/>
          <w:color w:val="444444"/>
          <w:sz w:val="22"/>
          <w:szCs w:val="22"/>
        </w:rPr>
        <w:t xml:space="preserve">Resolve the incident — confirm resolution with the client in writing.</w:t>
      </w:r>
    </w:p>
    <w:p>
      <w:pPr>
        <w:pStyle w:val="ListParagraph"/>
        <w:numPr>
          <w:ilvl w:val="0"/>
          <w:numId w:val="2"/>
        </w:numPr>
        <w:spacing w:after="40" w:before="40"/>
      </w:pPr>
      <w:r>
        <w:rPr>
          <w:rFonts w:ascii="Calibri" w:cs="Calibri" w:eastAsia="Calibri" w:hAnsi="Calibri"/>
          <w:color w:val="444444"/>
          <w:sz w:val="22"/>
          <w:szCs w:val="22"/>
        </w:rPr>
        <w:t xml:space="preserve">Conduct post-incident review within 72 hours — use the Post-Escalation Review Template from Runbook 1.</w:t>
      </w:r>
    </w:p>
    <w:p>
      <w:pPr>
        <w:spacing w:after="120" w:before="120"/>
      </w:pPr>
    </w:p>
    <w:p>
      <w:pPr>
        <w:pBdr>
          <w:left w:val="single" w:color="2E7D32" w:sz="16" w:space="8"/>
        </w:pBdr>
        <w:shd w:fill="E8F5E9" w:val="clear"/>
        <w:spacing w:after="120" w:before="120"/>
        <w:ind w:left="360" w:right="360"/>
      </w:pPr>
      <w:r>
        <w:rPr>
          <w:rFonts w:ascii="Calibri" w:cs="Calibri" w:eastAsia="Calibri" w:hAnsi="Calibri"/>
          <w:b/>
          <w:bCs/>
          <w:color w:val="1C1C1C"/>
          <w:sz w:val="21"/>
          <w:szCs w:val="21"/>
        </w:rPr>
        <w:t xml:space="preserve">Trust Recovery Principle: </w:t>
      </w:r>
      <w:r>
        <w:rPr>
          <w:rFonts w:ascii="Calibri" w:cs="Calibri" w:eastAsia="Calibri" w:hAnsi="Calibri"/>
          <w:color w:val="1C1C1C"/>
          <w:sz w:val="21"/>
          <w:szCs w:val="21"/>
        </w:rPr>
        <w:t xml:space="preserve">An incident handled well — with transparency, accountability, and follow-through — can increase client trust. An incident handled poorly — with delay, opacity, or blame — will damage trust in ways that outlast the incident itself. The Runbook is designed to produce the former.</w:t>
      </w:r>
    </w:p>
    <w:p>
      <w:r>
        <w:br w:type="page"/>
      </w:r>
    </w:p>
    <w:p>
      <w:pPr>
        <w:pStyle w:val="Heading1"/>
        <w:pBdr>
          <w:bottom w:val="single" w:color="FF6200" w:sz="8" w:space="1"/>
        </w:pBdr>
        <w:spacing w:after="120" w:before="400"/>
      </w:pPr>
      <w:r>
        <w:rPr>
          <w:rFonts w:ascii="Calibri" w:cs="Calibri" w:eastAsia="Calibri" w:hAnsi="Calibri"/>
          <w:b/>
          <w:bCs/>
          <w:color w:val="1C1C1C"/>
          <w:sz w:val="32"/>
          <w:szCs w:val="32"/>
        </w:rPr>
        <w:t xml:space="preserve">Section 4 — Scenario Library</w:t>
      </w:r>
    </w:p>
    <w:p>
      <w:pPr>
        <w:spacing w:after="80" w:before="60"/>
      </w:pPr>
      <w:r>
        <w:rPr>
          <w:rFonts w:ascii="Calibri" w:cs="Calibri" w:eastAsia="Calibri" w:hAnsi="Calibri"/>
          <w:color w:val="444444"/>
          <w:sz w:val="22"/>
          <w:szCs w:val="22"/>
        </w:rPr>
        <w:t xml:space="preserve">The Scenario Library is the EEP's primary learning resource for CEES Sessions. Each scenario is designed to be fully instructable in a 45-minute CEES Session and to illustrate a distinct principle within the standard. Facilitation notes are included for each.</w:t>
      </w:r>
    </w:p>
    <w:p>
      <w:pPr>
        <w:spacing w:after="120" w:before="120"/>
      </w:pPr>
    </w:p>
    <w:p>
      <w:pPr>
        <w:pStyle w:val="Heading2"/>
        <w:spacing w:after="80" w:before="280"/>
      </w:pPr>
      <w:r>
        <w:rPr>
          <w:rFonts w:ascii="Calibri" w:cs="Calibri" w:eastAsia="Calibri" w:hAnsi="Calibri"/>
          <w:b/>
          <w:bCs/>
          <w:color w:val="FF6200"/>
          <w:sz w:val="26"/>
          <w:szCs w:val="26"/>
        </w:rPr>
        <w:t xml:space="preserve">4.1 — Scenario Selection Index</w:t>
      </w: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tblGrid>
      <w:tr>
        <w:trPr>
          <w:tblHeader/>
        </w:trPr>
        <w:tc>
          <w:tcPr>
            <w:tcW w:type="pct" w:w="8%"/>
            <w:tcBorders>
              <w:bottom w:val="single" w:color="FF6200" w:sz="4"/>
            </w:tcBorders>
            <w:shd w:fill="1C1C1C" w:val="clear"/>
          </w:tcPr>
          <w:p>
            <w:r>
              <w:rPr>
                <w:rFonts w:ascii="Calibri" w:cs="Calibri" w:eastAsia="Calibri" w:hAnsi="Calibri"/>
                <w:b/>
                <w:bCs/>
                <w:color w:val="FFFFFF"/>
                <w:sz w:val="18"/>
                <w:szCs w:val="18"/>
              </w:rPr>
              <w:t xml:space="preserve">#</w:t>
            </w:r>
          </w:p>
        </w:tc>
        <w:tc>
          <w:tcPr>
            <w:tcW w:type="pct" w:w="30%"/>
            <w:tcBorders>
              <w:bottom w:val="single" w:color="FF6200" w:sz="4"/>
            </w:tcBorders>
            <w:shd w:fill="1C1C1C" w:val="clear"/>
          </w:tcPr>
          <w:p>
            <w:r>
              <w:rPr>
                <w:rFonts w:ascii="Calibri" w:cs="Calibri" w:eastAsia="Calibri" w:hAnsi="Calibri"/>
                <w:b/>
                <w:bCs/>
                <w:color w:val="FFFFFF"/>
                <w:sz w:val="18"/>
                <w:szCs w:val="18"/>
              </w:rPr>
              <w:t xml:space="preserve">Scenario Title</w:t>
            </w:r>
          </w:p>
        </w:tc>
        <w:tc>
          <w:tcPr>
            <w:tcW w:type="pct" w:w="25%"/>
            <w:tcBorders>
              <w:bottom w:val="single" w:color="FF6200" w:sz="4"/>
            </w:tcBorders>
            <w:shd w:fill="1C1C1C" w:val="clear"/>
          </w:tcPr>
          <w:p>
            <w:r>
              <w:rPr>
                <w:rFonts w:ascii="Calibri" w:cs="Calibri" w:eastAsia="Calibri" w:hAnsi="Calibri"/>
                <w:b/>
                <w:bCs/>
                <w:color w:val="FFFFFF"/>
                <w:sz w:val="18"/>
                <w:szCs w:val="18"/>
              </w:rPr>
              <w:t xml:space="preserve">Primary Dimension</w:t>
            </w:r>
          </w:p>
        </w:tc>
        <w:tc>
          <w:tcPr>
            <w:tcW w:type="pct" w:w="15%"/>
            <w:tcBorders>
              <w:bottom w:val="single" w:color="FF6200" w:sz="4"/>
            </w:tcBorders>
            <w:shd w:fill="1C1C1C" w:val="clear"/>
          </w:tcPr>
          <w:p>
            <w:r>
              <w:rPr>
                <w:rFonts w:ascii="Calibri" w:cs="Calibri" w:eastAsia="Calibri" w:hAnsi="Calibri"/>
                <w:b/>
                <w:bCs/>
                <w:color w:val="FFFFFF"/>
                <w:sz w:val="18"/>
                <w:szCs w:val="18"/>
              </w:rPr>
              <w:t xml:space="preserve">Difficulty</w:t>
            </w:r>
          </w:p>
        </w:tc>
        <w:tc>
          <w:tcPr>
            <w:tcW w:type="pct" w:w="22%"/>
            <w:tcBorders>
              <w:bottom w:val="single" w:color="FF6200" w:sz="4"/>
            </w:tcBorders>
            <w:shd w:fill="1C1C1C" w:val="clear"/>
          </w:tcPr>
          <w:p>
            <w:r>
              <w:rPr>
                <w:rFonts w:ascii="Calibri" w:cs="Calibri" w:eastAsia="Calibri" w:hAnsi="Calibri"/>
                <w:b/>
                <w:bCs/>
                <w:color w:val="FFFFFF"/>
                <w:sz w:val="18"/>
                <w:szCs w:val="18"/>
              </w:rPr>
              <w:t xml:space="preserve">Best For</w:t>
            </w:r>
          </w:p>
        </w:tc>
      </w:tr>
      <w:tr>
        <w:tc>
          <w:tcPr>
            <w:tcW w:type="pct" w:w="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1</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Escalation That Built Trust</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Ownership Clarity + Signal Intelligence</w:t>
            </w:r>
          </w:p>
        </w:tc>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Foundation</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L1 practitioners — illustrates early escalation as trust-building</w:t>
            </w:r>
          </w:p>
        </w:tc>
      </w:tr>
      <w:tr>
        <w:tc>
          <w:tcPr>
            <w:tcW w:type="pct" w:w="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2</w:t>
            </w:r>
          </w:p>
        </w:tc>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Smooth Delivery That Missed Trust</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Outcome Validation + Trust Architecture</w:t>
            </w:r>
          </w:p>
        </w:tc>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Foundation</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L1 practitioners — illustrates the gap between task completion and value validation</w:t>
            </w:r>
          </w:p>
        </w:tc>
      </w:tr>
      <w:tr>
        <w:tc>
          <w:tcPr>
            <w:tcW w:type="pct" w:w="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3</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Missed Commitment</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Ownership Follow-Through + Communication Discipline</w:t>
            </w:r>
          </w:p>
        </w:tc>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Foundation</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L1 practitioners — illustrates proactive communication on missed commitments</w:t>
            </w:r>
          </w:p>
        </w:tc>
      </w:tr>
      <w:tr>
        <w:tc>
          <w:tcPr>
            <w:tcW w:type="pct" w:w="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4</w:t>
            </w:r>
          </w:p>
        </w:tc>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Status Update That Failed</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Communication Discipline</w:t>
            </w:r>
          </w:p>
        </w:tc>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Intermediate</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L2 leads — illustrates Three Tests application under time pressure</w:t>
            </w:r>
          </w:p>
        </w:tc>
      </w:tr>
      <w:tr>
        <w:tc>
          <w:tcPr>
            <w:tcW w:type="pct" w:w="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5</w:t>
            </w:r>
          </w:p>
        </w:tc>
        <w:tc>
          <w:tcPr>
            <w:tcW w:type="pct" w:w="3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Handoff That Lost the Client</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Ownership Clarity</w:t>
            </w:r>
          </w:p>
        </w:tc>
        <w:tc>
          <w:tcPr>
            <w:tcW w:type="pct" w:w="1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Intermediate</w:t>
            </w:r>
          </w:p>
        </w:tc>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L2 leads — illustrates handoff discipline and trust continuity</w:t>
            </w:r>
          </w:p>
        </w:tc>
      </w:tr>
      <w:tr>
        <w:tc>
          <w:tcPr>
            <w:tcW w:type="pct" w:w="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6</w:t>
            </w:r>
          </w:p>
        </w:tc>
        <w:tc>
          <w:tcPr>
            <w:tcW w:type="pct" w:w="3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Signal That Was Missed</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Signal Intelligence</w:t>
            </w:r>
          </w:p>
        </w:tc>
        <w:tc>
          <w:tcPr>
            <w:tcW w:type="pct" w:w="1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Advanced</w:t>
            </w:r>
          </w:p>
        </w:tc>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L3 trainers — illustrates pattern recognition and predictive signal reading</w:t>
            </w:r>
          </w:p>
        </w:tc>
      </w:tr>
    </w:tbl>
    <w:p>
      <w:pPr>
        <w:spacing w:after="120" w:before="120"/>
      </w:pPr>
    </w:p>
    <w:p>
      <w:pPr>
        <w:pStyle w:val="Heading2"/>
        <w:spacing w:after="80" w:before="280"/>
      </w:pPr>
      <w:r>
        <w:rPr>
          <w:rFonts w:ascii="Calibri" w:cs="Calibri" w:eastAsia="Calibri" w:hAnsi="Calibri"/>
          <w:b/>
          <w:bCs/>
          <w:color w:val="FF6200"/>
          <w:sz w:val="26"/>
          <w:szCs w:val="26"/>
        </w:rPr>
        <w:t xml:space="preserve">4.2 — Scenario Selection Criteria</w:t>
      </w:r>
    </w:p>
    <w:p>
      <w:pPr>
        <w:pStyle w:val="ListParagraph"/>
        <w:numPr>
          <w:ilvl w:val="0"/>
          <w:numId w:val="1"/>
        </w:numPr>
        <w:spacing w:after="40" w:before="40"/>
      </w:pPr>
      <w:r>
        <w:rPr>
          <w:rFonts w:ascii="Calibri" w:cs="Calibri" w:eastAsia="Calibri" w:hAnsi="Calibri"/>
          <w:b/>
          <w:bCs/>
          <w:color w:val="1C1C1C"/>
          <w:sz w:val="22"/>
          <w:szCs w:val="22"/>
        </w:rPr>
        <w:t xml:space="preserve">Recency — </w:t>
      </w:r>
      <w:r>
        <w:rPr>
          <w:rFonts w:ascii="Calibri" w:cs="Calibri" w:eastAsia="Calibri" w:hAnsi="Calibri"/>
          <w:color w:val="444444"/>
          <w:sz w:val="22"/>
          <w:szCs w:val="22"/>
        </w:rPr>
        <w:t xml:space="preserve">The scenario should come from the past 30 days. Older scenarios lose the specificity that makes reconstruction honest.</w:t>
      </w:r>
    </w:p>
    <w:p>
      <w:pPr>
        <w:pStyle w:val="ListParagraph"/>
        <w:numPr>
          <w:ilvl w:val="0"/>
          <w:numId w:val="1"/>
        </w:numPr>
        <w:spacing w:after="40" w:before="40"/>
      </w:pPr>
      <w:r>
        <w:rPr>
          <w:rFonts w:ascii="Calibri" w:cs="Calibri" w:eastAsia="Calibri" w:hAnsi="Calibri"/>
          <w:b/>
          <w:bCs/>
          <w:color w:val="1C1C1C"/>
          <w:sz w:val="22"/>
          <w:szCs w:val="22"/>
        </w:rPr>
        <w:t xml:space="preserve">Instructability — </w:t>
      </w:r>
      <w:r>
        <w:rPr>
          <w:rFonts w:ascii="Calibri" w:cs="Calibri" w:eastAsia="Calibri" w:hAnsi="Calibri"/>
          <w:color w:val="444444"/>
          <w:sz w:val="22"/>
          <w:szCs w:val="22"/>
        </w:rPr>
        <w:t xml:space="preserve">The scenario should contain a clear, teachable divergence between what happened and what the standard requires. A scenario with an ambiguous lesson is not ready for CEES.</w:t>
      </w:r>
    </w:p>
    <w:p>
      <w:pPr>
        <w:pStyle w:val="ListParagraph"/>
        <w:numPr>
          <w:ilvl w:val="0"/>
          <w:numId w:val="1"/>
        </w:numPr>
        <w:spacing w:after="40" w:before="40"/>
      </w:pPr>
      <w:r>
        <w:rPr>
          <w:rFonts w:ascii="Calibri" w:cs="Calibri" w:eastAsia="Calibri" w:hAnsi="Calibri"/>
          <w:b/>
          <w:bCs/>
          <w:color w:val="1C1C1C"/>
          <w:sz w:val="22"/>
          <w:szCs w:val="22"/>
        </w:rPr>
        <w:t xml:space="preserve">Contributor Comfort — </w:t>
      </w:r>
      <w:r>
        <w:rPr>
          <w:rFonts w:ascii="Calibri" w:cs="Calibri" w:eastAsia="Calibri" w:hAnsi="Calibri"/>
          <w:color w:val="444444"/>
          <w:sz w:val="22"/>
          <w:szCs w:val="22"/>
        </w:rPr>
        <w:t xml:space="preserve">Confirm with the scenario contributor before the session that they are willing to reconstruct it in the group. Never surprise a participant with their own scenario as the session focus.</w:t>
      </w:r>
    </w:p>
    <w:p>
      <w:pPr>
        <w:pStyle w:val="ListParagraph"/>
        <w:numPr>
          <w:ilvl w:val="0"/>
          <w:numId w:val="1"/>
        </w:numPr>
        <w:spacing w:after="40" w:before="40"/>
      </w:pPr>
      <w:r>
        <w:rPr>
          <w:rFonts w:ascii="Calibri" w:cs="Calibri" w:eastAsia="Calibri" w:hAnsi="Calibri"/>
          <w:b/>
          <w:bCs/>
          <w:color w:val="1C1C1C"/>
          <w:sz w:val="22"/>
          <w:szCs w:val="22"/>
        </w:rPr>
        <w:t xml:space="preserve">Variety — </w:t>
      </w:r>
      <w:r>
        <w:rPr>
          <w:rFonts w:ascii="Calibri" w:cs="Calibri" w:eastAsia="Calibri" w:hAnsi="Calibri"/>
          <w:color w:val="444444"/>
          <w:sz w:val="22"/>
          <w:szCs w:val="22"/>
        </w:rPr>
        <w:t xml:space="preserve">Over a quarter, rotate through different scenario types — escalation moments, trust repairs, handoff failures, early wins. A rotation that concentrates on only one type produces a partial standard.</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Scenario 1 — The Escalation That Built Trust</w:t>
      </w:r>
    </w:p>
    <w:p>
      <w:pPr>
        <w:spacing w:after="40" w:before="80"/>
      </w:pPr>
      <w:r>
        <w:rPr>
          <w:rFonts w:ascii="Calibri" w:cs="Calibri" w:eastAsia="Calibri" w:hAnsi="Calibri"/>
          <w:b/>
          <w:bCs/>
          <w:caps/>
          <w:color w:val="FF6200"/>
          <w:sz w:val="18"/>
          <w:szCs w:val="18"/>
        </w:rPr>
        <w:t xml:space="preserve">Primary Dimension: Ownership Clarity + Signal Intelligence | Difficulty: Foundation</w:t>
      </w:r>
    </w:p>
    <w:p>
      <w:pPr>
        <w:spacing w:after="120" w:before="120"/>
      </w:pPr>
    </w:p>
    <w:p>
      <w:pPr>
        <w:pStyle w:val="Heading3"/>
        <w:spacing w:after="60" w:before="200"/>
      </w:pPr>
      <w:r>
        <w:rPr>
          <w:rFonts w:ascii="Calibri" w:cs="Calibri" w:eastAsia="Calibri" w:hAnsi="Calibri"/>
          <w:b/>
          <w:bCs/>
          <w:color w:val="1C1C1C"/>
          <w:sz w:val="22"/>
          <w:szCs w:val="22"/>
        </w:rPr>
        <w:t xml:space="preserve">Setup Narrative</w:t>
      </w:r>
    </w:p>
    <w:p>
      <w:pPr>
        <w:spacing w:after="80" w:before="60"/>
      </w:pPr>
      <w:r>
        <w:rPr>
          <w:rFonts w:ascii="Calibri" w:cs="Calibri" w:eastAsia="Calibri" w:hAnsi="Calibri"/>
          <w:color w:val="444444"/>
          <w:sz w:val="22"/>
          <w:szCs w:val="22"/>
        </w:rPr>
        <w:t xml:space="preserve">Midway through the third month of a complex data migration engagement, the delivery team discovered that a core assumption in the original scoping document was incorrect. The data volumes were significantly larger than estimated, and the timeline was at risk. The technical lead identified the issue on a Wednesday afternoon. Rather than waiting for the Friday standing review, the technical lead escalated to the Engagement Lead that afternoon. The Engagement Lead reviewed the situation that evening and scheduled a call with the client's project sponsor for Thursday morning. On that call, the team presented the full picture: what they had discovered, what the options were, and what they were already doing to protect the delivery timeline. They came with a path forward, not just a problem. The client's response — captured in a follow-up email that same day — noted that they had worked with vendor teams that 'sat on' problems like this and that the early escalation and transparency had 'significantly increased their confidence' in the team. The engagement continued on modified terms and the client renewed the following year.</w:t>
      </w:r>
    </w:p>
    <w:p>
      <w:pPr>
        <w:spacing w:after="120" w:before="120"/>
      </w:pPr>
    </w:p>
    <w:p>
      <w:pPr>
        <w:pStyle w:val="Heading3"/>
        <w:spacing w:after="60" w:before="200"/>
      </w:pPr>
      <w:r>
        <w:rPr>
          <w:rFonts w:ascii="Calibri" w:cs="Calibri" w:eastAsia="Calibri" w:hAnsi="Calibri"/>
          <w:b/>
          <w:bCs/>
          <w:color w:val="1C1C1C"/>
          <w:sz w:val="22"/>
          <w:szCs w:val="22"/>
        </w:rPr>
        <w:t xml:space="preserve">Reconstruction Questions</w:t>
      </w:r>
    </w:p>
    <w:p>
      <w:pPr>
        <w:pStyle w:val="ListParagraph"/>
        <w:numPr>
          <w:ilvl w:val="0"/>
          <w:numId w:val="2"/>
        </w:numPr>
        <w:spacing w:after="40" w:before="40"/>
      </w:pPr>
      <w:r>
        <w:rPr>
          <w:rFonts w:ascii="Calibri" w:cs="Calibri" w:eastAsia="Calibri" w:hAnsi="Calibri"/>
          <w:color w:val="444444"/>
          <w:sz w:val="22"/>
          <w:szCs w:val="22"/>
        </w:rPr>
        <w:t xml:space="preserve">Walk me through what the technical lead knew on Wednesday afternoon and what they did next.</w:t>
      </w:r>
    </w:p>
    <w:p>
      <w:pPr>
        <w:pStyle w:val="ListParagraph"/>
        <w:numPr>
          <w:ilvl w:val="0"/>
          <w:numId w:val="2"/>
        </w:numPr>
        <w:spacing w:after="40" w:before="40"/>
      </w:pPr>
      <w:r>
        <w:rPr>
          <w:rFonts w:ascii="Calibri" w:cs="Calibri" w:eastAsia="Calibri" w:hAnsi="Calibri"/>
          <w:color w:val="444444"/>
          <w:sz w:val="22"/>
          <w:szCs w:val="22"/>
        </w:rPr>
        <w:t xml:space="preserve">What is the standard's window for escalation once a blocker is identified?</w:t>
      </w:r>
    </w:p>
    <w:p>
      <w:pPr>
        <w:pStyle w:val="ListParagraph"/>
        <w:numPr>
          <w:ilvl w:val="0"/>
          <w:numId w:val="2"/>
        </w:numPr>
        <w:spacing w:after="40" w:before="40"/>
      </w:pPr>
      <w:r>
        <w:rPr>
          <w:rFonts w:ascii="Calibri" w:cs="Calibri" w:eastAsia="Calibri" w:hAnsi="Calibri"/>
          <w:color w:val="444444"/>
          <w:sz w:val="22"/>
          <w:szCs w:val="22"/>
        </w:rPr>
        <w:t xml:space="preserve">What was the Engagement Lead's role in the Thursday morning call — and what did they bring to it?</w:t>
      </w:r>
    </w:p>
    <w:p>
      <w:pPr>
        <w:pStyle w:val="ListParagraph"/>
        <w:numPr>
          <w:ilvl w:val="0"/>
          <w:numId w:val="2"/>
        </w:numPr>
        <w:spacing w:after="40" w:before="40"/>
      </w:pPr>
      <w:r>
        <w:rPr>
          <w:rFonts w:ascii="Calibri" w:cs="Calibri" w:eastAsia="Calibri" w:hAnsi="Calibri"/>
          <w:color w:val="444444"/>
          <w:sz w:val="22"/>
          <w:szCs w:val="22"/>
        </w:rPr>
        <w:t xml:space="preserve">What did the client communicate in their follow-up email? What specific language did they use?</w:t>
      </w:r>
    </w:p>
    <w:p>
      <w:pPr>
        <w:spacing w:after="120" w:before="120"/>
      </w:pPr>
    </w:p>
    <w:p>
      <w:pPr>
        <w:pStyle w:val="Heading3"/>
        <w:spacing w:after="60" w:before="200"/>
      </w:pPr>
      <w:r>
        <w:rPr>
          <w:rFonts w:ascii="Calibri" w:cs="Calibri" w:eastAsia="Calibri" w:hAnsi="Calibri"/>
          <w:b/>
          <w:bCs/>
          <w:color w:val="1C1C1C"/>
          <w:sz w:val="22"/>
          <w:szCs w:val="22"/>
        </w:rPr>
        <w:t xml:space="preserve">Standard Contrast Questions</w:t>
      </w:r>
    </w:p>
    <w:p>
      <w:pPr>
        <w:pStyle w:val="ListParagraph"/>
        <w:numPr>
          <w:ilvl w:val="0"/>
          <w:numId w:val="2"/>
        </w:numPr>
        <w:spacing w:after="40" w:before="40"/>
      </w:pPr>
      <w:r>
        <w:rPr>
          <w:rFonts w:ascii="Calibri" w:cs="Calibri" w:eastAsia="Calibri" w:hAnsi="Calibri"/>
          <w:color w:val="444444"/>
          <w:sz w:val="22"/>
          <w:szCs w:val="22"/>
        </w:rPr>
        <w:t xml:space="preserve">Looking at the Escalation Runbook — specifically the five-step sequence — which steps did this team follow? Which did they follow ahead of schedule?</w:t>
      </w:r>
    </w:p>
    <w:p>
      <w:pPr>
        <w:pStyle w:val="ListParagraph"/>
        <w:numPr>
          <w:ilvl w:val="0"/>
          <w:numId w:val="2"/>
        </w:numPr>
        <w:spacing w:after="40" w:before="40"/>
      </w:pPr>
      <w:r>
        <w:rPr>
          <w:rFonts w:ascii="Calibri" w:cs="Calibri" w:eastAsia="Calibri" w:hAnsi="Calibri"/>
          <w:color w:val="444444"/>
          <w:sz w:val="22"/>
          <w:szCs w:val="22"/>
        </w:rPr>
        <w:t xml:space="preserve">What would below-standard behavior have looked like at the moment the technical lead identified the issue on Wednesday afternoon?</w:t>
      </w:r>
    </w:p>
    <w:p>
      <w:pPr>
        <w:pStyle w:val="ListParagraph"/>
        <w:numPr>
          <w:ilvl w:val="0"/>
          <w:numId w:val="2"/>
        </w:numPr>
        <w:spacing w:after="40" w:before="40"/>
      </w:pPr>
      <w:r>
        <w:rPr>
          <w:rFonts w:ascii="Calibri" w:cs="Calibri" w:eastAsia="Calibri" w:hAnsi="Calibri"/>
          <w:color w:val="444444"/>
          <w:sz w:val="22"/>
          <w:szCs w:val="22"/>
        </w:rPr>
        <w:t xml:space="preserve">The client said their confidence 'significantly increased.' What specific behaviors produced that outcome?</w:t>
      </w:r>
    </w:p>
    <w:p>
      <w:pPr>
        <w:spacing w:after="120" w:before="120"/>
      </w:pPr>
    </w:p>
    <w:p>
      <w:pPr>
        <w:pStyle w:val="Heading3"/>
        <w:spacing w:after="60" w:before="200"/>
      </w:pPr>
      <w:r>
        <w:rPr>
          <w:rFonts w:ascii="Calibri" w:cs="Calibri" w:eastAsia="Calibri" w:hAnsi="Calibri"/>
          <w:b/>
          <w:bCs/>
          <w:color w:val="1C1C1C"/>
          <w:sz w:val="22"/>
          <w:szCs w:val="22"/>
        </w:rPr>
        <w:t xml:space="preserve">Lesson Statement</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Early escalation — with a path forward, not just a problem — is a trust-building behavior. The client's experience of an escalation is determined not by the existence of the problem but by the team's behavior in response to it. Transparency plus accountability plus follow-through produces trust, even when the news is bad.</w:t>
      </w:r>
    </w:p>
    <w:p>
      <w:pPr>
        <w:pStyle w:val="Heading3"/>
        <w:spacing w:after="60" w:before="200"/>
      </w:pPr>
      <w:r>
        <w:rPr>
          <w:rFonts w:ascii="Calibri" w:cs="Calibri" w:eastAsia="Calibri" w:hAnsi="Calibri"/>
          <w:b/>
          <w:bCs/>
          <w:color w:val="1C1C1C"/>
          <w:sz w:val="22"/>
          <w:szCs w:val="22"/>
        </w:rPr>
        <w:t xml:space="preserve">Next Practice Rep Prompt</w:t>
      </w:r>
    </w:p>
    <w:p>
      <w:pPr>
        <w:spacing w:after="80" w:before="60"/>
      </w:pPr>
      <w:r>
        <w:rPr>
          <w:rFonts w:ascii="Calibri" w:cs="Calibri" w:eastAsia="Calibri" w:hAnsi="Calibri"/>
          <w:color w:val="444444"/>
          <w:sz w:val="22"/>
          <w:szCs w:val="22"/>
        </w:rPr>
        <w:t xml:space="preserve">Before the next session: identify one current engagement where a risk or issue exists that has not yet been escalated. Apply the Escalation Runbook. Report back on what you escalated, when, and what the client's response was.</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Scenario 2 — The Smooth Delivery That Missed Trust</w:t>
      </w:r>
    </w:p>
    <w:p>
      <w:pPr>
        <w:spacing w:after="40" w:before="80"/>
      </w:pPr>
      <w:r>
        <w:rPr>
          <w:rFonts w:ascii="Calibri" w:cs="Calibri" w:eastAsia="Calibri" w:hAnsi="Calibri"/>
          <w:b/>
          <w:bCs/>
          <w:caps/>
          <w:color w:val="FF6200"/>
          <w:sz w:val="18"/>
          <w:szCs w:val="18"/>
        </w:rPr>
        <w:t xml:space="preserve">Primary Dimension: Outcome Validation + Trust Architecture | Difficulty: Foundation</w:t>
      </w:r>
    </w:p>
    <w:p>
      <w:pPr>
        <w:spacing w:after="120" w:before="120"/>
      </w:pPr>
    </w:p>
    <w:p>
      <w:pPr>
        <w:pStyle w:val="Heading3"/>
        <w:spacing w:after="60" w:before="200"/>
      </w:pPr>
      <w:r>
        <w:rPr>
          <w:rFonts w:ascii="Calibri" w:cs="Calibri" w:eastAsia="Calibri" w:hAnsi="Calibri"/>
          <w:b/>
          <w:bCs/>
          <w:color w:val="1C1C1C"/>
          <w:sz w:val="22"/>
          <w:szCs w:val="22"/>
        </w:rPr>
        <w:t xml:space="preserve">Setup Narrative</w:t>
      </w:r>
    </w:p>
    <w:p>
      <w:pPr>
        <w:spacing w:after="80" w:before="60"/>
      </w:pPr>
      <w:r>
        <w:rPr>
          <w:rFonts w:ascii="Calibri" w:cs="Calibri" w:eastAsia="Calibri" w:hAnsi="Calibri"/>
          <w:color w:val="444444"/>
          <w:sz w:val="22"/>
          <w:szCs w:val="22"/>
        </w:rPr>
        <w:t xml:space="preserve">An implementation engagement completed on time, on budget, and to specification. All milestones were delivered. The client signed the milestone completion document. The Engagement Lead declared the engagement closed and moved to the next account. Three months later, when the account team reached out to discuss a renewal, the client's response was polite but non-committal. When asked directly whether they would serve as a reference, the client said they would 'need to think about it.' When asked what they had received from the engagement, the client described the deliverables accurately but could not articulate why they mattered to their business. The engagement had been technically successful. The trust relationship had not been built. No reference was given. No renewal conversation started.</w:t>
      </w:r>
    </w:p>
    <w:p>
      <w:pPr>
        <w:spacing w:after="120" w:before="120"/>
      </w:pPr>
    </w:p>
    <w:p>
      <w:pPr>
        <w:pStyle w:val="Heading3"/>
        <w:spacing w:after="60" w:before="200"/>
      </w:pPr>
      <w:r>
        <w:rPr>
          <w:rFonts w:ascii="Calibri" w:cs="Calibri" w:eastAsia="Calibri" w:hAnsi="Calibri"/>
          <w:b/>
          <w:bCs/>
          <w:color w:val="1C1C1C"/>
          <w:sz w:val="22"/>
          <w:szCs w:val="22"/>
        </w:rPr>
        <w:t xml:space="preserve">Reconstruction Questions</w:t>
      </w:r>
    </w:p>
    <w:p>
      <w:pPr>
        <w:pStyle w:val="ListParagraph"/>
        <w:numPr>
          <w:ilvl w:val="0"/>
          <w:numId w:val="2"/>
        </w:numPr>
        <w:spacing w:after="40" w:before="40"/>
      </w:pPr>
      <w:r>
        <w:rPr>
          <w:rFonts w:ascii="Calibri" w:cs="Calibri" w:eastAsia="Calibri" w:hAnsi="Calibri"/>
          <w:color w:val="444444"/>
          <w:sz w:val="22"/>
          <w:szCs w:val="22"/>
        </w:rPr>
        <w:t xml:space="preserve">Walk me through the engagement close process. What happened after the final milestone was delivered?</w:t>
      </w:r>
    </w:p>
    <w:p>
      <w:pPr>
        <w:pStyle w:val="ListParagraph"/>
        <w:numPr>
          <w:ilvl w:val="0"/>
          <w:numId w:val="2"/>
        </w:numPr>
        <w:spacing w:after="40" w:before="40"/>
      </w:pPr>
      <w:r>
        <w:rPr>
          <w:rFonts w:ascii="Calibri" w:cs="Calibri" w:eastAsia="Calibri" w:hAnsi="Calibri"/>
          <w:color w:val="444444"/>
          <w:sz w:val="22"/>
          <w:szCs w:val="22"/>
        </w:rPr>
        <w:t xml:space="preserve">Were the three validation questions asked at close? If not, why not?</w:t>
      </w:r>
    </w:p>
    <w:p>
      <w:pPr>
        <w:pStyle w:val="ListParagraph"/>
        <w:numPr>
          <w:ilvl w:val="0"/>
          <w:numId w:val="2"/>
        </w:numPr>
        <w:spacing w:after="40" w:before="40"/>
      </w:pPr>
      <w:r>
        <w:rPr>
          <w:rFonts w:ascii="Calibri" w:cs="Calibri" w:eastAsia="Calibri" w:hAnsi="Calibri"/>
          <w:color w:val="444444"/>
          <w:sz w:val="22"/>
          <w:szCs w:val="22"/>
        </w:rPr>
        <w:t xml:space="preserve">What did the client say when asked about the value of the engagement — at close, or at any point during delivery?</w:t>
      </w:r>
    </w:p>
    <w:p>
      <w:pPr>
        <w:pStyle w:val="ListParagraph"/>
        <w:numPr>
          <w:ilvl w:val="0"/>
          <w:numId w:val="2"/>
        </w:numPr>
        <w:spacing w:after="40" w:before="40"/>
      </w:pPr>
      <w:r>
        <w:rPr>
          <w:rFonts w:ascii="Calibri" w:cs="Calibri" w:eastAsia="Calibri" w:hAnsi="Calibri"/>
          <w:color w:val="444444"/>
          <w:sz w:val="22"/>
          <w:szCs w:val="22"/>
        </w:rPr>
        <w:t xml:space="preserve">What was the client's response when the renewal conversation started three months later?</w:t>
      </w:r>
    </w:p>
    <w:p>
      <w:pPr>
        <w:spacing w:after="120" w:before="120"/>
      </w:pPr>
    </w:p>
    <w:p>
      <w:pPr>
        <w:pStyle w:val="Heading3"/>
        <w:spacing w:after="60" w:before="200"/>
      </w:pPr>
      <w:r>
        <w:rPr>
          <w:rFonts w:ascii="Calibri" w:cs="Calibri" w:eastAsia="Calibri" w:hAnsi="Calibri"/>
          <w:b/>
          <w:bCs/>
          <w:color w:val="1C1C1C"/>
          <w:sz w:val="22"/>
          <w:szCs w:val="22"/>
        </w:rPr>
        <w:t xml:space="preserve">Standard Contrast Questions</w:t>
      </w:r>
    </w:p>
    <w:p>
      <w:pPr>
        <w:pStyle w:val="ListParagraph"/>
        <w:numPr>
          <w:ilvl w:val="0"/>
          <w:numId w:val="2"/>
        </w:numPr>
        <w:spacing w:after="40" w:before="40"/>
      </w:pPr>
      <w:r>
        <w:rPr>
          <w:rFonts w:ascii="Calibri" w:cs="Calibri" w:eastAsia="Calibri" w:hAnsi="Calibri"/>
          <w:color w:val="444444"/>
          <w:sz w:val="22"/>
          <w:szCs w:val="22"/>
        </w:rPr>
        <w:t xml:space="preserve">Non-Negotiable III requires validated client articulation of value received before the engagement is declared closed. Was this standard met?</w:t>
      </w:r>
    </w:p>
    <w:p>
      <w:pPr>
        <w:pStyle w:val="ListParagraph"/>
        <w:numPr>
          <w:ilvl w:val="0"/>
          <w:numId w:val="2"/>
        </w:numPr>
        <w:spacing w:after="40" w:before="40"/>
      </w:pPr>
      <w:r>
        <w:rPr>
          <w:rFonts w:ascii="Calibri" w:cs="Calibri" w:eastAsia="Calibri" w:hAnsi="Calibri"/>
          <w:color w:val="444444"/>
          <w:sz w:val="22"/>
          <w:szCs w:val="22"/>
        </w:rPr>
        <w:t xml:space="preserve">What would the close have looked like if the three validation questions had been asked?</w:t>
      </w:r>
    </w:p>
    <w:p>
      <w:pPr>
        <w:pStyle w:val="ListParagraph"/>
        <w:numPr>
          <w:ilvl w:val="0"/>
          <w:numId w:val="2"/>
        </w:numPr>
        <w:spacing w:after="40" w:before="40"/>
      </w:pPr>
      <w:r>
        <w:rPr>
          <w:rFonts w:ascii="Calibri" w:cs="Calibri" w:eastAsia="Calibri" w:hAnsi="Calibri"/>
          <w:color w:val="444444"/>
          <w:sz w:val="22"/>
          <w:szCs w:val="22"/>
        </w:rPr>
        <w:t xml:space="preserve">The CE Framework describes Referenceability as the third trust layer. What behaviors during this engagement would have built toward referenceability?</w:t>
      </w:r>
    </w:p>
    <w:p>
      <w:pPr>
        <w:spacing w:after="120" w:before="120"/>
      </w:pPr>
    </w:p>
    <w:p>
      <w:pPr>
        <w:pStyle w:val="Heading3"/>
        <w:spacing w:after="60" w:before="200"/>
      </w:pPr>
      <w:r>
        <w:rPr>
          <w:rFonts w:ascii="Calibri" w:cs="Calibri" w:eastAsia="Calibri" w:hAnsi="Calibri"/>
          <w:b/>
          <w:bCs/>
          <w:color w:val="1C1C1C"/>
          <w:sz w:val="22"/>
          <w:szCs w:val="22"/>
        </w:rPr>
        <w:t xml:space="preserve">Lesson Statement</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Technical delivery quality is not the primary predictor of trust outcomes. A client who cannot articulate the value of an engagement in their own words has not been served by the engagement — regardless of whether the deliverables were technically excellent. The close is not the end of delivery. It is the beginning of the reference relationship.</w:t>
      </w:r>
    </w:p>
    <w:p>
      <w:pPr>
        <w:pStyle w:val="Heading3"/>
        <w:spacing w:after="60" w:before="200"/>
      </w:pPr>
      <w:r>
        <w:rPr>
          <w:rFonts w:ascii="Calibri" w:cs="Calibri" w:eastAsia="Calibri" w:hAnsi="Calibri"/>
          <w:b/>
          <w:bCs/>
          <w:color w:val="1C1C1C"/>
          <w:sz w:val="22"/>
          <w:szCs w:val="22"/>
        </w:rPr>
        <w:t xml:space="preserve">Next Practice Rep Prompt</w:t>
      </w:r>
    </w:p>
    <w:p>
      <w:pPr>
        <w:spacing w:after="80" w:before="60"/>
      </w:pPr>
      <w:r>
        <w:rPr>
          <w:rFonts w:ascii="Calibri" w:cs="Calibri" w:eastAsia="Calibri" w:hAnsi="Calibri"/>
          <w:color w:val="444444"/>
          <w:sz w:val="22"/>
          <w:szCs w:val="22"/>
        </w:rPr>
        <w:t xml:space="preserve">Before the next session: identify one engagement that is approaching close. Apply the three validation questions in your next client interaction. Document the client's exact language in response to each question. Bring the documentation to the next CEES Session.</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Scenario 3 — The Missed Commitment</w:t>
      </w:r>
    </w:p>
    <w:p>
      <w:pPr>
        <w:spacing w:after="40" w:before="80"/>
      </w:pPr>
      <w:r>
        <w:rPr>
          <w:rFonts w:ascii="Calibri" w:cs="Calibri" w:eastAsia="Calibri" w:hAnsi="Calibri"/>
          <w:b/>
          <w:bCs/>
          <w:caps/>
          <w:color w:val="FF6200"/>
          <w:sz w:val="18"/>
          <w:szCs w:val="18"/>
        </w:rPr>
        <w:t xml:space="preserve">Primary Dimension: Ownership Follow-Through + Communication Discipline | Difficulty: Foundation</w:t>
      </w:r>
    </w:p>
    <w:p>
      <w:pPr>
        <w:spacing w:after="120" w:before="120"/>
      </w:pPr>
    </w:p>
    <w:p>
      <w:pPr>
        <w:pStyle w:val="Heading3"/>
        <w:spacing w:after="60" w:before="200"/>
      </w:pPr>
      <w:r>
        <w:rPr>
          <w:rFonts w:ascii="Calibri" w:cs="Calibri" w:eastAsia="Calibri" w:hAnsi="Calibri"/>
          <w:b/>
          <w:bCs/>
          <w:color w:val="1C1C1C"/>
          <w:sz w:val="22"/>
          <w:szCs w:val="22"/>
        </w:rPr>
        <w:t xml:space="preserve">Setup Narrative</w:t>
      </w:r>
    </w:p>
    <w:p>
      <w:pPr>
        <w:spacing w:after="80" w:before="60"/>
      </w:pPr>
      <w:r>
        <w:rPr>
          <w:rFonts w:ascii="Calibri" w:cs="Calibri" w:eastAsia="Calibri" w:hAnsi="Calibri"/>
          <w:color w:val="444444"/>
          <w:sz w:val="22"/>
          <w:szCs w:val="22"/>
        </w:rPr>
        <w:t xml:space="preserve">During a weekly Signal Review, an Engagement Lead noticed that a deliverable committed to the client for Tuesday had not been completed — it was now Thursday. The client had not yet raised it. The Engagement Lead had two options: wait to see if the client noticed, or contact the client proactively. The Engagement Lead chose to wait. On Friday afternoon, the client sent an email asking about the status of the deliverable. The Engagement Lead responded immediately with an apology and a new committed date. The client's response was brief and professional. But in the next steering committee meeting, the client's executive sponsor mentioned — in passing — that they had noticed the team 'sometimes needed to be reminded about commitments.' The comment was not escalated. But it was noted.</w:t>
      </w:r>
    </w:p>
    <w:p>
      <w:pPr>
        <w:spacing w:after="120" w:before="120"/>
      </w:pPr>
    </w:p>
    <w:p>
      <w:pPr>
        <w:pStyle w:val="Heading3"/>
        <w:spacing w:after="60" w:before="200"/>
      </w:pPr>
      <w:r>
        <w:rPr>
          <w:rFonts w:ascii="Calibri" w:cs="Calibri" w:eastAsia="Calibri" w:hAnsi="Calibri"/>
          <w:b/>
          <w:bCs/>
          <w:color w:val="1C1C1C"/>
          <w:sz w:val="22"/>
          <w:szCs w:val="22"/>
        </w:rPr>
        <w:t xml:space="preserve">Reconstruction Questions</w:t>
      </w:r>
    </w:p>
    <w:p>
      <w:pPr>
        <w:pStyle w:val="ListParagraph"/>
        <w:numPr>
          <w:ilvl w:val="0"/>
          <w:numId w:val="2"/>
        </w:numPr>
        <w:spacing w:after="40" w:before="40"/>
      </w:pPr>
      <w:r>
        <w:rPr>
          <w:rFonts w:ascii="Calibri" w:cs="Calibri" w:eastAsia="Calibri" w:hAnsi="Calibri"/>
          <w:color w:val="444444"/>
          <w:sz w:val="22"/>
          <w:szCs w:val="22"/>
        </w:rPr>
        <w:t xml:space="preserve">When did the Engagement Lead identify that the Tuesday commitment had been missed?</w:t>
      </w:r>
    </w:p>
    <w:p>
      <w:pPr>
        <w:pStyle w:val="ListParagraph"/>
        <w:numPr>
          <w:ilvl w:val="0"/>
          <w:numId w:val="2"/>
        </w:numPr>
        <w:spacing w:after="40" w:before="40"/>
      </w:pPr>
      <w:r>
        <w:rPr>
          <w:rFonts w:ascii="Calibri" w:cs="Calibri" w:eastAsia="Calibri" w:hAnsi="Calibri"/>
          <w:color w:val="444444"/>
          <w:sz w:val="22"/>
          <w:szCs w:val="22"/>
        </w:rPr>
        <w:t xml:space="preserve">What was the Engagement Lead's reasoning for waiting rather than contacting the client proactively?</w:t>
      </w:r>
    </w:p>
    <w:p>
      <w:pPr>
        <w:pStyle w:val="ListParagraph"/>
        <w:numPr>
          <w:ilvl w:val="0"/>
          <w:numId w:val="2"/>
        </w:numPr>
        <w:spacing w:after="40" w:before="40"/>
      </w:pPr>
      <w:r>
        <w:rPr>
          <w:rFonts w:ascii="Calibri" w:cs="Calibri" w:eastAsia="Calibri" w:hAnsi="Calibri"/>
          <w:color w:val="444444"/>
          <w:sz w:val="22"/>
          <w:szCs w:val="22"/>
        </w:rPr>
        <w:t xml:space="preserve">What did the client's Friday email say? What was the tone?</w:t>
      </w:r>
    </w:p>
    <w:p>
      <w:pPr>
        <w:pStyle w:val="ListParagraph"/>
        <w:numPr>
          <w:ilvl w:val="0"/>
          <w:numId w:val="2"/>
        </w:numPr>
        <w:spacing w:after="40" w:before="40"/>
      </w:pPr>
      <w:r>
        <w:rPr>
          <w:rFonts w:ascii="Calibri" w:cs="Calibri" w:eastAsia="Calibri" w:hAnsi="Calibri"/>
          <w:color w:val="444444"/>
          <w:sz w:val="22"/>
          <w:szCs w:val="22"/>
        </w:rPr>
        <w:t xml:space="preserve">What did the executive sponsor say in the steering committee meeting? What was the context?</w:t>
      </w:r>
    </w:p>
    <w:p>
      <w:pPr>
        <w:spacing w:after="120" w:before="120"/>
      </w:pPr>
    </w:p>
    <w:p>
      <w:pPr>
        <w:pStyle w:val="Heading3"/>
        <w:spacing w:after="60" w:before="200"/>
      </w:pPr>
      <w:r>
        <w:rPr>
          <w:rFonts w:ascii="Calibri" w:cs="Calibri" w:eastAsia="Calibri" w:hAnsi="Calibri"/>
          <w:b/>
          <w:bCs/>
          <w:color w:val="1C1C1C"/>
          <w:sz w:val="22"/>
          <w:szCs w:val="22"/>
        </w:rPr>
        <w:t xml:space="preserve">Standard Contrast Questions</w:t>
      </w:r>
    </w:p>
    <w:p>
      <w:pPr>
        <w:pStyle w:val="ListParagraph"/>
        <w:numPr>
          <w:ilvl w:val="0"/>
          <w:numId w:val="2"/>
        </w:numPr>
        <w:spacing w:after="40" w:before="40"/>
      </w:pPr>
      <w:r>
        <w:rPr>
          <w:rFonts w:ascii="Calibri" w:cs="Calibri" w:eastAsia="Calibri" w:hAnsi="Calibri"/>
          <w:color w:val="444444"/>
          <w:sz w:val="22"/>
          <w:szCs w:val="22"/>
        </w:rPr>
        <w:t xml:space="preserve">The Ownership Follow-Through signal stream tracks 'committed action not completed on stated date.' At what point should this have been flagged in the Signal Review?</w:t>
      </w:r>
    </w:p>
    <w:p>
      <w:pPr>
        <w:pStyle w:val="ListParagraph"/>
        <w:numPr>
          <w:ilvl w:val="0"/>
          <w:numId w:val="2"/>
        </w:numPr>
        <w:spacing w:after="40" w:before="40"/>
      </w:pPr>
      <w:r>
        <w:rPr>
          <w:rFonts w:ascii="Calibri" w:cs="Calibri" w:eastAsia="Calibri" w:hAnsi="Calibri"/>
          <w:color w:val="444444"/>
          <w:sz w:val="22"/>
          <w:szCs w:val="22"/>
        </w:rPr>
        <w:t xml:space="preserve">What does the standard require when a commitment is missed — before the client raises it?</w:t>
      </w:r>
    </w:p>
    <w:p>
      <w:pPr>
        <w:pStyle w:val="ListParagraph"/>
        <w:numPr>
          <w:ilvl w:val="0"/>
          <w:numId w:val="2"/>
        </w:numPr>
        <w:spacing w:after="40" w:before="40"/>
      </w:pPr>
      <w:r>
        <w:rPr>
          <w:rFonts w:ascii="Calibri" w:cs="Calibri" w:eastAsia="Calibri" w:hAnsi="Calibri"/>
          <w:color w:val="444444"/>
          <w:sz w:val="22"/>
          <w:szCs w:val="22"/>
        </w:rPr>
        <w:t xml:space="preserve">The executive sponsor's comment was 'not escalated.' Under the Signal Framework, what category of signal is an executive sponsor's comment about commitment reliability?</w:t>
      </w:r>
    </w:p>
    <w:p>
      <w:pPr>
        <w:spacing w:after="120" w:before="120"/>
      </w:pPr>
    </w:p>
    <w:p>
      <w:pPr>
        <w:pStyle w:val="Heading3"/>
        <w:spacing w:after="60" w:before="200"/>
      </w:pPr>
      <w:r>
        <w:rPr>
          <w:rFonts w:ascii="Calibri" w:cs="Calibri" w:eastAsia="Calibri" w:hAnsi="Calibri"/>
          <w:b/>
          <w:bCs/>
          <w:color w:val="1C1C1C"/>
          <w:sz w:val="22"/>
          <w:szCs w:val="22"/>
        </w:rPr>
        <w:t xml:space="preserve">Lesson Statement</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A missed commitment that the client surfaces is a trust event. A missed commitment that the team surfaces proactively — with a new committed date and a brief explanation — is a trust-building event. The difference is not the missed commitment. The difference is who surfaces it first.</w:t>
      </w:r>
    </w:p>
    <w:p>
      <w:pPr>
        <w:pStyle w:val="Heading3"/>
        <w:spacing w:after="60" w:before="200"/>
      </w:pPr>
      <w:r>
        <w:rPr>
          <w:rFonts w:ascii="Calibri" w:cs="Calibri" w:eastAsia="Calibri" w:hAnsi="Calibri"/>
          <w:b/>
          <w:bCs/>
          <w:color w:val="1C1C1C"/>
          <w:sz w:val="22"/>
          <w:szCs w:val="22"/>
        </w:rPr>
        <w:t xml:space="preserve">Next Practice Rep Prompt</w:t>
      </w:r>
    </w:p>
    <w:p>
      <w:pPr>
        <w:spacing w:after="80" w:before="60"/>
      </w:pPr>
      <w:r>
        <w:rPr>
          <w:rFonts w:ascii="Calibri" w:cs="Calibri" w:eastAsia="Calibri" w:hAnsi="Calibri"/>
          <w:color w:val="444444"/>
          <w:sz w:val="22"/>
          <w:szCs w:val="22"/>
        </w:rPr>
        <w:t xml:space="preserve">Before the next session: review your current open commitments. Identify any that are at risk of being missed. Contact the client proactively — before the deadline — with a new committed date and a brief explanation. Document the client's response.</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Scenario 4 — The Status Update That Failed</w:t>
      </w:r>
    </w:p>
    <w:p>
      <w:pPr>
        <w:spacing w:after="40" w:before="80"/>
      </w:pPr>
      <w:r>
        <w:rPr>
          <w:rFonts w:ascii="Calibri" w:cs="Calibri" w:eastAsia="Calibri" w:hAnsi="Calibri"/>
          <w:b/>
          <w:bCs/>
          <w:caps/>
          <w:color w:val="FF6200"/>
          <w:sz w:val="18"/>
          <w:szCs w:val="18"/>
        </w:rPr>
        <w:t xml:space="preserve">Primary Dimension: Communication Discipline | Difficulty: Intermediate</w:t>
      </w:r>
    </w:p>
    <w:p>
      <w:pPr>
        <w:spacing w:after="120" w:before="120"/>
      </w:pPr>
    </w:p>
    <w:p>
      <w:pPr>
        <w:pStyle w:val="Heading3"/>
        <w:spacing w:after="60" w:before="200"/>
      </w:pPr>
      <w:r>
        <w:rPr>
          <w:rFonts w:ascii="Calibri" w:cs="Calibri" w:eastAsia="Calibri" w:hAnsi="Calibri"/>
          <w:b/>
          <w:bCs/>
          <w:color w:val="1C1C1C"/>
          <w:sz w:val="22"/>
          <w:szCs w:val="22"/>
        </w:rPr>
        <w:t xml:space="preserve">Setup Narrative</w:t>
      </w:r>
    </w:p>
    <w:p>
      <w:pPr>
        <w:spacing w:after="80" w:before="60"/>
      </w:pPr>
      <w:r>
        <w:rPr>
          <w:rFonts w:ascii="Calibri" w:cs="Calibri" w:eastAsia="Calibri" w:hAnsi="Calibri"/>
          <w:color w:val="444444"/>
          <w:sz w:val="22"/>
          <w:szCs w:val="22"/>
        </w:rPr>
        <w:t xml:space="preserve">A senior consultant drafted a weekly status update email to the client. The email covered what was completed this week, what was planned for next week, and noted that 'the project is on track.' The consultant applied the Three Tests before sending. The Repeat-Back Test passed — the content was clear. The Stakes Test passed — the client understood the current state. The Next-Step Test failed — there was no clear action requested from the client, and no specific next communication was defined. The consultant sent the email anyway, reasoning that it was 'just a status update' and that the Next-Step Test didn't really apply to routine communications. The client received the email, read it, and filed it. Two days later, the client sent a separate email asking when they should expect the next update and whether there was anything they needed to do before the next milestone. The consultant had to respond to both questions — which were answered in the original email, but not clearly enough to produce the right client behavior.</w:t>
      </w:r>
    </w:p>
    <w:p>
      <w:pPr>
        <w:spacing w:after="120" w:before="120"/>
      </w:pPr>
    </w:p>
    <w:p>
      <w:pPr>
        <w:pStyle w:val="Heading3"/>
        <w:spacing w:after="60" w:before="200"/>
      </w:pPr>
      <w:r>
        <w:rPr>
          <w:rFonts w:ascii="Calibri" w:cs="Calibri" w:eastAsia="Calibri" w:hAnsi="Calibri"/>
          <w:b/>
          <w:bCs/>
          <w:color w:val="1C1C1C"/>
          <w:sz w:val="22"/>
          <w:szCs w:val="22"/>
        </w:rPr>
        <w:t xml:space="preserve">Reconstruction Questions</w:t>
      </w:r>
    </w:p>
    <w:p>
      <w:pPr>
        <w:pStyle w:val="ListParagraph"/>
        <w:numPr>
          <w:ilvl w:val="0"/>
          <w:numId w:val="2"/>
        </w:numPr>
        <w:spacing w:after="40" w:before="40"/>
      </w:pPr>
      <w:r>
        <w:rPr>
          <w:rFonts w:ascii="Calibri" w:cs="Calibri" w:eastAsia="Calibri" w:hAnsi="Calibri"/>
          <w:color w:val="444444"/>
          <w:sz w:val="22"/>
          <w:szCs w:val="22"/>
        </w:rPr>
        <w:t xml:space="preserve">Walk me through the Three Tests application. Which tests passed? Which failed?</w:t>
      </w:r>
    </w:p>
    <w:p>
      <w:pPr>
        <w:pStyle w:val="ListParagraph"/>
        <w:numPr>
          <w:ilvl w:val="0"/>
          <w:numId w:val="2"/>
        </w:numPr>
        <w:spacing w:after="40" w:before="40"/>
      </w:pPr>
      <w:r>
        <w:rPr>
          <w:rFonts w:ascii="Calibri" w:cs="Calibri" w:eastAsia="Calibri" w:hAnsi="Calibri"/>
          <w:color w:val="444444"/>
          <w:sz w:val="22"/>
          <w:szCs w:val="22"/>
        </w:rPr>
        <w:t xml:space="preserve">What was the consultant's reasoning for sending the email despite the Next-Step Test failure?</w:t>
      </w:r>
    </w:p>
    <w:p>
      <w:pPr>
        <w:pStyle w:val="ListParagraph"/>
        <w:numPr>
          <w:ilvl w:val="0"/>
          <w:numId w:val="2"/>
        </w:numPr>
        <w:spacing w:after="40" w:before="40"/>
      </w:pPr>
      <w:r>
        <w:rPr>
          <w:rFonts w:ascii="Calibri" w:cs="Calibri" w:eastAsia="Calibri" w:hAnsi="Calibri"/>
          <w:color w:val="444444"/>
          <w:sz w:val="22"/>
          <w:szCs w:val="22"/>
        </w:rPr>
        <w:t xml:space="preserve">What did the client's follow-up email ask? What does that tell us about what the original email failed to communicate?</w:t>
      </w:r>
    </w:p>
    <w:p>
      <w:pPr>
        <w:spacing w:after="120" w:before="120"/>
      </w:pPr>
    </w:p>
    <w:p>
      <w:pPr>
        <w:pStyle w:val="Heading3"/>
        <w:spacing w:after="60" w:before="200"/>
      </w:pPr>
      <w:r>
        <w:rPr>
          <w:rFonts w:ascii="Calibri" w:cs="Calibri" w:eastAsia="Calibri" w:hAnsi="Calibri"/>
          <w:b/>
          <w:bCs/>
          <w:color w:val="1C1C1C"/>
          <w:sz w:val="22"/>
          <w:szCs w:val="22"/>
        </w:rPr>
        <w:t xml:space="preserve">Standard Contrast Questions</w:t>
      </w:r>
    </w:p>
    <w:p>
      <w:pPr>
        <w:pStyle w:val="ListParagraph"/>
        <w:numPr>
          <w:ilvl w:val="0"/>
          <w:numId w:val="2"/>
        </w:numPr>
        <w:spacing w:after="40" w:before="40"/>
      </w:pPr>
      <w:r>
        <w:rPr>
          <w:rFonts w:ascii="Calibri" w:cs="Calibri" w:eastAsia="Calibri" w:hAnsi="Calibri"/>
          <w:color w:val="444444"/>
          <w:sz w:val="22"/>
          <w:szCs w:val="22"/>
        </w:rPr>
        <w:t xml:space="preserve">Non-Negotiable II states that every client-facing communication passes the Three Tests before it is sent — no exceptions. Is a weekly status update a client-facing communication?</w:t>
      </w:r>
    </w:p>
    <w:p>
      <w:pPr>
        <w:pStyle w:val="ListParagraph"/>
        <w:numPr>
          <w:ilvl w:val="0"/>
          <w:numId w:val="2"/>
        </w:numPr>
        <w:spacing w:after="40" w:before="40"/>
      </w:pPr>
      <w:r>
        <w:rPr>
          <w:rFonts w:ascii="Calibri" w:cs="Calibri" w:eastAsia="Calibri" w:hAnsi="Calibri"/>
          <w:color w:val="444444"/>
          <w:sz w:val="22"/>
          <w:szCs w:val="22"/>
        </w:rPr>
        <w:t xml:space="preserve">What would the email have looked like if the Next-Step Test had been applied and the email had been rewritten to pass it?</w:t>
      </w:r>
    </w:p>
    <w:p>
      <w:pPr>
        <w:pStyle w:val="ListParagraph"/>
        <w:numPr>
          <w:ilvl w:val="0"/>
          <w:numId w:val="2"/>
        </w:numPr>
        <w:spacing w:after="40" w:before="40"/>
      </w:pPr>
      <w:r>
        <w:rPr>
          <w:rFonts w:ascii="Calibri" w:cs="Calibri" w:eastAsia="Calibri" w:hAnsi="Calibri"/>
          <w:color w:val="444444"/>
          <w:sz w:val="22"/>
          <w:szCs w:val="22"/>
        </w:rPr>
        <w:t xml:space="preserve">The consultant reasoned that the Next-Step Test 'didn't really apply' to routine communications. What is the risk of this reasoning pattern at scale?</w:t>
      </w:r>
    </w:p>
    <w:p>
      <w:pPr>
        <w:spacing w:after="120" w:before="120"/>
      </w:pPr>
    </w:p>
    <w:p>
      <w:pPr>
        <w:pStyle w:val="Heading3"/>
        <w:spacing w:after="60" w:before="200"/>
      </w:pPr>
      <w:r>
        <w:rPr>
          <w:rFonts w:ascii="Calibri" w:cs="Calibri" w:eastAsia="Calibri" w:hAnsi="Calibri"/>
          <w:b/>
          <w:bCs/>
          <w:color w:val="1C1C1C"/>
          <w:sz w:val="22"/>
          <w:szCs w:val="22"/>
        </w:rPr>
        <w:t xml:space="preserve">Lesson Statement</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The Three Tests apply to every client-facing communication — major or minor. There are no exceptions for 'just a status update.' A communication that does not produce the intended client behavior has failed — regardless of whether it was technically accurate. The test is not about the importance of the communication. It is about whether the communication produces the right action.</w:t>
      </w:r>
    </w:p>
    <w:p>
      <w:pPr>
        <w:pStyle w:val="Heading3"/>
        <w:spacing w:after="60" w:before="200"/>
      </w:pPr>
      <w:r>
        <w:rPr>
          <w:rFonts w:ascii="Calibri" w:cs="Calibri" w:eastAsia="Calibri" w:hAnsi="Calibri"/>
          <w:b/>
          <w:bCs/>
          <w:color w:val="1C1C1C"/>
          <w:sz w:val="22"/>
          <w:szCs w:val="22"/>
        </w:rPr>
        <w:t xml:space="preserve">Next Practice Rep Prompt</w:t>
      </w:r>
    </w:p>
    <w:p>
      <w:pPr>
        <w:spacing w:after="80" w:before="60"/>
      </w:pPr>
      <w:r>
        <w:rPr>
          <w:rFonts w:ascii="Calibri" w:cs="Calibri" w:eastAsia="Calibri" w:hAnsi="Calibri"/>
          <w:color w:val="444444"/>
          <w:sz w:val="22"/>
          <w:szCs w:val="22"/>
        </w:rPr>
        <w:t xml:space="preserve">Before the next session: apply the Three Tests to your next three client-facing communications — including routine ones. Document which tests each communication passed and failed on the first draft, and what you changed before sending. Bring the documentation to the next CEES Session.</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Scenario 5 — The Handoff That Lost the Client</w:t>
      </w:r>
    </w:p>
    <w:p>
      <w:pPr>
        <w:spacing w:after="40" w:before="80"/>
      </w:pPr>
      <w:r>
        <w:rPr>
          <w:rFonts w:ascii="Calibri" w:cs="Calibri" w:eastAsia="Calibri" w:hAnsi="Calibri"/>
          <w:b/>
          <w:bCs/>
          <w:caps/>
          <w:color w:val="FF6200"/>
          <w:sz w:val="18"/>
          <w:szCs w:val="18"/>
        </w:rPr>
        <w:t xml:space="preserve">Primary Dimension: Ownership Clarity | Difficulty: Intermediate</w:t>
      </w:r>
    </w:p>
    <w:p>
      <w:pPr>
        <w:spacing w:after="120" w:before="120"/>
      </w:pPr>
    </w:p>
    <w:p>
      <w:pPr>
        <w:pStyle w:val="Heading3"/>
        <w:spacing w:after="60" w:before="200"/>
      </w:pPr>
      <w:r>
        <w:rPr>
          <w:rFonts w:ascii="Calibri" w:cs="Calibri" w:eastAsia="Calibri" w:hAnsi="Calibri"/>
          <w:b/>
          <w:bCs/>
          <w:color w:val="1C1C1C"/>
          <w:sz w:val="22"/>
          <w:szCs w:val="22"/>
        </w:rPr>
        <w:t xml:space="preserve">Setup Narrative</w:t>
      </w:r>
    </w:p>
    <w:p>
      <w:pPr>
        <w:spacing w:after="80" w:before="60"/>
      </w:pPr>
      <w:r>
        <w:rPr>
          <w:rFonts w:ascii="Calibri" w:cs="Calibri" w:eastAsia="Calibri" w:hAnsi="Calibri"/>
          <w:color w:val="444444"/>
          <w:sz w:val="22"/>
          <w:szCs w:val="22"/>
        </w:rPr>
        <w:t xml:space="preserve">A senior engagement lead was transitioning off a long-running managed services account to take on a new strategic engagement. The transition was planned two weeks in advance. The incoming lead was briefed verbally over two 30-minute calls. The client was notified by email — a single paragraph from the outgoing lead, copied to the incoming lead, stating that 'going forward, [incoming lead name] will be your primary contact.' The incoming lead did not send a separate introduction. The client did not respond to the transition email. Three weeks after the transition, the client's operations director called the outgoing lead directly — not the incoming lead — to discuss a service issue. When the outgoing lead redirected the call to the incoming lead, the client said: 'I don't really know that person yet.' The service issue was resolved. But the client's next contract renewal was for a reduced scope.</w:t>
      </w:r>
    </w:p>
    <w:p>
      <w:pPr>
        <w:spacing w:after="120" w:before="120"/>
      </w:pPr>
    </w:p>
    <w:p>
      <w:pPr>
        <w:pStyle w:val="Heading3"/>
        <w:spacing w:after="60" w:before="200"/>
      </w:pPr>
      <w:r>
        <w:rPr>
          <w:rFonts w:ascii="Calibri" w:cs="Calibri" w:eastAsia="Calibri" w:hAnsi="Calibri"/>
          <w:b/>
          <w:bCs/>
          <w:color w:val="1C1C1C"/>
          <w:sz w:val="22"/>
          <w:szCs w:val="22"/>
        </w:rPr>
        <w:t xml:space="preserve">Reconstruction Questions</w:t>
      </w:r>
    </w:p>
    <w:p>
      <w:pPr>
        <w:pStyle w:val="ListParagraph"/>
        <w:numPr>
          <w:ilvl w:val="0"/>
          <w:numId w:val="2"/>
        </w:numPr>
        <w:spacing w:after="40" w:before="40"/>
      </w:pPr>
      <w:r>
        <w:rPr>
          <w:rFonts w:ascii="Calibri" w:cs="Calibri" w:eastAsia="Calibri" w:hAnsi="Calibri"/>
          <w:color w:val="444444"/>
          <w:sz w:val="22"/>
          <w:szCs w:val="22"/>
        </w:rPr>
        <w:t xml:space="preserve">Walk me through the handoff process. What documentation was prepared? What briefings occurred?</w:t>
      </w:r>
    </w:p>
    <w:p>
      <w:pPr>
        <w:pStyle w:val="ListParagraph"/>
        <w:numPr>
          <w:ilvl w:val="0"/>
          <w:numId w:val="2"/>
        </w:numPr>
        <w:spacing w:after="40" w:before="40"/>
      </w:pPr>
      <w:r>
        <w:rPr>
          <w:rFonts w:ascii="Calibri" w:cs="Calibri" w:eastAsia="Calibri" w:hAnsi="Calibri"/>
          <w:color w:val="444444"/>
          <w:sz w:val="22"/>
          <w:szCs w:val="22"/>
        </w:rPr>
        <w:t xml:space="preserve">What did the client receive from the team during the transition? What did they not receive?</w:t>
      </w:r>
    </w:p>
    <w:p>
      <w:pPr>
        <w:pStyle w:val="ListParagraph"/>
        <w:numPr>
          <w:ilvl w:val="0"/>
          <w:numId w:val="2"/>
        </w:numPr>
        <w:spacing w:after="40" w:before="40"/>
      </w:pPr>
      <w:r>
        <w:rPr>
          <w:rFonts w:ascii="Calibri" w:cs="Calibri" w:eastAsia="Calibri" w:hAnsi="Calibri"/>
          <w:color w:val="444444"/>
          <w:sz w:val="22"/>
          <w:szCs w:val="22"/>
        </w:rPr>
        <w:t xml:space="preserve">When the client called the outgoing lead three weeks after the transition, what did that behavior signal?</w:t>
      </w:r>
    </w:p>
    <w:p>
      <w:pPr>
        <w:pStyle w:val="ListParagraph"/>
        <w:numPr>
          <w:ilvl w:val="0"/>
          <w:numId w:val="2"/>
        </w:numPr>
        <w:spacing w:after="40" w:before="40"/>
      </w:pPr>
      <w:r>
        <w:rPr>
          <w:rFonts w:ascii="Calibri" w:cs="Calibri" w:eastAsia="Calibri" w:hAnsi="Calibri"/>
          <w:color w:val="444444"/>
          <w:sz w:val="22"/>
          <w:szCs w:val="22"/>
        </w:rPr>
        <w:t xml:space="preserve">What did the client say when redirected to the incoming lead?</w:t>
      </w:r>
    </w:p>
    <w:p>
      <w:pPr>
        <w:spacing w:after="120" w:before="120"/>
      </w:pPr>
    </w:p>
    <w:p>
      <w:pPr>
        <w:pStyle w:val="Heading3"/>
        <w:spacing w:after="60" w:before="200"/>
      </w:pPr>
      <w:r>
        <w:rPr>
          <w:rFonts w:ascii="Calibri" w:cs="Calibri" w:eastAsia="Calibri" w:hAnsi="Calibri"/>
          <w:b/>
          <w:bCs/>
          <w:color w:val="1C1C1C"/>
          <w:sz w:val="22"/>
          <w:szCs w:val="22"/>
        </w:rPr>
        <w:t xml:space="preserve">Standard Contrast Questions</w:t>
      </w:r>
    </w:p>
    <w:p>
      <w:pPr>
        <w:pStyle w:val="ListParagraph"/>
        <w:numPr>
          <w:ilvl w:val="0"/>
          <w:numId w:val="2"/>
        </w:numPr>
        <w:spacing w:after="40" w:before="40"/>
      </w:pPr>
      <w:r>
        <w:rPr>
          <w:rFonts w:ascii="Calibri" w:cs="Calibri" w:eastAsia="Calibri" w:hAnsi="Calibri"/>
          <w:color w:val="444444"/>
          <w:sz w:val="22"/>
          <w:szCs w:val="22"/>
        </w:rPr>
        <w:t xml:space="preserve">The Handoff Runbook requires six steps. Which steps were followed in this scenario? Which were skipped?</w:t>
      </w:r>
    </w:p>
    <w:p>
      <w:pPr>
        <w:pStyle w:val="ListParagraph"/>
        <w:numPr>
          <w:ilvl w:val="0"/>
          <w:numId w:val="2"/>
        </w:numPr>
        <w:spacing w:after="40" w:before="40"/>
      </w:pPr>
      <w:r>
        <w:rPr>
          <w:rFonts w:ascii="Calibri" w:cs="Calibri" w:eastAsia="Calibri" w:hAnsi="Calibri"/>
          <w:color w:val="444444"/>
          <w:sz w:val="22"/>
          <w:szCs w:val="22"/>
        </w:rPr>
        <w:t xml:space="preserve">Step 3 of the Handoff Runbook requires the outgoing owner to introduce the incoming owner to the client personally — email, call, or meeting. What happened instead?</w:t>
      </w:r>
    </w:p>
    <w:p>
      <w:pPr>
        <w:pStyle w:val="ListParagraph"/>
        <w:numPr>
          <w:ilvl w:val="0"/>
          <w:numId w:val="2"/>
        </w:numPr>
        <w:spacing w:after="40" w:before="40"/>
      </w:pPr>
      <w:r>
        <w:rPr>
          <w:rFonts w:ascii="Calibri" w:cs="Calibri" w:eastAsia="Calibri" w:hAnsi="Calibri"/>
          <w:color w:val="444444"/>
          <w:sz w:val="22"/>
          <w:szCs w:val="22"/>
        </w:rPr>
        <w:t xml:space="preserve">The client's reduced renewal scope is a lagging indicator. What leading indicators, visible during the transition, predicted this outcome?</w:t>
      </w:r>
    </w:p>
    <w:p>
      <w:pPr>
        <w:spacing w:after="120" w:before="120"/>
      </w:pPr>
    </w:p>
    <w:p>
      <w:pPr>
        <w:pStyle w:val="Heading3"/>
        <w:spacing w:after="60" w:before="200"/>
      </w:pPr>
      <w:r>
        <w:rPr>
          <w:rFonts w:ascii="Calibri" w:cs="Calibri" w:eastAsia="Calibri" w:hAnsi="Calibri"/>
          <w:b/>
          <w:bCs/>
          <w:color w:val="1C1C1C"/>
          <w:sz w:val="22"/>
          <w:szCs w:val="22"/>
        </w:rPr>
        <w:t xml:space="preserve">Lesson Statement</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A handoff that the client experiences as a disruption is a trust event — and not a positive one. The client's relationship is with the team, not with any individual. But the client's experience of continuity is determined by the quality of the handoff. A handoff that leaves the client uncertain about who their contact is has failed — regardless of whether the incoming owner is technically capable.</w:t>
      </w:r>
    </w:p>
    <w:p>
      <w:pPr>
        <w:pStyle w:val="Heading3"/>
        <w:spacing w:after="60" w:before="200"/>
      </w:pPr>
      <w:r>
        <w:rPr>
          <w:rFonts w:ascii="Calibri" w:cs="Calibri" w:eastAsia="Calibri" w:hAnsi="Calibri"/>
          <w:b/>
          <w:bCs/>
          <w:color w:val="1C1C1C"/>
          <w:sz w:val="22"/>
          <w:szCs w:val="22"/>
        </w:rPr>
        <w:t xml:space="preserve">Next Practice Rep Prompt</w:t>
      </w:r>
    </w:p>
    <w:p>
      <w:pPr>
        <w:spacing w:after="80" w:before="60"/>
      </w:pPr>
      <w:r>
        <w:rPr>
          <w:rFonts w:ascii="Calibri" w:cs="Calibri" w:eastAsia="Calibri" w:hAnsi="Calibri"/>
          <w:color w:val="444444"/>
          <w:sz w:val="22"/>
          <w:szCs w:val="22"/>
        </w:rPr>
        <w:t xml:space="preserve">Before the next session: identify one upcoming or recent handoff on your current engagements. Evaluate it against the six-step Handoff Runbook. Identify which steps were followed and which were not. Bring the evaluation to the next CEES Session.</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Scenario 6 — The Signal That Was Missed</w:t>
      </w:r>
    </w:p>
    <w:p>
      <w:pPr>
        <w:spacing w:after="40" w:before="80"/>
      </w:pPr>
      <w:r>
        <w:rPr>
          <w:rFonts w:ascii="Calibri" w:cs="Calibri" w:eastAsia="Calibri" w:hAnsi="Calibri"/>
          <w:b/>
          <w:bCs/>
          <w:caps/>
          <w:color w:val="FF6200"/>
          <w:sz w:val="18"/>
          <w:szCs w:val="18"/>
        </w:rPr>
        <w:t xml:space="preserve">Primary Dimension: Signal Intelligence | Difficulty: Advanced</w:t>
      </w:r>
    </w:p>
    <w:p>
      <w:pPr>
        <w:spacing w:after="120" w:before="120"/>
      </w:pPr>
    </w:p>
    <w:p>
      <w:pPr>
        <w:pStyle w:val="Heading3"/>
        <w:spacing w:after="60" w:before="200"/>
      </w:pPr>
      <w:r>
        <w:rPr>
          <w:rFonts w:ascii="Calibri" w:cs="Calibri" w:eastAsia="Calibri" w:hAnsi="Calibri"/>
          <w:b/>
          <w:bCs/>
          <w:color w:val="1C1C1C"/>
          <w:sz w:val="22"/>
          <w:szCs w:val="22"/>
        </w:rPr>
        <w:t xml:space="preserve">Setup Narrative</w:t>
      </w:r>
    </w:p>
    <w:p>
      <w:pPr>
        <w:spacing w:after="80" w:before="60"/>
      </w:pPr>
      <w:r>
        <w:rPr>
          <w:rFonts w:ascii="Calibri" w:cs="Calibri" w:eastAsia="Calibri" w:hAnsi="Calibri"/>
          <w:color w:val="444444"/>
          <w:sz w:val="22"/>
          <w:szCs w:val="22"/>
        </w:rPr>
        <w:t xml:space="preserve">Over a six-week period on a cloud migration engagement, the following events occurred: Week 1 — the client's IT director stopped attending the weekly status call, sending a delegate instead. Week 2 — the client's project manager began responding to emails within 48 hours rather than same-day. Week 3 — the client requested a change to the meeting format, asking for written summaries instead of live calls. Week 4 — the client's executive sponsor sent a brief email asking for 'a high-level summary of where things stand.' Week 5 — the client's legal team requested a copy of the contract. Week 6 — the client requested a formal project review meeting with senior leadership present. The Engagement Lead had noted each of these events individually but had not connected them as a pattern. At the formal review meeting, the client's executive sponsor stated that they had 'lost confidence in the engagement' and were considering terminating the contract.</w:t>
      </w:r>
    </w:p>
    <w:p>
      <w:pPr>
        <w:spacing w:after="120" w:before="120"/>
      </w:pPr>
    </w:p>
    <w:p>
      <w:pPr>
        <w:pStyle w:val="Heading3"/>
        <w:spacing w:after="60" w:before="200"/>
      </w:pPr>
      <w:r>
        <w:rPr>
          <w:rFonts w:ascii="Calibri" w:cs="Calibri" w:eastAsia="Calibri" w:hAnsi="Calibri"/>
          <w:b/>
          <w:bCs/>
          <w:color w:val="1C1C1C"/>
          <w:sz w:val="22"/>
          <w:szCs w:val="22"/>
        </w:rPr>
        <w:t xml:space="preserve">Reconstruction Questions</w:t>
      </w:r>
    </w:p>
    <w:p>
      <w:pPr>
        <w:pStyle w:val="ListParagraph"/>
        <w:numPr>
          <w:ilvl w:val="0"/>
          <w:numId w:val="2"/>
        </w:numPr>
        <w:spacing w:after="40" w:before="40"/>
      </w:pPr>
      <w:r>
        <w:rPr>
          <w:rFonts w:ascii="Calibri" w:cs="Calibri" w:eastAsia="Calibri" w:hAnsi="Calibri"/>
          <w:color w:val="444444"/>
          <w:sz w:val="22"/>
          <w:szCs w:val="22"/>
        </w:rPr>
        <w:t xml:space="preserve">Walk me through each of the six events, week by week. What happened? What signal did each event represent?</w:t>
      </w:r>
    </w:p>
    <w:p>
      <w:pPr>
        <w:pStyle w:val="ListParagraph"/>
        <w:numPr>
          <w:ilvl w:val="0"/>
          <w:numId w:val="2"/>
        </w:numPr>
        <w:spacing w:after="40" w:before="40"/>
      </w:pPr>
      <w:r>
        <w:rPr>
          <w:rFonts w:ascii="Calibri" w:cs="Calibri" w:eastAsia="Calibri" w:hAnsi="Calibri"/>
          <w:color w:val="444444"/>
          <w:sz w:val="22"/>
          <w:szCs w:val="22"/>
        </w:rPr>
        <w:t xml:space="preserve">At what point in the six-week sequence was the first Amber flag condition met?</w:t>
      </w:r>
    </w:p>
    <w:p>
      <w:pPr>
        <w:pStyle w:val="ListParagraph"/>
        <w:numPr>
          <w:ilvl w:val="0"/>
          <w:numId w:val="2"/>
        </w:numPr>
        <w:spacing w:after="40" w:before="40"/>
      </w:pPr>
      <w:r>
        <w:rPr>
          <w:rFonts w:ascii="Calibri" w:cs="Calibri" w:eastAsia="Calibri" w:hAnsi="Calibri"/>
          <w:color w:val="444444"/>
          <w:sz w:val="22"/>
          <w:szCs w:val="22"/>
        </w:rPr>
        <w:t xml:space="preserve">At what point was the first Red flag condition met?</w:t>
      </w:r>
    </w:p>
    <w:p>
      <w:pPr>
        <w:pStyle w:val="ListParagraph"/>
        <w:numPr>
          <w:ilvl w:val="0"/>
          <w:numId w:val="2"/>
        </w:numPr>
        <w:spacing w:after="40" w:before="40"/>
      </w:pPr>
      <w:r>
        <w:rPr>
          <w:rFonts w:ascii="Calibri" w:cs="Calibri" w:eastAsia="Calibri" w:hAnsi="Calibri"/>
          <w:color w:val="444444"/>
          <w:sz w:val="22"/>
          <w:szCs w:val="22"/>
        </w:rPr>
        <w:t xml:space="preserve">What would the Engagement Lead have needed to do differently in Week 1 to change the trajectory of this engagement?</w:t>
      </w:r>
    </w:p>
    <w:p>
      <w:pPr>
        <w:spacing w:after="120" w:before="120"/>
      </w:pPr>
    </w:p>
    <w:p>
      <w:pPr>
        <w:pStyle w:val="Heading3"/>
        <w:spacing w:after="60" w:before="200"/>
      </w:pPr>
      <w:r>
        <w:rPr>
          <w:rFonts w:ascii="Calibri" w:cs="Calibri" w:eastAsia="Calibri" w:hAnsi="Calibri"/>
          <w:b/>
          <w:bCs/>
          <w:color w:val="1C1C1C"/>
          <w:sz w:val="22"/>
          <w:szCs w:val="22"/>
        </w:rPr>
        <w:t xml:space="preserve">Standard Contrast Questions</w:t>
      </w:r>
    </w:p>
    <w:p>
      <w:pPr>
        <w:pStyle w:val="ListParagraph"/>
        <w:numPr>
          <w:ilvl w:val="0"/>
          <w:numId w:val="2"/>
        </w:numPr>
        <w:spacing w:after="40" w:before="40"/>
      </w:pPr>
      <w:r>
        <w:rPr>
          <w:rFonts w:ascii="Calibri" w:cs="Calibri" w:eastAsia="Calibri" w:hAnsi="Calibri"/>
          <w:color w:val="444444"/>
          <w:sz w:val="22"/>
          <w:szCs w:val="22"/>
        </w:rPr>
        <w:t xml:space="preserve">The Customer Friction signal stream defines an Amber flag as 'one friction indicator observed in two consecutive weeks.' When was this condition first met in this scenario?</w:t>
      </w:r>
    </w:p>
    <w:p>
      <w:pPr>
        <w:pStyle w:val="ListParagraph"/>
        <w:numPr>
          <w:ilvl w:val="0"/>
          <w:numId w:val="2"/>
        </w:numPr>
        <w:spacing w:after="40" w:before="40"/>
      </w:pPr>
      <w:r>
        <w:rPr>
          <w:rFonts w:ascii="Calibri" w:cs="Calibri" w:eastAsia="Calibri" w:hAnsi="Calibri"/>
          <w:color w:val="444444"/>
          <w:sz w:val="22"/>
          <w:szCs w:val="22"/>
        </w:rPr>
        <w:t xml:space="preserve">The Red flag condition is 'two or more friction indicators observed simultaneously.' When was this condition first met?</w:t>
      </w:r>
    </w:p>
    <w:p>
      <w:pPr>
        <w:pStyle w:val="ListParagraph"/>
        <w:numPr>
          <w:ilvl w:val="0"/>
          <w:numId w:val="2"/>
        </w:numPr>
        <w:spacing w:after="40" w:before="40"/>
      </w:pPr>
      <w:r>
        <w:rPr>
          <w:rFonts w:ascii="Calibri" w:cs="Calibri" w:eastAsia="Calibri" w:hAnsi="Calibri"/>
          <w:color w:val="444444"/>
          <w:sz w:val="22"/>
          <w:szCs w:val="22"/>
        </w:rPr>
        <w:t xml:space="preserve">Above-standard Signal Intelligence is described as 'identifies friction patterns before the client experiences them as problems.' What pattern was visible in this scenario that the Engagement Lead did not surface?</w:t>
      </w:r>
    </w:p>
    <w:p>
      <w:pPr>
        <w:spacing w:after="120" w:before="120"/>
      </w:pPr>
    </w:p>
    <w:p>
      <w:pPr>
        <w:pStyle w:val="Heading3"/>
        <w:spacing w:after="60" w:before="200"/>
      </w:pPr>
      <w:r>
        <w:rPr>
          <w:rFonts w:ascii="Calibri" w:cs="Calibri" w:eastAsia="Calibri" w:hAnsi="Calibri"/>
          <w:b/>
          <w:bCs/>
          <w:color w:val="1C1C1C"/>
          <w:sz w:val="22"/>
          <w:szCs w:val="22"/>
        </w:rPr>
        <w:t xml:space="preserve">Lesson Statement</w:t>
      </w:r>
    </w:p>
    <w:p>
      <w:pPr>
        <w:pBdr>
          <w:left w:val="single" w:color="FF6200" w:sz="16" w:space="8"/>
        </w:pBdr>
        <w:shd w:fill="FFF3EC" w:val="clear"/>
        <w:spacing w:after="120" w:before="120"/>
        <w:ind w:left="360" w:right="360"/>
      </w:pPr>
      <w:r>
        <w:rPr>
          <w:rFonts w:ascii="Calibri" w:cs="Calibri" w:eastAsia="Calibri" w:hAnsi="Calibri"/>
          <w:i/>
          <w:iCs/>
          <w:color w:val="1C1C1C"/>
          <w:sz w:val="21"/>
          <w:szCs w:val="21"/>
        </w:rPr>
        <w:t xml:space="preserve">Individual signals are data points. Patterns are signals. A client who changes their behavior across multiple dimensions — attendance, response time, communication format, escalation level — is communicating something that no single event makes visible. Signal Intelligence requires reading the pattern, not just the event. By the time the pattern is obvious, the trust damage is already done.</w:t>
      </w:r>
    </w:p>
    <w:p>
      <w:pPr>
        <w:pStyle w:val="Heading3"/>
        <w:spacing w:after="60" w:before="200"/>
      </w:pPr>
      <w:r>
        <w:rPr>
          <w:rFonts w:ascii="Calibri" w:cs="Calibri" w:eastAsia="Calibri" w:hAnsi="Calibri"/>
          <w:b/>
          <w:bCs/>
          <w:color w:val="1C1C1C"/>
          <w:sz w:val="22"/>
          <w:szCs w:val="22"/>
        </w:rPr>
        <w:t xml:space="preserve">Next Practice Rep Prompt</w:t>
      </w:r>
    </w:p>
    <w:p>
      <w:pPr>
        <w:spacing w:after="80" w:before="60"/>
      </w:pPr>
      <w:r>
        <w:rPr>
          <w:rFonts w:ascii="Calibri" w:cs="Calibri" w:eastAsia="Calibri" w:hAnsi="Calibri"/>
          <w:color w:val="444444"/>
          <w:sz w:val="22"/>
          <w:szCs w:val="22"/>
        </w:rPr>
        <w:t xml:space="preserve">Before the next session: review the past four weeks of client behavior on your current engagement. Look for pattern shifts — not individual events. Document what you find and bring it to the next Signal Review as a signal observation, not a status update.</w:t>
      </w:r>
    </w:p>
    <w:p>
      <w:r>
        <w:br w:type="page"/>
      </w:r>
    </w:p>
    <w:p>
      <w:pPr>
        <w:pStyle w:val="Heading1"/>
        <w:pBdr>
          <w:bottom w:val="single" w:color="FF6200" w:sz="8" w:space="1"/>
        </w:pBdr>
        <w:spacing w:after="120" w:before="400"/>
      </w:pPr>
      <w:r>
        <w:rPr>
          <w:rFonts w:ascii="Calibri" w:cs="Calibri" w:eastAsia="Calibri" w:hAnsi="Calibri"/>
          <w:b/>
          <w:bCs/>
          <w:color w:val="1C1C1C"/>
          <w:sz w:val="32"/>
          <w:szCs w:val="32"/>
        </w:rPr>
        <w:t xml:space="preserve">Section 5 — WGLL Calibration Reference</w:t>
      </w:r>
    </w:p>
    <w:p>
      <w:pPr>
        <w:spacing w:after="80" w:before="60"/>
      </w:pPr>
      <w:r>
        <w:rPr>
          <w:rFonts w:ascii="Calibri" w:cs="Calibri" w:eastAsia="Calibri" w:hAnsi="Calibri"/>
          <w:color w:val="444444"/>
          <w:sz w:val="22"/>
          <w:szCs w:val="22"/>
        </w:rPr>
        <w:t xml:space="preserve">The What Good Looks Like (WGLL) Library is the EEP's calibration instrument. It gives the team a concrete, shared language for assessing delivery behavior that does not depend on individual interpretation. Use it in CEES Sessions to evaluate scenarios, in quarterly reviews to assess program health, and in 1:1s to calibrate individual development.</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Design Principle: </w:t>
      </w:r>
      <w:r>
        <w:rPr>
          <w:rFonts w:ascii="Calibri" w:cs="Calibri" w:eastAsia="Calibri" w:hAnsi="Calibri"/>
          <w:color w:val="1C1C1C"/>
          <w:sz w:val="21"/>
          <w:szCs w:val="21"/>
        </w:rPr>
        <w:t xml:space="preserve">The 'Above Standard' column describes behaviors our best practitioners already demonstrate. The goal is to make those behaviors the floor for the whole team — not a ceiling that only a few reach.</w:t>
      </w:r>
    </w:p>
    <w:p>
      <w:pPr>
        <w:spacing w:after="120" w:before="120"/>
      </w:pPr>
    </w:p>
    <w:p>
      <w:pPr>
        <w:pStyle w:val="Heading2"/>
        <w:spacing w:after="80" w:before="280"/>
      </w:pPr>
      <w:r>
        <w:rPr>
          <w:rFonts w:ascii="Calibri" w:cs="Calibri" w:eastAsia="Calibri" w:hAnsi="Calibri"/>
          <w:b/>
          <w:bCs/>
          <w:color w:val="FF6200"/>
          <w:sz w:val="26"/>
          <w:szCs w:val="26"/>
        </w:rPr>
        <w:t xml:space="preserve">5.1 — Dimension 1: Signal Intelligence</w:t>
      </w:r>
    </w:p>
    <w:p>
      <w:pPr>
        <w:spacing w:after="80" w:before="60"/>
      </w:pPr>
      <w:r>
        <w:rPr>
          <w:rFonts w:ascii="Calibri" w:cs="Calibri" w:eastAsia="Calibri" w:hAnsi="Calibri"/>
          <w:color w:val="444444"/>
          <w:sz w:val="22"/>
          <w:szCs w:val="22"/>
        </w:rPr>
        <w:t xml:space="preserve">Signal Intelligence is the team's ability to detect, interpret, and act on the three signal streams before they become problems the client surfaces.</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Behavior</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Below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At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Above Standard</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Friction Detection</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Relies on the client to surface problems. Learns about friction through complaints, escalation requests, or missed milestones.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Monitors all three signal streams weekly. Surfaces friction signals within 48 hours of observation. Uses the Signal Review format correctly.</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Reads pattern shifts before the client experiences them as friction. Surfaces predictive signals and proposes interventions before the client feels anything.</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Signal Language</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Reports task completion and timeline status in the Signal Review. Defaults to 'everything is on track' without signal evidence.</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Distinguishes between status (what happened) and signal (what the client experienced and what it predicts). Uses the three signal streams explicitly in reviews.</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Has internalized signal language to the point where it surfaces in everyday conversation — in Slack, in 1:1s, in client emails — not only in formal Signal Reviews.</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Signal Response</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Acknowledges signals when raised by others but does not act independently. Waits for direction.</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Takes action on identified signals within 24 hours. Communicates the signal and proposed response to the Engagement Lead before acting.</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Self-initiates response to signals, documents the action, and shares the pattern in the next CEES Session as a reusable lesson.</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5.2 — Dimension 2: Ownership Clarity</w:t>
      </w:r>
    </w:p>
    <w:p>
      <w:pPr>
        <w:spacing w:after="80" w:before="60"/>
      </w:pPr>
      <w:r>
        <w:rPr>
          <w:rFonts w:ascii="Calibri" w:cs="Calibri" w:eastAsia="Calibri" w:hAnsi="Calibri"/>
          <w:color w:val="444444"/>
          <w:sz w:val="22"/>
          <w:szCs w:val="22"/>
        </w:rPr>
        <w:t xml:space="preserve">Ownership Clarity is the team's ability to ensure that every engagement, issue, and escalation has a single named human being responsible for the client's experience of resolution — and that this person is visible to the client.</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Behavior</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Below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At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Above Standard</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Outcome Owner Assignment</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Ownership of client experience is ambiguous mid-engagement. Multiple people feel responsible for some things; no one feels responsible for the whole.</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Outcome Owner named at engagement kickoff. Named to the client in writing before delivery begins. Confirmed in the kickoff communication.</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Outcome Owner named proactively and visibly — the client knows who to call before they need to, and they call that person first when something comes up.</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Handoff Discipline</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Silent handoffs occur. Incoming owner learns about the engagement from incomplete documentation or verbal briefings. Client is uncertain who their contact is during transition periods.</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All handoffs follow the Handoff Runbook: named outgoing + named incoming in the same conversation, written current state, open risks, explicit confirmation from incoming.</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Handoffs are treated as trust-critical events. The outgoing owner introduces the incoming owner to the client personally. The transition is invisible to the client in terms of service quality.</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Cross-Scope Ownership</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'Not my scope' used as a closing move. Issues that fall between workstreams are left unresolved or escalated upward rather than owned laterally.</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Proactively owns issues that fall between scope boundaries. Does not wait to be asked. Surfaces the gap, owns the resolution, and communicates the resolution to the client.</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Has a pattern of closing ownership gaps that were not created by them. Other team members reference this practitioner's ownership behavior as a model.</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5.3 — Dimension 3: Communication Discipline</w:t>
      </w:r>
    </w:p>
    <w:p>
      <w:pPr>
        <w:spacing w:after="80" w:before="60"/>
      </w:pPr>
      <w:r>
        <w:rPr>
          <w:rFonts w:ascii="Calibri" w:cs="Calibri" w:eastAsia="Calibri" w:hAnsi="Calibri"/>
          <w:color w:val="444444"/>
          <w:sz w:val="22"/>
          <w:szCs w:val="22"/>
        </w:rPr>
        <w:t xml:space="preserve">Communication Discipline is the team's ability to apply the Three Tests to every client-facing communication before it is sent.</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Behavior</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Below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At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Above Standard</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Pre-Send Quality Check</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Some messages pass some of the tests. The quality gate is inconsistently applied.</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three tests applied before every client-facing communication. Messages are rewritten when any test fails.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Has internalized the tests to the point where they apply automatically. Pre-send rewrites are fast and confident. Others reference this practitioner's communications as models.</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Jargon Management</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Client communications written in delivery team language. Technical terms undefined. Acronyms unexplained.</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Client communications written in client language. Technical terms translated. Every acronym defined on first use.</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Actively calibrates language to the specific client stakeholder — a CISO hears different language than an operations lead. Same information, different frame.</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Written vs. Verbal Discipline</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Important decisions and commitments made verbally but not documented in writing within 24 hours.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decisions and commitments documented in writing within 24 hours of any meeting or call. 'If it isn't written, it didn't happen.'</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Proactively sends written recaps of informal conversations — a quick message: 'Just confirming from our call: [decision]. Let me know if I got anything wrong.'</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5.4 — Dimension 4: Outcome Validation</w:t>
      </w:r>
    </w:p>
    <w:p>
      <w:pPr>
        <w:spacing w:after="80" w:before="60"/>
      </w:pPr>
      <w:r>
        <w:rPr>
          <w:rFonts w:ascii="Calibri" w:cs="Calibri" w:eastAsia="Calibri" w:hAnsi="Calibri"/>
          <w:color w:val="444444"/>
          <w:sz w:val="22"/>
          <w:szCs w:val="22"/>
        </w:rPr>
        <w:t xml:space="preserve">Outcome Validation is the team's ability to close engagements with confirmed client articulation of value received, rather than task completion alone.</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Behavior</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Below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At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Above Standard</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Close Discipline</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Engagements declared closed when tasks are complete. No validation questions asked. Client value narrative unconfirmed.</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three validation questions asked at every engagement close — before the engagement is declared complete. Client must be able to articulate value in their own words.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Asks validation questions at milestone close, not only at engagement close. The client develops a running articulation of value that compounds across the engagement.</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Value Language</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delivery team articulates the value of the engagement on behalf of the client. The client is passive in this conversation.</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client articulates the value. The delivery team asks the questions; the client provides the answers.</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The client's value articulation is so strong and specific that it becomes the foundation for a reference conversation, case study, or expansion discussion — initiated by the client.</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Forward Risk Naming</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 closes without explicit naming of risks the client will face after delivery concludes.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At close, the delivery team names the top 3 forward risks explicitly — things the client should watch for, with specific indicators and recommended responses.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The forward risk conversation opens the next engagement discussion: 'These are the risks you'll face in the next 90 days — and here's how we'd approach them if we were working together on Phase 2.'</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5.5 — Dimension 5: Trust Architecture</w:t>
      </w:r>
    </w:p>
    <w:p>
      <w:pPr>
        <w:spacing w:after="80" w:before="60"/>
      </w:pPr>
      <w:r>
        <w:rPr>
          <w:rFonts w:ascii="Calibri" w:cs="Calibri" w:eastAsia="Calibri" w:hAnsi="Calibri"/>
          <w:color w:val="444444"/>
          <w:sz w:val="22"/>
          <w:szCs w:val="22"/>
        </w:rPr>
        <w:t xml:space="preserve">Trust Architecture is the practitioner's ability to apply the CE Framework trust model — credibility, reliability, and referenceability — to active engagements.</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Behavior</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Below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At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Above Standard</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Trust Layer Awareness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No structured approach to building client trust. Trust-building is implicit — relies on relationship quality and technical deliverables alone.</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Can identify which trust layer is active in a current engagement and apply the appropriate trust-building behaviors for that layer.</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Proactively designs trust-building moments into engagement plans from kickoff — not as an afterthought but as a structural feature of the engagement architecture.</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Trust Vocabulary</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Trust lifecycle vocabulary absent from engagement planning and review conversations.</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Trust lifecycle vocabulary used consistently with peers and in planning documentation. Engagement plans reference trust layer objectives alongside delivery objectives.</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Teaches trust architecture to peers in CEES Sessions. Has documented a referenceability outcome traceable to intentional trust design.</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Escalation as Trust Event</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Escalations are treated as problems to be managed and minimized. The goal is to resolve the issue and move on.</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Escalations are managed with transparency, accountability, and follow-through — the behaviors that build reliability in the CE Framework trust model.</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Has documented an escalation that increased client trust — where the client's confidence in the team grew as a result of how the escalation was handled.</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5.6 — Dimension 6: Program Stewardship (Level 2+ Practitioners)</w:t>
      </w:r>
    </w:p>
    <w:p>
      <w:pPr>
        <w:spacing w:after="80" w:before="60"/>
      </w:pPr>
      <w:r>
        <w:rPr>
          <w:rFonts w:ascii="Calibri" w:cs="Calibri" w:eastAsia="Calibri" w:hAnsi="Calibri"/>
          <w:color w:val="444444"/>
          <w:sz w:val="22"/>
          <w:szCs w:val="22"/>
        </w:rPr>
        <w:t xml:space="preserve">Program Stewardship evaluates the practitioner's contribution to the EEP as a living program — not just their personal delivery performance. This dimension applies to Level 2 Leads and Level 3 Trainers.</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Behavior</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Below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At Standard</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Above Standard</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CEES Contribution</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Participates in CEES Sessions only when required. Does not contribute scenarios, playbook lessons, or anti-patterns. Program participation is purely consumptive.</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Contributes one complete lesson to the playbook per six-month period — scenario, contrast analysis, and reusable insight all present. Surfaces anti-patterns early in CEES Sessions.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Has contributed three or more complete lessons to the playbook. Has proposed at least one program evolution that was considered or adopted by the Program Lead.</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Drift Detection</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Does not notice or name behavioral drift from the EEP standard. Accepts modified versions of the standard as equivalent to the standard.</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Identifies drift from standard and names it specifically and early — not accusatorially, but precisely. 'I've noticed we've moved away from the three-question reconstruction minimum.'</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Catches drift before it becomes culture. Has a documented pattern of naming drift early enough that correction is a conversation rather than a conflict.</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Mentoring</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Does not invest in the development of other practitioners. Knowledge and experience are not shared systematically.</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Actively participates in quarterly reviews, comes prepared, contributes observations, and follows up on action items.</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Proactively mentors newer practitioners: not just answering questions but scheduling coaching time, sharing scenarios, and tracking development.</w:t>
            </w:r>
          </w:p>
        </w:tc>
      </w:tr>
    </w:tbl>
    <w:p>
      <w:r>
        <w:br w:type="page"/>
      </w:r>
    </w:p>
    <w:p>
      <w:pPr>
        <w:pStyle w:val="Heading1"/>
        <w:pBdr>
          <w:bottom w:val="single" w:color="FF6200" w:sz="8" w:space="1"/>
        </w:pBdr>
        <w:spacing w:after="120" w:before="400"/>
      </w:pPr>
      <w:r>
        <w:rPr>
          <w:rFonts w:ascii="Calibri" w:cs="Calibri" w:eastAsia="Calibri" w:hAnsi="Calibri"/>
          <w:b/>
          <w:bCs/>
          <w:color w:val="1C1C1C"/>
          <w:sz w:val="32"/>
          <w:szCs w:val="32"/>
        </w:rPr>
        <w:t xml:space="preserve">Section 6 — Playbook Governance</w:t>
      </w:r>
    </w:p>
    <w:p>
      <w:pPr>
        <w:spacing w:after="80" w:before="60"/>
      </w:pPr>
      <w:r>
        <w:rPr>
          <w:rFonts w:ascii="Calibri" w:cs="Calibri" w:eastAsia="Calibri" w:hAnsi="Calibri"/>
          <w:color w:val="444444"/>
          <w:sz w:val="22"/>
          <w:szCs w:val="22"/>
        </w:rPr>
        <w:t xml:space="preserve">This section defines how the Playbook is maintained, updated, and evolved over time. The Playbook is a living document — its value depends on its currency. A Playbook that is not updated is not a Playbook; it is a historical record.</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6.1 — Update Cadence and Process</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20%"/>
            <w:tcBorders>
              <w:bottom w:val="single" w:color="FF6200" w:sz="4"/>
            </w:tcBorders>
            <w:shd w:fill="1C1C1C" w:val="clear"/>
          </w:tcPr>
          <w:p>
            <w:r>
              <w:rPr>
                <w:rFonts w:ascii="Calibri" w:cs="Calibri" w:eastAsia="Calibri" w:hAnsi="Calibri"/>
                <w:b/>
                <w:bCs/>
                <w:color w:val="FFFFFF"/>
                <w:sz w:val="18"/>
                <w:szCs w:val="18"/>
              </w:rPr>
              <w:t xml:space="preserve">Update Type</w:t>
            </w:r>
          </w:p>
        </w:tc>
        <w:tc>
          <w:tcPr>
            <w:tcW w:type="pct" w:w="25%"/>
            <w:tcBorders>
              <w:bottom w:val="single" w:color="FF6200" w:sz="4"/>
            </w:tcBorders>
            <w:shd w:fill="1C1C1C" w:val="clear"/>
          </w:tcPr>
          <w:p>
            <w:r>
              <w:rPr>
                <w:rFonts w:ascii="Calibri" w:cs="Calibri" w:eastAsia="Calibri" w:hAnsi="Calibri"/>
                <w:b/>
                <w:bCs/>
                <w:color w:val="FFFFFF"/>
                <w:sz w:val="18"/>
                <w:szCs w:val="18"/>
              </w:rPr>
              <w:t xml:space="preserve">Trigger</w:t>
            </w:r>
          </w:p>
        </w:tc>
        <w:tc>
          <w:tcPr>
            <w:tcW w:type="pct" w:w="35%"/>
            <w:tcBorders>
              <w:bottom w:val="single" w:color="FF6200" w:sz="4"/>
            </w:tcBorders>
            <w:shd w:fill="1C1C1C" w:val="clear"/>
          </w:tcPr>
          <w:p>
            <w:r>
              <w:rPr>
                <w:rFonts w:ascii="Calibri" w:cs="Calibri" w:eastAsia="Calibri" w:hAnsi="Calibri"/>
                <w:b/>
                <w:bCs/>
                <w:color w:val="FFFFFF"/>
                <w:sz w:val="18"/>
                <w:szCs w:val="18"/>
              </w:rPr>
              <w:t xml:space="preserve">Process</w:t>
            </w:r>
          </w:p>
        </w:tc>
        <w:tc>
          <w:tcPr>
            <w:tcW w:type="pct" w:w="20%"/>
            <w:tcBorders>
              <w:bottom w:val="single" w:color="FF6200" w:sz="4"/>
            </w:tcBorders>
            <w:shd w:fill="1C1C1C" w:val="clear"/>
          </w:tcPr>
          <w:p>
            <w:r>
              <w:rPr>
                <w:rFonts w:ascii="Calibri" w:cs="Calibri" w:eastAsia="Calibri" w:hAnsi="Calibri"/>
                <w:b/>
                <w:bCs/>
                <w:color w:val="FFFFFF"/>
                <w:sz w:val="18"/>
                <w:szCs w:val="18"/>
              </w:rPr>
              <w:t xml:space="preserve">Timeline</w:t>
            </w:r>
          </w:p>
        </w:tc>
      </w:tr>
      <w:tr>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Minor Update (addition)</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New scenario added to library; new lesson documented; minor clarification to existing standard</w:t>
            </w:r>
          </w:p>
        </w:tc>
        <w:tc>
          <w:tcPr>
            <w:tcW w:type="pct" w:w="3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 reviews and approves. Level 3 Trainers consulted. All practitioners informed.</w:t>
            </w:r>
          </w:p>
        </w:tc>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Within 10 business days of trigger</w:t>
            </w:r>
          </w:p>
        </w:tc>
      </w:tr>
      <w:tr>
        <w:tc>
          <w:tcPr>
            <w:tcW w:type="pct" w:w="2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Significant Update (standard change)</w:t>
            </w:r>
          </w:p>
        </w:tc>
        <w:tc>
          <w:tcPr>
            <w:tcW w:type="pct" w:w="2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Change to a Non-Negotiable, Runbook, or WGLL rubric; change to certification requirements</w:t>
            </w:r>
          </w:p>
        </w:tc>
        <w:tc>
          <w:tcPr>
            <w:tcW w:type="pct" w:w="35%"/>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Program Lead proposes. Level 3 Trainers and Engagement Leads consulted. Senior Leadership informed. Quarterly Review is primary forum.</w:t>
            </w:r>
          </w:p>
        </w:tc>
        <w:tc>
          <w:tcPr>
            <w:tcW w:type="pct" w:w="2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At next Quarterly Review (or emergency amendment process)</w:t>
            </w:r>
          </w:p>
        </w:tc>
      </w:tr>
      <w:tr>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Major Revision (version increment)</w:t>
            </w:r>
          </w:p>
        </w:tc>
        <w:tc>
          <w:tcPr>
            <w:tcW w:type="pct" w:w="2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Structural changes to the program; new component added; significant expansion of scope</w:t>
            </w:r>
          </w:p>
        </w:tc>
        <w:tc>
          <w:tcPr>
            <w:tcW w:type="pct" w:w="35%"/>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Full amendment process per Program Charter Section 9. Program Lead + Executive Sponsor approval required.</w:t>
            </w:r>
          </w:p>
        </w:tc>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Quarterly Review; version number incremented (e.g., 1.0 → 2.0)</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6.2 — Amendment Process</w:t>
      </w:r>
    </w:p>
    <w:p>
      <w:pPr>
        <w:spacing w:after="80" w:before="60"/>
      </w:pPr>
      <w:r>
        <w:rPr>
          <w:rFonts w:ascii="Calibri" w:cs="Calibri" w:eastAsia="Calibri" w:hAnsi="Calibri"/>
          <w:color w:val="444444"/>
          <w:sz w:val="22"/>
          <w:szCs w:val="22"/>
        </w:rPr>
        <w:t xml:space="preserve">This Playbook is amended through the Quarterly Signal Framework Review process. The quarterly review is the designated forum in which proposed amendments are evaluated, discussed, and either adopted or declined.</w:t>
      </w:r>
    </w:p>
    <w:p>
      <w:pPr>
        <w:spacing w:after="120" w:before="120"/>
      </w:pPr>
    </w:p>
    <w:p>
      <w:pPr>
        <w:pStyle w:val="Heading3"/>
        <w:spacing w:after="60" w:before="200"/>
      </w:pPr>
      <w:r>
        <w:rPr>
          <w:rFonts w:ascii="Calibri" w:cs="Calibri" w:eastAsia="Calibri" w:hAnsi="Calibri"/>
          <w:b/>
          <w:bCs/>
          <w:color w:val="1C1C1C"/>
          <w:sz w:val="22"/>
          <w:szCs w:val="22"/>
        </w:rPr>
        <w:t xml:space="preserve">Amendment Proposal Authority</w:t>
      </w:r>
    </w:p>
    <w:p>
      <w:pPr>
        <w:spacing w:after="80" w:before="60"/>
      </w:pPr>
      <w:r>
        <w:rPr>
          <w:rFonts w:ascii="Calibri" w:cs="Calibri" w:eastAsia="Calibri" w:hAnsi="Calibri"/>
          <w:color w:val="444444"/>
          <w:sz w:val="22"/>
          <w:szCs w:val="22"/>
        </w:rPr>
        <w:t xml:space="preserve">Any of the following parties may propose a Playbook amendment:</w:t>
      </w:r>
    </w:p>
    <w:p>
      <w:pPr>
        <w:pStyle w:val="ListParagraph"/>
        <w:numPr>
          <w:ilvl w:val="0"/>
          <w:numId w:val="1"/>
        </w:numPr>
        <w:spacing w:after="40" w:before="40"/>
      </w:pPr>
      <w:r>
        <w:rPr>
          <w:rFonts w:ascii="Calibri" w:cs="Calibri" w:eastAsia="Calibri" w:hAnsi="Calibri"/>
          <w:color w:val="444444"/>
          <w:sz w:val="22"/>
          <w:szCs w:val="22"/>
        </w:rPr>
        <w:t xml:space="preserve">The Program Lead</w:t>
      </w:r>
    </w:p>
    <w:p>
      <w:pPr>
        <w:pStyle w:val="ListParagraph"/>
        <w:numPr>
          <w:ilvl w:val="0"/>
          <w:numId w:val="1"/>
        </w:numPr>
        <w:spacing w:after="40" w:before="40"/>
      </w:pPr>
      <w:r>
        <w:rPr>
          <w:rFonts w:ascii="Calibri" w:cs="Calibri" w:eastAsia="Calibri" w:hAnsi="Calibri"/>
          <w:color w:val="444444"/>
          <w:sz w:val="22"/>
          <w:szCs w:val="22"/>
        </w:rPr>
        <w:t xml:space="preserve">Any Level 3 EEP Trainer</w:t>
      </w:r>
    </w:p>
    <w:p>
      <w:pPr>
        <w:pStyle w:val="ListParagraph"/>
        <w:numPr>
          <w:ilvl w:val="0"/>
          <w:numId w:val="1"/>
        </w:numPr>
        <w:spacing w:after="40" w:before="40"/>
      </w:pPr>
      <w:r>
        <w:rPr>
          <w:rFonts w:ascii="Calibri" w:cs="Calibri" w:eastAsia="Calibri" w:hAnsi="Calibri"/>
          <w:color w:val="444444"/>
          <w:sz w:val="22"/>
          <w:szCs w:val="22"/>
        </w:rPr>
        <w:t xml:space="preserve">Any Engagement Lead (via the Program Lead)</w:t>
      </w:r>
    </w:p>
    <w:p>
      <w:pPr>
        <w:spacing w:after="120" w:before="120"/>
      </w:pPr>
    </w:p>
    <w:p>
      <w:pPr>
        <w:spacing w:after="80" w:before="60"/>
      </w:pPr>
      <w:r>
        <w:rPr>
          <w:rFonts w:ascii="Calibri" w:cs="Calibri" w:eastAsia="Calibri" w:hAnsi="Calibri"/>
          <w:color w:val="444444"/>
          <w:sz w:val="22"/>
          <w:szCs w:val="22"/>
        </w:rPr>
        <w:t xml:space="preserve">Amendment proposals must be submitted in writing to the Program Lead no fewer than 10 business days before the quarterly review at which they are to be considered.</w:t>
      </w:r>
    </w:p>
    <w:p>
      <w:pPr>
        <w:spacing w:after="120" w:before="120"/>
      </w:pPr>
    </w:p>
    <w:p>
      <w:pPr>
        <w:pStyle w:val="Heading3"/>
        <w:spacing w:after="60" w:before="200"/>
      </w:pPr>
      <w:r>
        <w:rPr>
          <w:rFonts w:ascii="Calibri" w:cs="Calibri" w:eastAsia="Calibri" w:hAnsi="Calibri"/>
          <w:b/>
          <w:bCs/>
          <w:color w:val="1C1C1C"/>
          <w:sz w:val="22"/>
          <w:szCs w:val="22"/>
        </w:rPr>
        <w:t xml:space="preserve">Adoption Standard</w:t>
      </w:r>
    </w:p>
    <w:p>
      <w:pPr>
        <w:pStyle w:val="ListParagraph"/>
        <w:numPr>
          <w:ilvl w:val="0"/>
          <w:numId w:val="1"/>
        </w:numPr>
        <w:spacing w:after="40" w:before="40"/>
      </w:pPr>
      <w:r>
        <w:rPr>
          <w:rFonts w:ascii="Calibri" w:cs="Calibri" w:eastAsia="Calibri" w:hAnsi="Calibri"/>
          <w:color w:val="444444"/>
          <w:sz w:val="22"/>
          <w:szCs w:val="22"/>
        </w:rPr>
        <w:t xml:space="preserve">Minor updates: Program Lead approval</w:t>
      </w:r>
    </w:p>
    <w:p>
      <w:pPr>
        <w:pStyle w:val="ListParagraph"/>
        <w:numPr>
          <w:ilvl w:val="0"/>
          <w:numId w:val="1"/>
        </w:numPr>
        <w:spacing w:after="40" w:before="40"/>
      </w:pPr>
      <w:r>
        <w:rPr>
          <w:rFonts w:ascii="Calibri" w:cs="Calibri" w:eastAsia="Calibri" w:hAnsi="Calibri"/>
          <w:color w:val="444444"/>
          <w:sz w:val="22"/>
          <w:szCs w:val="22"/>
        </w:rPr>
        <w:t xml:space="preserve">Significant updates: Program Lead + Level 3 Trainers concurrence</w:t>
      </w:r>
    </w:p>
    <w:p>
      <w:pPr>
        <w:pStyle w:val="ListParagraph"/>
        <w:numPr>
          <w:ilvl w:val="0"/>
          <w:numId w:val="1"/>
        </w:numPr>
        <w:spacing w:after="40" w:before="40"/>
      </w:pPr>
      <w:r>
        <w:rPr>
          <w:rFonts w:ascii="Calibri" w:cs="Calibri" w:eastAsia="Calibri" w:hAnsi="Calibri"/>
          <w:color w:val="444444"/>
          <w:sz w:val="22"/>
          <w:szCs w:val="22"/>
        </w:rPr>
        <w:t xml:space="preserve">Changes to Non-Negotiable Commitments: Program Lead + Executive Sponsor + majority of active Engagement Leads</w:t>
      </w:r>
    </w:p>
    <w:p>
      <w:pPr>
        <w:spacing w:after="120" w:before="120"/>
      </w:pPr>
    </w:p>
    <w:p>
      <w:pPr>
        <w:pBdr>
          <w:left w:val="single" w:color="FF6200" w:sz="16" w:space="8"/>
        </w:pBdr>
        <w:shd w:fill="FFF3EC" w:val="clear"/>
        <w:spacing w:after="120" w:before="120"/>
        <w:ind w:left="360" w:right="360"/>
      </w:pPr>
      <w:r>
        <w:rPr>
          <w:rFonts w:ascii="Calibri" w:cs="Calibri" w:eastAsia="Calibri" w:hAnsi="Calibri"/>
          <w:b/>
          <w:bCs/>
          <w:color w:val="1C1C1C"/>
          <w:sz w:val="21"/>
          <w:szCs w:val="21"/>
        </w:rPr>
        <w:t xml:space="preserve">Amendment Rule: </w:t>
      </w:r>
      <w:r>
        <w:rPr>
          <w:rFonts w:ascii="Calibri" w:cs="Calibri" w:eastAsia="Calibri" w:hAnsi="Calibri"/>
          <w:color w:val="1C1C1C"/>
          <w:sz w:val="21"/>
          <w:szCs w:val="21"/>
        </w:rPr>
        <w:t xml:space="preserve">No amendment to the Five Non-Negotiable Commitments may reduce or weaken their obligations — only clarify or strengthen them.</w:t>
      </w:r>
    </w:p>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6.3 — Version History Log</w:t>
      </w: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tblGrid>
      <w:tr>
        <w:trPr>
          <w:tblHeader/>
        </w:trPr>
        <w:tc>
          <w:tcPr>
            <w:tcW w:type="pct" w:w="12%"/>
            <w:tcBorders>
              <w:bottom w:val="single" w:color="FF6200" w:sz="4"/>
            </w:tcBorders>
            <w:shd w:fill="1C1C1C" w:val="clear"/>
          </w:tcPr>
          <w:p>
            <w:r>
              <w:rPr>
                <w:rFonts w:ascii="Calibri" w:cs="Calibri" w:eastAsia="Calibri" w:hAnsi="Calibri"/>
                <w:b/>
                <w:bCs/>
                <w:color w:val="FFFFFF"/>
                <w:sz w:val="18"/>
                <w:szCs w:val="18"/>
              </w:rPr>
              <w:t xml:space="preserve">Version</w:t>
            </w:r>
          </w:p>
        </w:tc>
        <w:tc>
          <w:tcPr>
            <w:tcW w:type="pct" w:w="14%"/>
            <w:tcBorders>
              <w:bottom w:val="single" w:color="FF6200" w:sz="4"/>
            </w:tcBorders>
            <w:shd w:fill="1C1C1C" w:val="clear"/>
          </w:tcPr>
          <w:p>
            <w:r>
              <w:rPr>
                <w:rFonts w:ascii="Calibri" w:cs="Calibri" w:eastAsia="Calibri" w:hAnsi="Calibri"/>
                <w:b/>
                <w:bCs/>
                <w:color w:val="FFFFFF"/>
                <w:sz w:val="18"/>
                <w:szCs w:val="18"/>
              </w:rPr>
              <w:t xml:space="preserve">Date</w:t>
            </w:r>
          </w:p>
        </w:tc>
        <w:tc>
          <w:tcPr>
            <w:tcW w:type="pct" w:w="18%"/>
            <w:tcBorders>
              <w:bottom w:val="single" w:color="FF6200" w:sz="4"/>
            </w:tcBorders>
            <w:shd w:fill="1C1C1C" w:val="clear"/>
          </w:tcPr>
          <w:p>
            <w:r>
              <w:rPr>
                <w:rFonts w:ascii="Calibri" w:cs="Calibri" w:eastAsia="Calibri" w:hAnsi="Calibri"/>
                <w:b/>
                <w:bCs/>
                <w:color w:val="FFFFFF"/>
                <w:sz w:val="18"/>
                <w:szCs w:val="18"/>
              </w:rPr>
              <w:t xml:space="preserve">Type</w:t>
            </w:r>
          </w:p>
        </w:tc>
        <w:tc>
          <w:tcPr>
            <w:tcW w:type="pct" w:w="42%"/>
            <w:tcBorders>
              <w:bottom w:val="single" w:color="FF6200" w:sz="4"/>
            </w:tcBorders>
            <w:shd w:fill="1C1C1C" w:val="clear"/>
          </w:tcPr>
          <w:p>
            <w:r>
              <w:rPr>
                <w:rFonts w:ascii="Calibri" w:cs="Calibri" w:eastAsia="Calibri" w:hAnsi="Calibri"/>
                <w:b/>
                <w:bCs/>
                <w:color w:val="FFFFFF"/>
                <w:sz w:val="18"/>
                <w:szCs w:val="18"/>
              </w:rPr>
              <w:t xml:space="preserve">Summary of Changes</w:t>
            </w:r>
          </w:p>
        </w:tc>
        <w:tc>
          <w:tcPr>
            <w:tcW w:type="pct" w:w="14%"/>
            <w:tcBorders>
              <w:bottom w:val="single" w:color="FF6200" w:sz="4"/>
            </w:tcBorders>
            <w:shd w:fill="1C1C1C" w:val="clear"/>
          </w:tcPr>
          <w:p>
            <w:r>
              <w:rPr>
                <w:rFonts w:ascii="Calibri" w:cs="Calibri" w:eastAsia="Calibri" w:hAnsi="Calibri"/>
                <w:b/>
                <w:bCs/>
                <w:color w:val="FFFFFF"/>
                <w:sz w:val="18"/>
                <w:szCs w:val="18"/>
              </w:rPr>
              <w:t xml:space="preserve">Author</w:t>
            </w:r>
          </w:p>
        </w:tc>
      </w:tr>
      <w:tr>
        <w:tc>
          <w:tcPr>
            <w:tcW w:type="pct" w:w="1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1.0</w:t>
            </w:r>
          </w:p>
        </w:tc>
        <w:tc>
          <w:tcPr>
            <w:tcW w:type="pct" w:w="14%"/>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June 2026</w:t>
            </w:r>
          </w:p>
        </w:tc>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Initial Release</w:t>
            </w:r>
          </w:p>
        </w:tc>
        <w:tc>
          <w:tcPr>
            <w:tcW w:type="pct" w:w="4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Complete initial playbook: all six sections, four runbooks, six scenarios, six WGLL dimensions, governance model.</w:t>
            </w:r>
          </w:p>
        </w:tc>
        <w:tc>
          <w:tcPr>
            <w:tcW w:type="pct" w:w="14%"/>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Mike Garcia</w:t>
            </w:r>
          </w:p>
        </w:tc>
      </w:tr>
      <w:tr>
        <w:tc>
          <w:tcPr>
            <w:tcW w:type="pct" w:w="1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1.x</w:t>
            </w:r>
          </w:p>
        </w:tc>
        <w:tc>
          <w:tcPr>
            <w:tcW w:type="pct" w:w="14%"/>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[Next update]</w:t>
            </w:r>
          </w:p>
        </w:tc>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[Minor/Significant]</w:t>
            </w:r>
          </w:p>
        </w:tc>
        <w:tc>
          <w:tcPr>
            <w:tcW w:type="pct" w:w="4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[To be documented at next quarterly review]</w:t>
            </w:r>
          </w:p>
        </w:tc>
        <w:tc>
          <w:tcPr>
            <w:tcW w:type="pct" w:w="14%"/>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[Author]</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6.4 — Contributor Attribution</w:t>
      </w:r>
    </w:p>
    <w:p>
      <w:pPr>
        <w:spacing w:after="80" w:before="60"/>
      </w:pPr>
      <w:r>
        <w:rPr>
          <w:rFonts w:ascii="Calibri" w:cs="Calibri" w:eastAsia="Calibri" w:hAnsi="Calibri"/>
          <w:color w:val="444444"/>
          <w:sz w:val="22"/>
          <w:szCs w:val="22"/>
        </w:rPr>
        <w:t xml:space="preserve">Every practitioner who contributes a scenario, lesson, or program evolution to this Playbook is recognized here. Contributions are the mechanism by which the program sustains itself beyond any single leader.</w:t>
      </w:r>
    </w:p>
    <w:p>
      <w:pPr>
        <w:spacing w:after="120" w:before="120"/>
      </w:pP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tblGrid>
      <w:tr>
        <w:trPr>
          <w:tblHeader/>
        </w:trPr>
        <w:tc>
          <w:tcPr>
            <w:tcW w:type="pct" w:w="22%"/>
            <w:tcBorders>
              <w:bottom w:val="single" w:color="FF6200" w:sz="4"/>
            </w:tcBorders>
            <w:shd w:fill="1C1C1C" w:val="clear"/>
          </w:tcPr>
          <w:p>
            <w:r>
              <w:rPr>
                <w:rFonts w:ascii="Calibri" w:cs="Calibri" w:eastAsia="Calibri" w:hAnsi="Calibri"/>
                <w:b/>
                <w:bCs/>
                <w:color w:val="FFFFFF"/>
                <w:sz w:val="18"/>
                <w:szCs w:val="18"/>
              </w:rPr>
              <w:t xml:space="preserve">Contributor</w:t>
            </w:r>
          </w:p>
        </w:tc>
        <w:tc>
          <w:tcPr>
            <w:tcW w:type="pct" w:w="20%"/>
            <w:tcBorders>
              <w:bottom w:val="single" w:color="FF6200" w:sz="4"/>
            </w:tcBorders>
            <w:shd w:fill="1C1C1C" w:val="clear"/>
          </w:tcPr>
          <w:p>
            <w:r>
              <w:rPr>
                <w:rFonts w:ascii="Calibri" w:cs="Calibri" w:eastAsia="Calibri" w:hAnsi="Calibri"/>
                <w:b/>
                <w:bCs/>
                <w:color w:val="FFFFFF"/>
                <w:sz w:val="18"/>
                <w:szCs w:val="18"/>
              </w:rPr>
              <w:t xml:space="preserve">Certification Level</w:t>
            </w:r>
          </w:p>
        </w:tc>
        <w:tc>
          <w:tcPr>
            <w:tcW w:type="pct" w:w="32%"/>
            <w:tcBorders>
              <w:bottom w:val="single" w:color="FF6200" w:sz="4"/>
            </w:tcBorders>
            <w:shd w:fill="1C1C1C" w:val="clear"/>
          </w:tcPr>
          <w:p>
            <w:r>
              <w:rPr>
                <w:rFonts w:ascii="Calibri" w:cs="Calibri" w:eastAsia="Calibri" w:hAnsi="Calibri"/>
                <w:b/>
                <w:bCs/>
                <w:color w:val="FFFFFF"/>
                <w:sz w:val="18"/>
                <w:szCs w:val="18"/>
              </w:rPr>
              <w:t xml:space="preserve">Contribution Type</w:t>
            </w:r>
          </w:p>
        </w:tc>
        <w:tc>
          <w:tcPr>
            <w:tcW w:type="pct" w:w="12%"/>
            <w:tcBorders>
              <w:bottom w:val="single" w:color="FF6200" w:sz="4"/>
            </w:tcBorders>
            <w:shd w:fill="1C1C1C" w:val="clear"/>
          </w:tcPr>
          <w:p>
            <w:r>
              <w:rPr>
                <w:rFonts w:ascii="Calibri" w:cs="Calibri" w:eastAsia="Calibri" w:hAnsi="Calibri"/>
                <w:b/>
                <w:bCs/>
                <w:color w:val="FFFFFF"/>
                <w:sz w:val="18"/>
                <w:szCs w:val="18"/>
              </w:rPr>
              <w:t xml:space="preserve">Date</w:t>
            </w:r>
          </w:p>
        </w:tc>
        <w:tc>
          <w:tcPr>
            <w:tcW w:type="pct" w:w="14%"/>
            <w:tcBorders>
              <w:bottom w:val="single" w:color="FF6200" w:sz="4"/>
            </w:tcBorders>
            <w:shd w:fill="1C1C1C" w:val="clear"/>
          </w:tcPr>
          <w:p>
            <w:r>
              <w:rPr>
                <w:rFonts w:ascii="Calibri" w:cs="Calibri" w:eastAsia="Calibri" w:hAnsi="Calibri"/>
                <w:b/>
                <w:bCs/>
                <w:color w:val="FFFFFF"/>
                <w:sz w:val="18"/>
                <w:szCs w:val="18"/>
              </w:rPr>
              <w:t xml:space="preserve">Section</w:t>
            </w:r>
          </w:p>
        </w:tc>
      </w:tr>
      <w:tr>
        <w:tc>
          <w:tcPr>
            <w:tcW w:type="pct" w:w="2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Mike Garcia</w:t>
            </w:r>
          </w:p>
        </w:tc>
        <w:tc>
          <w:tcPr>
            <w:tcW w:type="pct" w:w="20%"/>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 / Author</w:t>
            </w:r>
          </w:p>
        </w:tc>
        <w:tc>
          <w:tcPr>
            <w:tcW w:type="pct" w:w="3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initial content — EDEv4, CEEDS, CE Framework, all runbooks, all scenarios, WGLL library</w:t>
            </w:r>
          </w:p>
        </w:tc>
        <w:tc>
          <w:tcPr>
            <w:tcW w:type="pct" w:w="12%"/>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June 2026</w:t>
            </w:r>
          </w:p>
        </w:tc>
        <w:tc>
          <w:tcPr>
            <w:tcW w:type="pct" w:w="14%"/>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All sections</w:t>
            </w:r>
          </w:p>
        </w:tc>
      </w:tr>
      <w:tr>
        <w:tc>
          <w:tcPr>
            <w:tcW w:type="pct" w:w="2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[Next contributor]</w:t>
            </w:r>
          </w:p>
        </w:tc>
        <w:tc>
          <w:tcPr>
            <w:tcW w:type="pct" w:w="20%"/>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[Level]</w:t>
            </w:r>
          </w:p>
        </w:tc>
        <w:tc>
          <w:tcPr>
            <w:tcW w:type="pct" w:w="3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[Contribution description]</w:t>
            </w:r>
          </w:p>
        </w:tc>
        <w:tc>
          <w:tcPr>
            <w:tcW w:type="pct" w:w="12%"/>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[Date]</w:t>
            </w:r>
          </w:p>
        </w:tc>
        <w:tc>
          <w:tcPr>
            <w:tcW w:type="pct" w:w="14%"/>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[Section]</w:t>
            </w:r>
          </w:p>
        </w:tc>
      </w:tr>
    </w:tbl>
    <w:p>
      <w:pPr>
        <w:spacing w:after="0" w:before="200"/>
      </w:pPr>
    </w:p>
    <w:p>
      <w:pPr>
        <w:pBdr>
          <w:bottom w:val="single" w:color="FF6200" w:sz="12" w:space="1"/>
        </w:pBdr>
        <w:spacing w:after="160" w:before="160"/>
      </w:pPr>
    </w:p>
    <w:p>
      <w:pPr>
        <w:pStyle w:val="Heading2"/>
        <w:spacing w:after="80" w:before="280"/>
      </w:pPr>
      <w:r>
        <w:rPr>
          <w:rFonts w:ascii="Calibri" w:cs="Calibri" w:eastAsia="Calibri" w:hAnsi="Calibri"/>
          <w:b/>
          <w:bCs/>
          <w:color w:val="FF6200"/>
          <w:sz w:val="26"/>
          <w:szCs w:val="26"/>
        </w:rPr>
        <w:t xml:space="preserve">6.5 — Governance Calendar</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rPr>
          <w:tblHeader/>
        </w:trPr>
        <w:tc>
          <w:tcPr>
            <w:tcW w:type="pct" w:w="18%"/>
            <w:tcBorders>
              <w:bottom w:val="single" w:color="FF6200" w:sz="4"/>
            </w:tcBorders>
            <w:shd w:fill="1C1C1C" w:val="clear"/>
          </w:tcPr>
          <w:p>
            <w:r>
              <w:rPr>
                <w:rFonts w:ascii="Calibri" w:cs="Calibri" w:eastAsia="Calibri" w:hAnsi="Calibri"/>
                <w:b/>
                <w:bCs/>
                <w:color w:val="FFFFFF"/>
                <w:sz w:val="18"/>
                <w:szCs w:val="18"/>
              </w:rPr>
              <w:t xml:space="preserve">Cadence</w:t>
            </w:r>
          </w:p>
        </w:tc>
        <w:tc>
          <w:tcPr>
            <w:tcW w:type="pct" w:w="28%"/>
            <w:tcBorders>
              <w:bottom w:val="single" w:color="FF6200" w:sz="4"/>
            </w:tcBorders>
            <w:shd w:fill="1C1C1C" w:val="clear"/>
          </w:tcPr>
          <w:p>
            <w:r>
              <w:rPr>
                <w:rFonts w:ascii="Calibri" w:cs="Calibri" w:eastAsia="Calibri" w:hAnsi="Calibri"/>
                <w:b/>
                <w:bCs/>
                <w:color w:val="FFFFFF"/>
                <w:sz w:val="18"/>
                <w:szCs w:val="18"/>
              </w:rPr>
              <w:t xml:space="preserve">Activity</w:t>
            </w:r>
          </w:p>
        </w:tc>
        <w:tc>
          <w:tcPr>
            <w:tcW w:type="pct" w:w="28%"/>
            <w:tcBorders>
              <w:bottom w:val="single" w:color="FF6200" w:sz="4"/>
            </w:tcBorders>
            <w:shd w:fill="1C1C1C" w:val="clear"/>
          </w:tcPr>
          <w:p>
            <w:r>
              <w:rPr>
                <w:rFonts w:ascii="Calibri" w:cs="Calibri" w:eastAsia="Calibri" w:hAnsi="Calibri"/>
                <w:b/>
                <w:bCs/>
                <w:color w:val="FFFFFF"/>
                <w:sz w:val="18"/>
                <w:szCs w:val="18"/>
              </w:rPr>
              <w:t xml:space="preserve">Owner</w:t>
            </w:r>
          </w:p>
        </w:tc>
        <w:tc>
          <w:tcPr>
            <w:tcW w:type="pct" w:w="26%"/>
            <w:tcBorders>
              <w:bottom w:val="single" w:color="FF6200" w:sz="4"/>
            </w:tcBorders>
            <w:shd w:fill="1C1C1C" w:val="clear"/>
          </w:tcPr>
          <w:p>
            <w:r>
              <w:rPr>
                <w:rFonts w:ascii="Calibri" w:cs="Calibri" w:eastAsia="Calibri" w:hAnsi="Calibri"/>
                <w:b/>
                <w:bCs/>
                <w:color w:val="FFFFFF"/>
                <w:sz w:val="18"/>
                <w:szCs w:val="18"/>
              </w:rPr>
              <w:t xml:space="preserve">Output</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Weekly</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Customer Signal Review</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Engagement Lead</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Signal log entry</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Bi-weekly</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CEES Session delivery</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EL or Level 3 Trainer</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Lesson documented in lesson log</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Monthly</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Three-Test spot-check</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 or Level 3 Trainer</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Spot-check report; coaching if needed</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Quarterly</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Signal Framework Review</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Program Lead</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Quarterly signal summary</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Quarterly</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Review</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adjustment commitment</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Quarterly</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Certification review</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Program Lead</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Certification log updated</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Semi-annually</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Playbook version update</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New playbook version published</w:t>
            </w:r>
          </w:p>
        </w:tc>
      </w:tr>
      <w:tr>
        <w:tc>
          <w:tcPr>
            <w:tcW w:type="pct" w:w="1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Annually</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Full program maturity assessment</w:t>
            </w:r>
          </w:p>
        </w:tc>
        <w:tc>
          <w:tcPr>
            <w:tcW w:type="pct" w:w="28%"/>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Program Lead + Senior Leadership</w:t>
            </w:r>
          </w:p>
        </w:tc>
        <w:tc>
          <w:tcPr>
            <w:tcW w:type="pct" w:w="26%"/>
            <w:tcBorders>
              <w:top w:val="none"/>
              <w:left w:val="none"/>
              <w:bottom w:val="single" w:color="E0E0E0" w:sz="2"/>
              <w:right w:val="none"/>
            </w:tcBorders>
            <w:shd w:fill="F5F5F5" w:val="clear"/>
          </w:tcPr>
          <w:p>
            <w:pPr>
              <w:spacing w:after="40" w:before="40"/>
            </w:pPr>
            <w:r>
              <w:rPr>
                <w:rFonts w:ascii="Calibri" w:cs="Calibri" w:eastAsia="Calibri" w:hAnsi="Calibri"/>
                <w:color w:val="444444"/>
                <w:sz w:val="20"/>
                <w:szCs w:val="20"/>
              </w:rPr>
              <w:t xml:space="preserve">Updated roadmap for following year</w:t>
            </w:r>
          </w:p>
        </w:tc>
      </w:tr>
      <w:tr>
        <w:tc>
          <w:tcPr>
            <w:tcW w:type="pct" w:w="1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Annually</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Program Lead succession review</w:t>
            </w:r>
          </w:p>
        </w:tc>
        <w:tc>
          <w:tcPr>
            <w:tcW w:type="pct" w:w="28%"/>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Senior Leadership</w:t>
            </w:r>
          </w:p>
        </w:tc>
        <w:tc>
          <w:tcPr>
            <w:tcW w:type="pct" w:w="26%"/>
            <w:tcBorders>
              <w:top w:val="none"/>
              <w:left w:val="none"/>
              <w:bottom w:val="single" w:color="E0E0E0" w:sz="2"/>
              <w:right w:val="none"/>
            </w:tcBorders>
          </w:tcPr>
          <w:p>
            <w:pPr>
              <w:spacing w:after="40" w:before="40"/>
            </w:pPr>
            <w:r>
              <w:rPr>
                <w:rFonts w:ascii="Calibri" w:cs="Calibri" w:eastAsia="Calibri" w:hAnsi="Calibri"/>
                <w:color w:val="444444"/>
                <w:sz w:val="20"/>
                <w:szCs w:val="20"/>
              </w:rPr>
              <w:t xml:space="preserve">Succession readiness assessment</w:t>
            </w:r>
          </w:p>
        </w:tc>
      </w:tr>
    </w:tbl>
    <w:p>
      <w:pPr>
        <w:spacing w:after="0" w:before="400"/>
      </w:pPr>
    </w:p>
    <w:p>
      <w:pPr>
        <w:pBdr>
          <w:bottom w:val="single" w:color="FF6200" w:sz="12" w:space="1"/>
        </w:pBdr>
        <w:spacing w:after="160" w:before="160"/>
      </w:pPr>
    </w:p>
    <w:p>
      <w:pPr>
        <w:spacing w:after="60" w:before="200"/>
        <w:jc w:val="center"/>
      </w:pPr>
      <w:r>
        <w:rPr>
          <w:rFonts w:ascii="Calibri" w:cs="Calibri" w:eastAsia="Calibri" w:hAnsi="Calibri"/>
          <w:color w:val="9E9E9E"/>
          <w:sz w:val="18"/>
          <w:szCs w:val="18"/>
        </w:rPr>
        <w:t xml:space="preserve">EEP Master Playbook — Version 1.0 — June 2026</w:t>
      </w:r>
    </w:p>
    <w:p>
      <w:pPr>
        <w:spacing w:after="60" w:before="0"/>
        <w:jc w:val="center"/>
      </w:pPr>
      <w:r>
        <w:rPr>
          <w:rFonts w:ascii="Calibri" w:cs="Calibri" w:eastAsia="Calibri" w:hAnsi="Calibri"/>
          <w:i/>
          <w:iCs/>
          <w:color w:val="9E9E9E"/>
          <w:sz w:val="18"/>
          <w:szCs w:val="18"/>
        </w:rPr>
        <w:t xml:space="preserve">Built on original frameworks developed by Mike Garcia — EDEv4, CEEDS, CE Framework.</w:t>
      </w:r>
    </w:p>
    <w:p>
      <w:pPr>
        <w:spacing w:after="60" w:before="0"/>
        <w:jc w:val="center"/>
      </w:pPr>
      <w:r>
        <w:rPr>
          <w:rFonts w:ascii="Calibri" w:cs="Calibri" w:eastAsia="Calibri" w:hAnsi="Calibri"/>
          <w:color w:val="9E9E9E"/>
          <w:sz w:val="18"/>
          <w:szCs w:val="18"/>
        </w:rPr>
        <w:t xml:space="preserve">Avanade Internal — Operational Standard — Mandatory Compliance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200" w:sz="4" w:space="1"/>
      </w:pBdr>
    </w:pPr>
    <w:r>
      <w:rPr>
        <w:rFonts w:ascii="Calibri" w:cs="Calibri" w:eastAsia="Calibri" w:hAnsi="Calibri"/>
        <w:color w:val="9E9E9E"/>
        <w:sz w:val="16"/>
        <w:szCs w:val="16"/>
      </w:rPr>
      <w:t xml:space="preserve">Built on original frameworks developed by Mike Garcia — EDEv4, CEEDS, CE Framework.  ·  Avanade Internal  ·  </w:t>
    </w:r>
    <w:r>
      <w:rPr>
        <w:rFonts w:ascii="Calibri" w:cs="Calibri" w:eastAsia="Calibri" w:hAnsi="Calibri"/>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200" w:sz="6" w:space="1"/>
      </w:pBdr>
    </w:pPr>
    <w:r>
      <w:rPr>
        <w:rFonts w:ascii="Calibri" w:cs="Calibri" w:eastAsia="Calibri" w:hAnsi="Calibri"/>
        <w:color w:val="9E9E9E"/>
        <w:sz w:val="16"/>
        <w:szCs w:val="16"/>
      </w:rPr>
      <w:t xml:space="preserve">ENGAGEMENT EXCELLENCE PROGRAM  ·  EEP MASTER PLAYBOOK</w:t>
    </w:r>
    <w:r>
      <w:rPr>
        <w:rFonts w:ascii="Calibri" w:cs="Calibri" w:eastAsia="Calibri" w:hAnsi="Calibri"/>
        <w:color w:val="9E9E9E"/>
        <w:sz w:val="16"/>
        <w:szCs w:val="16"/>
      </w:rPr>
      <w:t xml:space="preserve">  ·  VERSION 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2026-06-08T13:43:38.879Z</dcterms:created>
  <dcterms:modified xsi:type="dcterms:W3CDTF">2026-06-08T13:43:38.883Z</dcterms:modified>
</cp:coreProperties>
</file>

<file path=docProps/custom.xml><?xml version="1.0" encoding="utf-8"?>
<Properties xmlns="http://schemas.openxmlformats.org/officeDocument/2006/custom-properties" xmlns:vt="http://schemas.openxmlformats.org/officeDocument/2006/docPropsVTypes"/>
</file>