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olor w:val="FF6200"/>
          <w:sz w:val="20"/>
        </w:rPr>
        <w:t>ENGAGEMENT EXCELLENCE PROGRAM</w:t>
      </w:r>
    </w:p>
    <w:p>
      <w:pPr>
        <w:spacing w:before="0" w:after="200"/>
      </w:pPr>
      <w:r>
        <w:rPr>
          <w:rFonts w:ascii="Calibri" w:hAnsi="Calibri"/>
          <w:color w:val="9E9E9E"/>
          <w:sz w:val="18"/>
        </w:rPr>
        <w:t>AVANADE  ·  INTERNAL  ·  OPERATIONAL STANDARD</w:t>
      </w:r>
    </w:p>
    <w:p>
      <w:pPr>
        <w:spacing w:before="0" w:after="80"/>
      </w:pPr>
      <w:r>
        <w:rPr>
          <w:rFonts w:ascii="Calibri" w:hAnsi="Calibri"/>
          <w:b/>
          <w:color w:val="1C1C1C"/>
          <w:sz w:val="56"/>
        </w:rPr>
        <w:t>EEP New Team Member Onboarding Checklist</w:t>
      </w:r>
    </w:p>
    <w:p>
      <w:pPr>
        <w:spacing w:before="0" w:after="300"/>
      </w:pPr>
      <w:r>
        <w:rPr>
          <w:rFonts w:ascii="Calibri" w:hAnsi="Calibri"/>
          <w:i/>
          <w:color w:val="444444"/>
          <w:sz w:val="28"/>
        </w:rPr>
        <w:t>12-Week Onboarding Track for New EEP Practitioners</w:t>
      </w:r>
    </w:p>
    <w:p>
      <w:pPr>
        <w:spacing w:before="0" w:after="60"/>
      </w:pPr>
      <w:r>
        <w:rPr>
          <w:rFonts w:ascii="Calibri" w:hAnsi="Calibri"/>
          <w:color w:val="9E9E9E"/>
          <w:sz w:val="22"/>
        </w:rPr>
        <w:t xml:space="preserve">Program Lead:  </w:t>
      </w:r>
      <w:r>
        <w:rPr>
          <w:rFonts w:ascii="Calibri" w:hAnsi="Calibri"/>
          <w:b/>
          <w:color w:val="1C1C1C"/>
          <w:sz w:val="22"/>
        </w:rPr>
        <w:t>Mike Garcia</w:t>
      </w:r>
    </w:p>
    <w:p>
      <w:pPr>
        <w:spacing w:before="0" w:after="60"/>
      </w:pPr>
      <w:r>
        <w:rPr>
          <w:rFonts w:ascii="Calibri" w:hAnsi="Calibri"/>
          <w:color w:val="9E9E9E"/>
          <w:sz w:val="22"/>
        </w:rPr>
        <w:t xml:space="preserve">Version:  </w:t>
      </w:r>
      <w:r>
        <w:rPr>
          <w:rFonts w:ascii="Calibri" w:hAnsi="Calibri"/>
          <w:b/>
          <w:color w:val="1C1C1C"/>
          <w:sz w:val="22"/>
        </w:rPr>
        <w:t>1.0 — June 2026</w:t>
      </w:r>
    </w:p>
    <w:p>
      <w:pPr>
        <w:spacing w:before="0" w:after="60"/>
      </w:pPr>
      <w:r>
        <w:rPr>
          <w:rFonts w:ascii="Calibri" w:hAnsi="Calibri"/>
          <w:color w:val="9E9E9E"/>
          <w:sz w:val="22"/>
        </w:rPr>
        <w:t xml:space="preserve">Classification:  </w:t>
      </w:r>
      <w:r>
        <w:rPr>
          <w:rFonts w:ascii="Calibri" w:hAnsi="Calibri"/>
          <w:b/>
          <w:color w:val="C62828"/>
          <w:sz w:val="22"/>
        </w:rPr>
        <w:t>Internal — Mandatory Compliance</w:t>
      </w:r>
    </w:p>
    <w:p>
      <w:pPr>
        <w:spacing w:before="200" w:after="60"/>
      </w:pPr>
      <w:r>
        <w:rPr>
          <w:rFonts w:ascii="Calibri" w:hAnsi="Calibri"/>
          <w:i/>
          <w:color w:val="9E9E9E"/>
          <w:sz w:val="18"/>
        </w:rPr>
        <w:t>Built on original frameworks developed by Mike Garcia — EDEv4, CEEDS, CE Framework.</w:t>
      </w:r>
    </w:p>
    <w:p>
      <w:r>
        <w:br w:type="page"/>
      </w:r>
    </w:p>
    <w:p>
      <w:pPr>
        <w:spacing w:before="400" w:after="120"/>
        <w:pBdr>
          <w:bottom w:val="single" w:sz="8" w:space="1" w:color="FF6200"/>
        </w:pBdr>
      </w:pPr>
      <w:r>
        <w:rPr>
          <w:rFonts w:ascii="Calibri" w:hAnsi="Calibri"/>
          <w:b/>
          <w:color w:val="1C1C1C"/>
          <w:sz w:val="32"/>
        </w:rPr>
        <w:t>New Team Member EEP Onboarding Checklist</w:t>
      </w:r>
    </w:p>
    <w:p>
      <w:pPr>
        <w:spacing w:before="60" w:after="80"/>
      </w:pPr>
      <w:r>
        <w:rPr>
          <w:rFonts w:ascii="Calibri" w:hAnsi="Calibri"/>
          <w:b w:val="0"/>
          <w:color w:val="444444"/>
          <w:sz w:val="22"/>
        </w:rPr>
        <w:t>This checklist guides new team members through their first 12 weeks under the EEP standard. Complete each item in sequence. Your Engagement Lead and assigned buddy will support you through the process.</w:t>
      </w:r>
    </w:p>
    <w:p>
      <w:pPr>
        <w:spacing w:before="60" w:after="60"/>
      </w:pPr>
    </w:p>
    <w:tbl>
      <w:tblPr>
        <w:tblStyle w:val="TableGrid"/>
        <w:tblW w:type="auto" w:w="0"/>
        <w:tblLook w:firstColumn="1" w:firstRow="1" w:lastColumn="0" w:lastRow="0" w:noHBand="0" w:noVBand="1" w:val="04A0"/>
      </w:tblPr>
      <w:tblGrid>
        <w:gridCol w:w="4320"/>
        <w:gridCol w:w="4320"/>
      </w:tblGrid>
      <w:tr>
        <w:tc>
          <w:tcPr>
            <w:tcW w:type="dxa" w:w="3600"/>
            <w:shd w:val="clear" w:color="auto" w:fill="1C1C1C"/>
          </w:tcPr>
          <w:p>
            <w:r>
              <w:rPr>
                <w:rFonts w:ascii="Calibri" w:hAnsi="Calibri"/>
                <w:b/>
                <w:color w:val="FFFFFF"/>
                <w:sz w:val="18"/>
              </w:rPr>
              <w:t>Field</w:t>
            </w:r>
          </w:p>
        </w:tc>
        <w:tc>
          <w:tcPr>
            <w:tcW w:type="dxa" w:w="5760"/>
            <w:shd w:val="clear" w:color="auto" w:fill="1C1C1C"/>
          </w:tcPr>
          <w:p>
            <w:r>
              <w:rPr>
                <w:rFonts w:ascii="Calibri" w:hAnsi="Calibri"/>
                <w:b/>
                <w:color w:val="FFFFFF"/>
                <w:sz w:val="18"/>
              </w:rPr>
              <w:t>Value</w:t>
            </w:r>
          </w:p>
        </w:tc>
      </w:tr>
      <w:tr>
        <w:tc>
          <w:tcPr>
            <w:tcW w:type="dxa" w:w="3600"/>
            <w:shd w:val="clear" w:color="auto" w:fill="FFFFFF"/>
          </w:tcPr>
          <w:p>
            <w:r>
              <w:rPr>
                <w:rFonts w:ascii="Calibri" w:hAnsi="Calibri"/>
                <w:color w:val="444444"/>
                <w:sz w:val="20"/>
              </w:rPr>
              <w:t>Name</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Start Date</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Buddy Assigned</w:t>
            </w:r>
          </w:p>
        </w:tc>
        <w:tc>
          <w:tcPr>
            <w:tcW w:type="dxa" w:w="5760"/>
            <w:shd w:val="clear" w:color="auto" w:fill="FFFFFF"/>
          </w:tcPr>
          <w:p>
            <w:r>
              <w:rPr>
                <w:rFonts w:ascii="Calibri" w:hAnsi="Calibri"/>
                <w:color w:val="444444"/>
                <w:sz w:val="20"/>
              </w:rPr>
            </w:r>
          </w:p>
        </w:tc>
      </w:tr>
      <w:tr>
        <w:tc>
          <w:tcPr>
            <w:tcW w:type="dxa" w:w="3600"/>
            <w:shd w:val="clear" w:color="auto" w:fill="F5F5F5"/>
          </w:tcPr>
          <w:p>
            <w:r>
              <w:rPr>
                <w:rFonts w:ascii="Calibri" w:hAnsi="Calibri"/>
                <w:color w:val="444444"/>
                <w:sz w:val="20"/>
              </w:rPr>
              <w:t>Engagement Lead</w:t>
            </w:r>
          </w:p>
        </w:tc>
        <w:tc>
          <w:tcPr>
            <w:tcW w:type="dxa" w:w="5760"/>
            <w:shd w:val="clear" w:color="auto" w:fill="F5F5F5"/>
          </w:tcPr>
          <w:p>
            <w:r>
              <w:rPr>
                <w:rFonts w:ascii="Calibri" w:hAnsi="Calibri"/>
                <w:color w:val="444444"/>
                <w:sz w:val="20"/>
              </w:rPr>
            </w:r>
          </w:p>
        </w:tc>
      </w:tr>
      <w:tr>
        <w:tc>
          <w:tcPr>
            <w:tcW w:type="dxa" w:w="3600"/>
            <w:shd w:val="clear" w:color="auto" w:fill="FFFFFF"/>
          </w:tcPr>
          <w:p>
            <w:r>
              <w:rPr>
                <w:rFonts w:ascii="Calibri" w:hAnsi="Calibri"/>
                <w:color w:val="444444"/>
                <w:sz w:val="20"/>
              </w:rPr>
              <w:t>Target L1 Certification Date</w:t>
            </w:r>
          </w:p>
        </w:tc>
        <w:tc>
          <w:tcPr>
            <w:tcW w:type="dxa" w:w="5760"/>
            <w:shd w:val="clear" w:color="auto" w:fill="FFFFFF"/>
          </w:tcPr>
          <w:p>
            <w:r>
              <w:rPr>
                <w:rFonts w:ascii="Calibri" w:hAnsi="Calibri"/>
                <w:color w:val="444444"/>
                <w:sz w:val="20"/>
              </w:rPr>
            </w:r>
          </w:p>
        </w:tc>
      </w:tr>
    </w:tbl>
    <w:p>
      <w:pPr>
        <w:spacing w:before="60" w:after="60"/>
      </w:pPr>
    </w:p>
    <w:p>
      <w:pPr>
        <w:spacing w:before="280" w:after="80"/>
      </w:pPr>
      <w:r>
        <w:rPr>
          <w:rFonts w:ascii="Calibri" w:hAnsi="Calibri"/>
          <w:b/>
          <w:color w:val="FF6200"/>
          <w:sz w:val="26"/>
        </w:rPr>
        <w:t>Weeks 1–2: Foundation</w:t>
      </w:r>
    </w:p>
    <w:tbl>
      <w:tblPr>
        <w:tblStyle w:val="TableGrid"/>
        <w:tblW w:type="auto" w:w="0"/>
        <w:tblLook w:firstColumn="1" w:firstRow="1" w:lastColumn="0" w:lastRow="0" w:noHBand="0" w:noVBand="1" w:val="04A0"/>
      </w:tblPr>
      <w:tblGrid>
        <w:gridCol w:w="2160"/>
        <w:gridCol w:w="2160"/>
        <w:gridCol w:w="2160"/>
        <w:gridCol w:w="2160"/>
      </w:tblGrid>
      <w:tr>
        <w:tc>
          <w:tcPr>
            <w:tcW w:type="dxa" w:w="5040"/>
            <w:shd w:val="clear" w:color="auto" w:fill="1C1C1C"/>
          </w:tcPr>
          <w:p>
            <w:r>
              <w:rPr>
                <w:rFonts w:ascii="Calibri" w:hAnsi="Calibri"/>
                <w:b/>
                <w:color w:val="FFFFFF"/>
                <w:sz w:val="18"/>
              </w:rPr>
              <w:t>Item</w:t>
            </w:r>
          </w:p>
        </w:tc>
        <w:tc>
          <w:tcPr>
            <w:tcW w:type="dxa" w:w="1152"/>
            <w:shd w:val="clear" w:color="auto" w:fill="1C1C1C"/>
          </w:tcPr>
          <w:p>
            <w:r>
              <w:rPr>
                <w:rFonts w:ascii="Calibri" w:hAnsi="Calibri"/>
                <w:b/>
                <w:color w:val="FFFFFF"/>
                <w:sz w:val="18"/>
              </w:rPr>
              <w:t>Completed</w:t>
            </w:r>
          </w:p>
        </w:tc>
        <w:tc>
          <w:tcPr>
            <w:tcW w:type="dxa" w:w="1152"/>
            <w:shd w:val="clear" w:color="auto" w:fill="1C1C1C"/>
          </w:tcPr>
          <w:p>
            <w:r>
              <w:rPr>
                <w:rFonts w:ascii="Calibri" w:hAnsi="Calibri"/>
                <w:b/>
                <w:color w:val="FFFFFF"/>
                <w:sz w:val="18"/>
              </w:rPr>
              <w:t>Date</w:t>
            </w:r>
          </w:p>
        </w:tc>
        <w:tc>
          <w:tcPr>
            <w:tcW w:type="dxa" w:w="2736"/>
            <w:shd w:val="clear" w:color="auto" w:fill="1C1C1C"/>
          </w:tcPr>
          <w:p>
            <w:r>
              <w:rPr>
                <w:rFonts w:ascii="Calibri" w:hAnsi="Calibri"/>
                <w:b/>
                <w:color w:val="FFFFFF"/>
                <w:sz w:val="18"/>
              </w:rPr>
              <w:t>Notes</w:t>
            </w:r>
          </w:p>
        </w:tc>
      </w:tr>
      <w:tr>
        <w:tc>
          <w:tcPr>
            <w:tcW w:type="dxa" w:w="5040"/>
            <w:shd w:val="clear" w:color="auto" w:fill="FFFFFF"/>
          </w:tcPr>
          <w:p>
            <w:r>
              <w:rPr>
                <w:rFonts w:ascii="Calibri" w:hAnsi="Calibri"/>
                <w:color w:val="444444"/>
                <w:sz w:val="20"/>
              </w:rPr>
              <w:t>Attend EEP Orientation Session (90 min)</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Read EEP Playbook Sections 1–2 (CEEDS Pillars, Operating Motions overview)</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Review Three-Test quick reference card</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Shadow first Customer Signal Review (observer role only)</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Complete three-test application: draft a client communication, run it through the three tests, document the result</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Review Scenario Exercise 1 independently, then debrief with your buddy</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Attend first CEES Session as a participant — come with one observation from your engagement</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CHECKPOINT: Can name the four CEEDS pillars and explain each in your own words</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bl>
    <w:p>
      <w:pPr>
        <w:spacing w:before="60" w:after="60"/>
      </w:pPr>
    </w:p>
    <w:p>
      <w:pPr>
        <w:spacing w:before="280" w:after="80"/>
      </w:pPr>
      <w:r>
        <w:rPr>
          <w:rFonts w:ascii="Calibri" w:hAnsi="Calibri"/>
          <w:b/>
          <w:color w:val="FF6200"/>
          <w:sz w:val="26"/>
        </w:rPr>
        <w:t>Weeks 3–4: Operating Motions</w:t>
      </w:r>
    </w:p>
    <w:tbl>
      <w:tblPr>
        <w:tblStyle w:val="TableGrid"/>
        <w:tblW w:type="auto" w:w="0"/>
        <w:tblLook w:firstColumn="1" w:firstRow="1" w:lastColumn="0" w:lastRow="0" w:noHBand="0" w:noVBand="1" w:val="04A0"/>
      </w:tblPr>
      <w:tblGrid>
        <w:gridCol w:w="2160"/>
        <w:gridCol w:w="2160"/>
        <w:gridCol w:w="2160"/>
        <w:gridCol w:w="2160"/>
      </w:tblGrid>
      <w:tr>
        <w:tc>
          <w:tcPr>
            <w:tcW w:type="dxa" w:w="5040"/>
            <w:shd w:val="clear" w:color="auto" w:fill="1C1C1C"/>
          </w:tcPr>
          <w:p>
            <w:r>
              <w:rPr>
                <w:rFonts w:ascii="Calibri" w:hAnsi="Calibri"/>
                <w:b/>
                <w:color w:val="FFFFFF"/>
                <w:sz w:val="18"/>
              </w:rPr>
              <w:t>Item</w:t>
            </w:r>
          </w:p>
        </w:tc>
        <w:tc>
          <w:tcPr>
            <w:tcW w:type="dxa" w:w="1152"/>
            <w:shd w:val="clear" w:color="auto" w:fill="1C1C1C"/>
          </w:tcPr>
          <w:p>
            <w:r>
              <w:rPr>
                <w:rFonts w:ascii="Calibri" w:hAnsi="Calibri"/>
                <w:b/>
                <w:color w:val="FFFFFF"/>
                <w:sz w:val="18"/>
              </w:rPr>
              <w:t>Completed</w:t>
            </w:r>
          </w:p>
        </w:tc>
        <w:tc>
          <w:tcPr>
            <w:tcW w:type="dxa" w:w="1152"/>
            <w:shd w:val="clear" w:color="auto" w:fill="1C1C1C"/>
          </w:tcPr>
          <w:p>
            <w:r>
              <w:rPr>
                <w:rFonts w:ascii="Calibri" w:hAnsi="Calibri"/>
                <w:b/>
                <w:color w:val="FFFFFF"/>
                <w:sz w:val="18"/>
              </w:rPr>
              <w:t>Date</w:t>
            </w:r>
          </w:p>
        </w:tc>
        <w:tc>
          <w:tcPr>
            <w:tcW w:type="dxa" w:w="2736"/>
            <w:shd w:val="clear" w:color="auto" w:fill="1C1C1C"/>
          </w:tcPr>
          <w:p>
            <w:r>
              <w:rPr>
                <w:rFonts w:ascii="Calibri" w:hAnsi="Calibri"/>
                <w:b/>
                <w:color w:val="FFFFFF"/>
                <w:sz w:val="18"/>
              </w:rPr>
              <w:t>Notes</w:t>
            </w:r>
          </w:p>
        </w:tc>
      </w:tr>
      <w:tr>
        <w:tc>
          <w:tcPr>
            <w:tcW w:type="dxa" w:w="5040"/>
            <w:shd w:val="clear" w:color="auto" w:fill="FFFFFF"/>
          </w:tcPr>
          <w:p>
            <w:r>
              <w:rPr>
                <w:rFonts w:ascii="Calibri" w:hAnsi="Calibri"/>
                <w:color w:val="444444"/>
                <w:sz w:val="20"/>
              </w:rPr>
              <w:t>Co-facilitate first Customer Signal Review (with EL leading)</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Review Scenario Exercises 2 and 3 — complete reconstruction questions independently before group debrief</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Begin Signal Review log — document one signal per week from your engagement</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Attend or co-facilitate Ownership Kickoff on a new engagement or a mid-engagement ownership audit</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Review the Escalation Runbook — study the 5-step structure and the judgment points</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Discuss with your buddy: what escalation triggers exist on your current engagement that no one has named yet?</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CHECKPOINT: Can name the five escalation runbook steps without reference</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bl>
    <w:p>
      <w:pPr>
        <w:spacing w:before="60" w:after="60"/>
      </w:pPr>
    </w:p>
    <w:p>
      <w:pPr>
        <w:spacing w:before="280" w:after="80"/>
      </w:pPr>
      <w:r>
        <w:rPr>
          <w:rFonts w:ascii="Calibri" w:hAnsi="Calibri"/>
          <w:b/>
          <w:color w:val="FF6200"/>
          <w:sz w:val="26"/>
        </w:rPr>
        <w:t>Weeks 5–8: Deepening</w:t>
      </w:r>
    </w:p>
    <w:tbl>
      <w:tblPr>
        <w:tblStyle w:val="TableGrid"/>
        <w:tblW w:type="auto" w:w="0"/>
        <w:tblLook w:firstColumn="1" w:firstRow="1" w:lastColumn="0" w:lastRow="0" w:noHBand="0" w:noVBand="1" w:val="04A0"/>
      </w:tblPr>
      <w:tblGrid>
        <w:gridCol w:w="2160"/>
        <w:gridCol w:w="2160"/>
        <w:gridCol w:w="2160"/>
        <w:gridCol w:w="2160"/>
      </w:tblGrid>
      <w:tr>
        <w:tc>
          <w:tcPr>
            <w:tcW w:type="dxa" w:w="5040"/>
            <w:shd w:val="clear" w:color="auto" w:fill="1C1C1C"/>
          </w:tcPr>
          <w:p>
            <w:r>
              <w:rPr>
                <w:rFonts w:ascii="Calibri" w:hAnsi="Calibri"/>
                <w:b/>
                <w:color w:val="FFFFFF"/>
                <w:sz w:val="18"/>
              </w:rPr>
              <w:t>Item</w:t>
            </w:r>
          </w:p>
        </w:tc>
        <w:tc>
          <w:tcPr>
            <w:tcW w:type="dxa" w:w="1152"/>
            <w:shd w:val="clear" w:color="auto" w:fill="1C1C1C"/>
          </w:tcPr>
          <w:p>
            <w:r>
              <w:rPr>
                <w:rFonts w:ascii="Calibri" w:hAnsi="Calibri"/>
                <w:b/>
                <w:color w:val="FFFFFF"/>
                <w:sz w:val="18"/>
              </w:rPr>
              <w:t>Completed</w:t>
            </w:r>
          </w:p>
        </w:tc>
        <w:tc>
          <w:tcPr>
            <w:tcW w:type="dxa" w:w="1152"/>
            <w:shd w:val="clear" w:color="auto" w:fill="1C1C1C"/>
          </w:tcPr>
          <w:p>
            <w:r>
              <w:rPr>
                <w:rFonts w:ascii="Calibri" w:hAnsi="Calibri"/>
                <w:b/>
                <w:color w:val="FFFFFF"/>
                <w:sz w:val="18"/>
              </w:rPr>
              <w:t>Date</w:t>
            </w:r>
          </w:p>
        </w:tc>
        <w:tc>
          <w:tcPr>
            <w:tcW w:type="dxa" w:w="2736"/>
            <w:shd w:val="clear" w:color="auto" w:fill="1C1C1C"/>
          </w:tcPr>
          <w:p>
            <w:r>
              <w:rPr>
                <w:rFonts w:ascii="Calibri" w:hAnsi="Calibri"/>
                <w:b/>
                <w:color w:val="FFFFFF"/>
                <w:sz w:val="18"/>
              </w:rPr>
              <w:t>Notes</w:t>
            </w:r>
          </w:p>
        </w:tc>
      </w:tr>
      <w:tr>
        <w:tc>
          <w:tcPr>
            <w:tcW w:type="dxa" w:w="5040"/>
            <w:shd w:val="clear" w:color="auto" w:fill="FFFFFF"/>
          </w:tcPr>
          <w:p>
            <w:r>
              <w:rPr>
                <w:rFonts w:ascii="Calibri" w:hAnsi="Calibri"/>
                <w:color w:val="444444"/>
                <w:sz w:val="20"/>
              </w:rPr>
              <w:t>Independently prepare Signal Review agenda for one session — share with EL for review before running</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Complete three-test application on two additional communications — document results</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Review Scenario Exercises 4 and 5 — bring scenario 5 to CEES Session for full group debrief</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Complete WGLL self-assessment across all six dimensions — schedule calibration conversation with EL</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Review the Communication Runbook — apply one element to your current engagement</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Identify one pattern from your Signal Review log and bring it to the bi-weekly CEES Session as a "signal worth naming"</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CHECKPOINT: WGLL self-assessment completed and calibration conversation held with documented output</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bl>
    <w:p>
      <w:pPr>
        <w:spacing w:before="60" w:after="60"/>
      </w:pPr>
    </w:p>
    <w:p>
      <w:pPr>
        <w:spacing w:before="280" w:after="80"/>
      </w:pPr>
      <w:r>
        <w:rPr>
          <w:rFonts w:ascii="Calibri" w:hAnsi="Calibri"/>
          <w:b/>
          <w:color w:val="FF6200"/>
          <w:sz w:val="26"/>
        </w:rPr>
        <w:t>Weeks 9–12: Certification Preparation</w:t>
      </w:r>
    </w:p>
    <w:tbl>
      <w:tblPr>
        <w:tblStyle w:val="TableGrid"/>
        <w:tblW w:type="auto" w:w="0"/>
        <w:tblLook w:firstColumn="1" w:firstRow="1" w:lastColumn="0" w:lastRow="0" w:noHBand="0" w:noVBand="1" w:val="04A0"/>
      </w:tblPr>
      <w:tblGrid>
        <w:gridCol w:w="2160"/>
        <w:gridCol w:w="2160"/>
        <w:gridCol w:w="2160"/>
        <w:gridCol w:w="2160"/>
      </w:tblGrid>
      <w:tr>
        <w:tc>
          <w:tcPr>
            <w:tcW w:type="dxa" w:w="5040"/>
            <w:shd w:val="clear" w:color="auto" w:fill="1C1C1C"/>
          </w:tcPr>
          <w:p>
            <w:r>
              <w:rPr>
                <w:rFonts w:ascii="Calibri" w:hAnsi="Calibri"/>
                <w:b/>
                <w:color w:val="FFFFFF"/>
                <w:sz w:val="18"/>
              </w:rPr>
              <w:t>Item</w:t>
            </w:r>
          </w:p>
        </w:tc>
        <w:tc>
          <w:tcPr>
            <w:tcW w:type="dxa" w:w="1152"/>
            <w:shd w:val="clear" w:color="auto" w:fill="1C1C1C"/>
          </w:tcPr>
          <w:p>
            <w:r>
              <w:rPr>
                <w:rFonts w:ascii="Calibri" w:hAnsi="Calibri"/>
                <w:b/>
                <w:color w:val="FFFFFF"/>
                <w:sz w:val="18"/>
              </w:rPr>
              <w:t>Completed</w:t>
            </w:r>
          </w:p>
        </w:tc>
        <w:tc>
          <w:tcPr>
            <w:tcW w:type="dxa" w:w="1152"/>
            <w:shd w:val="clear" w:color="auto" w:fill="1C1C1C"/>
          </w:tcPr>
          <w:p>
            <w:r>
              <w:rPr>
                <w:rFonts w:ascii="Calibri" w:hAnsi="Calibri"/>
                <w:b/>
                <w:color w:val="FFFFFF"/>
                <w:sz w:val="18"/>
              </w:rPr>
              <w:t>Date</w:t>
            </w:r>
          </w:p>
        </w:tc>
        <w:tc>
          <w:tcPr>
            <w:tcW w:type="dxa" w:w="2736"/>
            <w:shd w:val="clear" w:color="auto" w:fill="1C1C1C"/>
          </w:tcPr>
          <w:p>
            <w:r>
              <w:rPr>
                <w:rFonts w:ascii="Calibri" w:hAnsi="Calibri"/>
                <w:b/>
                <w:color w:val="FFFFFF"/>
                <w:sz w:val="18"/>
              </w:rPr>
              <w:t>Notes</w:t>
            </w:r>
          </w:p>
        </w:tc>
      </w:tr>
      <w:tr>
        <w:tc>
          <w:tcPr>
            <w:tcW w:type="dxa" w:w="5040"/>
            <w:shd w:val="clear" w:color="auto" w:fill="FFFFFF"/>
          </w:tcPr>
          <w:p>
            <w:r>
              <w:rPr>
                <w:rFonts w:ascii="Calibri" w:hAnsi="Calibri"/>
                <w:color w:val="444444"/>
                <w:sz w:val="20"/>
              </w:rPr>
              <w:t>Attend EDEv4 Introduction Session (90 min, live)</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Attend CEEDS Onboarding Session (90 min)</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Attend CE Framework Deep-Dive (60 min)</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Complete Written Scenario Assessment (80% minimum)</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Complete Supervised CEES Session Participation</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r>
        <w:tc>
          <w:tcPr>
            <w:tcW w:type="dxa" w:w="5040"/>
            <w:shd w:val="clear" w:color="auto" w:fill="F5F5F5"/>
          </w:tcPr>
          <w:p>
            <w:r>
              <w:rPr>
                <w:rFonts w:ascii="Calibri" w:hAnsi="Calibri"/>
                <w:color w:val="444444"/>
                <w:sz w:val="20"/>
              </w:rPr>
              <w:t>Submit Level 1 certification record to Program Lead</w:t>
            </w:r>
          </w:p>
        </w:tc>
        <w:tc>
          <w:tcPr>
            <w:tcW w:type="dxa" w:w="1152"/>
            <w:shd w:val="clear" w:color="auto" w:fill="F5F5F5"/>
          </w:tcPr>
          <w:p>
            <w:r>
              <w:rPr>
                <w:rFonts w:ascii="Calibri" w:hAnsi="Calibri"/>
                <w:color w:val="444444"/>
                <w:sz w:val="20"/>
              </w:rPr>
              <w:t>☐</w:t>
            </w:r>
          </w:p>
        </w:tc>
        <w:tc>
          <w:tcPr>
            <w:tcW w:type="dxa" w:w="1152"/>
            <w:shd w:val="clear" w:color="auto" w:fill="F5F5F5"/>
          </w:tcPr>
          <w:p>
            <w:r>
              <w:rPr>
                <w:rFonts w:ascii="Calibri" w:hAnsi="Calibri"/>
                <w:color w:val="444444"/>
                <w:sz w:val="20"/>
              </w:rPr>
            </w:r>
          </w:p>
        </w:tc>
        <w:tc>
          <w:tcPr>
            <w:tcW w:type="dxa" w:w="2736"/>
            <w:shd w:val="clear" w:color="auto" w:fill="F5F5F5"/>
          </w:tcPr>
          <w:p>
            <w:r>
              <w:rPr>
                <w:rFonts w:ascii="Calibri" w:hAnsi="Calibri"/>
                <w:color w:val="444444"/>
                <w:sz w:val="20"/>
              </w:rPr>
            </w:r>
          </w:p>
        </w:tc>
      </w:tr>
      <w:tr>
        <w:tc>
          <w:tcPr>
            <w:tcW w:type="dxa" w:w="5040"/>
            <w:shd w:val="clear" w:color="auto" w:fill="FFFFFF"/>
          </w:tcPr>
          <w:p>
            <w:r>
              <w:rPr>
                <w:rFonts w:ascii="Calibri" w:hAnsi="Calibri"/>
                <w:color w:val="444444"/>
                <w:sz w:val="20"/>
              </w:rPr>
              <w:t>CHECKPOINT: Level 1 EEP Practitioner certification achieved</w:t>
            </w:r>
          </w:p>
        </w:tc>
        <w:tc>
          <w:tcPr>
            <w:tcW w:type="dxa" w:w="1152"/>
            <w:shd w:val="clear" w:color="auto" w:fill="FFFFFF"/>
          </w:tcPr>
          <w:p>
            <w:r>
              <w:rPr>
                <w:rFonts w:ascii="Calibri" w:hAnsi="Calibri"/>
                <w:color w:val="444444"/>
                <w:sz w:val="20"/>
              </w:rPr>
              <w:t>☐</w:t>
            </w:r>
          </w:p>
        </w:tc>
        <w:tc>
          <w:tcPr>
            <w:tcW w:type="dxa" w:w="1152"/>
            <w:shd w:val="clear" w:color="auto" w:fill="FFFFFF"/>
          </w:tcPr>
          <w:p>
            <w:r>
              <w:rPr>
                <w:rFonts w:ascii="Calibri" w:hAnsi="Calibri"/>
                <w:color w:val="444444"/>
                <w:sz w:val="20"/>
              </w:rPr>
            </w:r>
          </w:p>
        </w:tc>
        <w:tc>
          <w:tcPr>
            <w:tcW w:type="dxa" w:w="2736"/>
            <w:shd w:val="clear" w:color="auto" w:fill="FFFFFF"/>
          </w:tcPr>
          <w:p>
            <w:r>
              <w:rPr>
                <w:rFonts w:ascii="Calibri" w:hAnsi="Calibri"/>
                <w:color w:val="444444"/>
                <w:sz w:val="20"/>
              </w:rPr>
            </w:r>
          </w:p>
        </w:tc>
      </w:tr>
    </w:tbl>
    <w:p>
      <w:pPr>
        <w:spacing w:before="60" w:after="60"/>
      </w:pPr>
    </w:p>
    <w:p>
      <w:pPr>
        <w:spacing w:before="280" w:after="80"/>
      </w:pPr>
      <w:r>
        <w:rPr>
          <w:rFonts w:ascii="Calibri" w:hAnsi="Calibri"/>
          <w:b/>
          <w:color w:val="FF6200"/>
          <w:sz w:val="26"/>
        </w:rPr>
        <w:t>Buddy System Touchpoints</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1C1C1C"/>
          </w:tcPr>
          <w:p>
            <w:r>
              <w:rPr>
                <w:rFonts w:ascii="Calibri" w:hAnsi="Calibri"/>
                <w:b/>
                <w:color w:val="FFFFFF"/>
                <w:sz w:val="18"/>
              </w:rPr>
              <w:t>Touchpoint</w:t>
            </w:r>
          </w:p>
        </w:tc>
        <w:tc>
          <w:tcPr>
            <w:tcW w:type="dxa" w:w="1152"/>
            <w:shd w:val="clear" w:color="auto" w:fill="1C1C1C"/>
          </w:tcPr>
          <w:p>
            <w:r>
              <w:rPr>
                <w:rFonts w:ascii="Calibri" w:hAnsi="Calibri"/>
                <w:b/>
                <w:color w:val="FFFFFF"/>
                <w:sz w:val="18"/>
              </w:rPr>
              <w:t>Week</w:t>
            </w:r>
          </w:p>
        </w:tc>
        <w:tc>
          <w:tcPr>
            <w:tcW w:type="dxa" w:w="3600"/>
            <w:shd w:val="clear" w:color="auto" w:fill="1C1C1C"/>
          </w:tcPr>
          <w:p>
            <w:r>
              <w:rPr>
                <w:rFonts w:ascii="Calibri" w:hAnsi="Calibri"/>
                <w:b/>
                <w:color w:val="FFFFFF"/>
                <w:sz w:val="18"/>
              </w:rPr>
              <w:t>Purpose</w:t>
            </w:r>
          </w:p>
        </w:tc>
        <w:tc>
          <w:tcPr>
            <w:tcW w:type="dxa" w:w="1008"/>
            <w:shd w:val="clear" w:color="auto" w:fill="1C1C1C"/>
          </w:tcPr>
          <w:p>
            <w:r>
              <w:rPr>
                <w:rFonts w:ascii="Calibri" w:hAnsi="Calibri"/>
                <w:b/>
                <w:color w:val="FFFFFF"/>
                <w:sz w:val="18"/>
              </w:rPr>
              <w:t>Completed</w:t>
            </w:r>
          </w:p>
        </w:tc>
      </w:tr>
      <w:tr>
        <w:tc>
          <w:tcPr>
            <w:tcW w:type="dxa" w:w="3600"/>
            <w:shd w:val="clear" w:color="auto" w:fill="FFFFFF"/>
          </w:tcPr>
          <w:p>
            <w:r>
              <w:rPr>
                <w:rFonts w:ascii="Calibri" w:hAnsi="Calibri"/>
                <w:color w:val="444444"/>
                <w:sz w:val="20"/>
              </w:rPr>
              <w:t>Open questions from onboarding answered</w:t>
            </w:r>
          </w:p>
        </w:tc>
        <w:tc>
          <w:tcPr>
            <w:tcW w:type="dxa" w:w="1152"/>
            <w:shd w:val="clear" w:color="auto" w:fill="FFFFFF"/>
          </w:tcPr>
          <w:p>
            <w:r>
              <w:rPr>
                <w:rFonts w:ascii="Calibri" w:hAnsi="Calibri"/>
                <w:color w:val="444444"/>
                <w:sz w:val="20"/>
              </w:rPr>
              <w:t>Week 1</w:t>
            </w:r>
          </w:p>
        </w:tc>
        <w:tc>
          <w:tcPr>
            <w:tcW w:type="dxa" w:w="3600"/>
            <w:shd w:val="clear" w:color="auto" w:fill="FFFFFF"/>
          </w:tcPr>
          <w:p>
            <w:r>
              <w:rPr>
                <w:rFonts w:ascii="Calibri" w:hAnsi="Calibri"/>
                <w:color w:val="444444"/>
                <w:sz w:val="20"/>
              </w:rPr>
              <w:t>Address any gaps from orientation session</w:t>
            </w:r>
          </w:p>
        </w:tc>
        <w:tc>
          <w:tcPr>
            <w:tcW w:type="dxa" w:w="1008"/>
            <w:shd w:val="clear" w:color="auto" w:fill="FFFFFF"/>
          </w:tcPr>
          <w:p>
            <w:r>
              <w:rPr>
                <w:rFonts w:ascii="Calibri" w:hAnsi="Calibri"/>
                <w:color w:val="444444"/>
                <w:sz w:val="20"/>
              </w:rPr>
              <w:t>☐</w:t>
            </w:r>
          </w:p>
        </w:tc>
      </w:tr>
      <w:tr>
        <w:tc>
          <w:tcPr>
            <w:tcW w:type="dxa" w:w="3600"/>
            <w:shd w:val="clear" w:color="auto" w:fill="F5F5F5"/>
          </w:tcPr>
          <w:p>
            <w:r>
              <w:rPr>
                <w:rFonts w:ascii="Calibri" w:hAnsi="Calibri"/>
                <w:color w:val="444444"/>
                <w:sz w:val="20"/>
              </w:rPr>
              <w:t>First Signal Review debrief</w:t>
            </w:r>
          </w:p>
        </w:tc>
        <w:tc>
          <w:tcPr>
            <w:tcW w:type="dxa" w:w="1152"/>
            <w:shd w:val="clear" w:color="auto" w:fill="F5F5F5"/>
          </w:tcPr>
          <w:p>
            <w:r>
              <w:rPr>
                <w:rFonts w:ascii="Calibri" w:hAnsi="Calibri"/>
                <w:color w:val="444444"/>
                <w:sz w:val="20"/>
              </w:rPr>
              <w:t>Week 4</w:t>
            </w:r>
          </w:p>
        </w:tc>
        <w:tc>
          <w:tcPr>
            <w:tcW w:type="dxa" w:w="3600"/>
            <w:shd w:val="clear" w:color="auto" w:fill="F5F5F5"/>
          </w:tcPr>
          <w:p>
            <w:r>
              <w:rPr>
                <w:rFonts w:ascii="Calibri" w:hAnsi="Calibri"/>
                <w:color w:val="444444"/>
                <w:sz w:val="20"/>
              </w:rPr>
              <w:t>Calibrate signal language and observation quality</w:t>
            </w:r>
          </w:p>
        </w:tc>
        <w:tc>
          <w:tcPr>
            <w:tcW w:type="dxa" w:w="1008"/>
            <w:shd w:val="clear" w:color="auto" w:fill="F5F5F5"/>
          </w:tcPr>
          <w:p>
            <w:r>
              <w:rPr>
                <w:rFonts w:ascii="Calibri" w:hAnsi="Calibri"/>
                <w:color w:val="444444"/>
                <w:sz w:val="20"/>
              </w:rPr>
              <w:t>☐</w:t>
            </w:r>
          </w:p>
        </w:tc>
      </w:tr>
      <w:tr>
        <w:tc>
          <w:tcPr>
            <w:tcW w:type="dxa" w:w="3600"/>
            <w:shd w:val="clear" w:color="auto" w:fill="FFFFFF"/>
          </w:tcPr>
          <w:p>
            <w:r>
              <w:rPr>
                <w:rFonts w:ascii="Calibri" w:hAnsi="Calibri"/>
                <w:color w:val="444444"/>
                <w:sz w:val="20"/>
              </w:rPr>
              <w:t>WGLL calibration conversation</w:t>
            </w:r>
          </w:p>
        </w:tc>
        <w:tc>
          <w:tcPr>
            <w:tcW w:type="dxa" w:w="1152"/>
            <w:shd w:val="clear" w:color="auto" w:fill="FFFFFF"/>
          </w:tcPr>
          <w:p>
            <w:r>
              <w:rPr>
                <w:rFonts w:ascii="Calibri" w:hAnsi="Calibri"/>
                <w:color w:val="444444"/>
                <w:sz w:val="20"/>
              </w:rPr>
              <w:t>Week 8</w:t>
            </w:r>
          </w:p>
        </w:tc>
        <w:tc>
          <w:tcPr>
            <w:tcW w:type="dxa" w:w="3600"/>
            <w:shd w:val="clear" w:color="auto" w:fill="FFFFFF"/>
          </w:tcPr>
          <w:p>
            <w:r>
              <w:rPr>
                <w:rFonts w:ascii="Calibri" w:hAnsi="Calibri"/>
                <w:color w:val="444444"/>
                <w:sz w:val="20"/>
              </w:rPr>
              <w:t>Compare self-assessment with buddy observation</w:t>
            </w:r>
          </w:p>
        </w:tc>
        <w:tc>
          <w:tcPr>
            <w:tcW w:type="dxa" w:w="1008"/>
            <w:shd w:val="clear" w:color="auto" w:fill="FFFFFF"/>
          </w:tcPr>
          <w:p>
            <w:r>
              <w:rPr>
                <w:rFonts w:ascii="Calibri" w:hAnsi="Calibri"/>
                <w:color w:val="444444"/>
                <w:sz w:val="20"/>
              </w:rPr>
              <w:t>☐</w:t>
            </w:r>
          </w:p>
        </w:tc>
      </w:tr>
      <w:tr>
        <w:tc>
          <w:tcPr>
            <w:tcW w:type="dxa" w:w="3600"/>
            <w:shd w:val="clear" w:color="auto" w:fill="F5F5F5"/>
          </w:tcPr>
          <w:p>
            <w:r>
              <w:rPr>
                <w:rFonts w:ascii="Calibri" w:hAnsi="Calibri"/>
                <w:color w:val="444444"/>
                <w:sz w:val="20"/>
              </w:rPr>
              <w:t>Certification readiness check</w:t>
            </w:r>
          </w:p>
        </w:tc>
        <w:tc>
          <w:tcPr>
            <w:tcW w:type="dxa" w:w="1152"/>
            <w:shd w:val="clear" w:color="auto" w:fill="F5F5F5"/>
          </w:tcPr>
          <w:p>
            <w:r>
              <w:rPr>
                <w:rFonts w:ascii="Calibri" w:hAnsi="Calibri"/>
                <w:color w:val="444444"/>
                <w:sz w:val="20"/>
              </w:rPr>
              <w:t>Week 12</w:t>
            </w:r>
          </w:p>
        </w:tc>
        <w:tc>
          <w:tcPr>
            <w:tcW w:type="dxa" w:w="3600"/>
            <w:shd w:val="clear" w:color="auto" w:fill="F5F5F5"/>
          </w:tcPr>
          <w:p>
            <w:r>
              <w:rPr>
                <w:rFonts w:ascii="Calibri" w:hAnsi="Calibri"/>
                <w:color w:val="444444"/>
                <w:sz w:val="20"/>
              </w:rPr>
              <w:t>Confirm readiness for L1 assessment</w:t>
            </w:r>
          </w:p>
        </w:tc>
        <w:tc>
          <w:tcPr>
            <w:tcW w:type="dxa" w:w="1008"/>
            <w:shd w:val="clear" w:color="auto" w:fill="F5F5F5"/>
          </w:tcPr>
          <w:p>
            <w:r>
              <w:rPr>
                <w:rFonts w:ascii="Calibri" w:hAnsi="Calibri"/>
                <w:color w:val="444444"/>
                <w:sz w:val="20"/>
              </w:rPr>
              <w:t>☐</w:t>
            </w:r>
          </w:p>
        </w:tc>
      </w:tr>
    </w:tbl>
    <w:p>
      <w:pPr>
        <w:spacing w:before="200" w:after="60"/>
      </w:pPr>
      <w:r>
        <w:rPr>
          <w:rFonts w:ascii="Calibri" w:hAnsi="Calibri"/>
          <w:i/>
          <w:color w:val="9E9E9E"/>
          <w:sz w:val="18"/>
        </w:rPr>
        <w:t>Built on original frameworks developed by Mike Garcia — EDEv4, CEEDS, CE Framework.  ·  EEP New Team Member Onboarding Checklist v1.0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