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56"/>
        </w:rPr>
        <w:t>EEP Per-Issue Outcome Owner Assignment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Operating Motion 3 — Lightweight Issue Ownership Form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Per-Issue Outcome Owner Assignment Form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Complete this form for every open issue that arises during delivery. Every open issue must have one named Outcome Owner and one committed resolution date. This is Operating Motion 3 of the EEP.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Issue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Date Identified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Identified By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How Identified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Review / Client communication / Internal observation / Other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Issue Description (2-3 sentences)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Issue Category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Client Friction / Communication / Technical / Scope / Other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Outcome Owner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Named Outcome Owner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Assignment Date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Client Notified in Writing?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 / Not required for this issue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Client Notification Date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Committed Resolution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Resolution Path (brief)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Escalation Trigger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If not resolved by [date], escalate to [name]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Resolution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Actual Resolution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Resolution Description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Client Confirmation Received?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Lesson for CEES Session?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 — If yes, describe:</w:t>
            </w:r>
          </w:p>
        </w:tc>
      </w:tr>
    </w:tbl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Ownership Rule: </w:t>
      </w:r>
      <w:r>
        <w:rPr>
          <w:rFonts w:ascii="Calibri" w:hAnsi="Calibri"/>
          <w:color w:val="1C1C1C"/>
          <w:sz w:val="21"/>
        </w:rPr>
        <w:t>An issue without a named owner is an orphaned issue. An orphaned issue is a trust risk. The Engagement Lead is accountable for ensuring no issue is orphaned at any point during delivery.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Per-Issue Outcome Owner Assignment Form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