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</w:pPr>
      <w:r>
        <w:rPr>
          <w:rFonts w:ascii="Calibri" w:hAnsi="Calibri"/>
          <w:b/>
          <w:color w:val="FF6200"/>
          <w:sz w:val="20"/>
        </w:rPr>
        <w:t>ENGAGEMENT EXCELLENCE PROGRAM</w:t>
      </w:r>
    </w:p>
    <w:p>
      <w:pPr>
        <w:spacing w:before="0" w:after="200"/>
      </w:pPr>
      <w:r>
        <w:rPr>
          <w:rFonts w:ascii="Calibri" w:hAnsi="Calibri"/>
          <w:color w:val="9E9E9E"/>
          <w:sz w:val="18"/>
        </w:rPr>
        <w:t>AVANADE  ·  INTERNAL  ·  OPERATIONAL STANDARD</w:t>
      </w:r>
    </w:p>
    <w:p>
      <w:pPr>
        <w:spacing w:before="0" w:after="80"/>
      </w:pPr>
      <w:r>
        <w:rPr>
          <w:rFonts w:ascii="Calibri" w:hAnsi="Calibri"/>
          <w:b/>
          <w:color w:val="1C1C1C"/>
          <w:sz w:val="56"/>
        </w:rPr>
        <w:t>EEP Three-Test Quick Reference Card</w:t>
      </w:r>
    </w:p>
    <w:p>
      <w:pPr>
        <w:spacing w:before="0" w:after="300"/>
      </w:pPr>
      <w:r>
        <w:rPr>
          <w:rFonts w:ascii="Calibri" w:hAnsi="Calibri"/>
          <w:i/>
          <w:color w:val="444444"/>
          <w:sz w:val="28"/>
        </w:rPr>
        <w:t>Print-Ready Communication Quality Reference — Use Before Every Client Communication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Program Lead:  </w:t>
      </w:r>
      <w:r>
        <w:rPr>
          <w:rFonts w:ascii="Calibri" w:hAnsi="Calibri"/>
          <w:b/>
          <w:color w:val="1C1C1C"/>
          <w:sz w:val="22"/>
        </w:rPr>
        <w:t>Mike Garcia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Version:  </w:t>
      </w:r>
      <w:r>
        <w:rPr>
          <w:rFonts w:ascii="Calibri" w:hAnsi="Calibri"/>
          <w:b/>
          <w:color w:val="1C1C1C"/>
          <w:sz w:val="22"/>
        </w:rPr>
        <w:t>1.0 — June 2026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Classification:  </w:t>
      </w:r>
      <w:r>
        <w:rPr>
          <w:rFonts w:ascii="Calibri" w:hAnsi="Calibri"/>
          <w:b/>
          <w:color w:val="C62828"/>
          <w:sz w:val="22"/>
        </w:rPr>
        <w:t>Internal — Mandatory Compliance</w:t>
      </w:r>
    </w:p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</w:t>
      </w:r>
    </w:p>
    <w:p>
      <w:r>
        <w:br w:type="page"/>
      </w:r>
    </w:p>
    <w:p>
      <w:pPr>
        <w:spacing w:before="400" w:after="120"/>
        <w:pBdr>
          <w:bottom w:val="single" w:sz="8" w:space="1" w:color="FF6200"/>
        </w:pBdr>
      </w:pPr>
      <w:r>
        <w:rPr>
          <w:rFonts w:ascii="Calibri" w:hAnsi="Calibri"/>
          <w:b/>
          <w:color w:val="1C1C1C"/>
          <w:sz w:val="32"/>
        </w:rPr>
        <w:t>The Three Communication Tests</w:t>
      </w: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Application Rule: </w:t>
      </w:r>
      <w:r>
        <w:rPr>
          <w:rFonts w:ascii="Calibri" w:hAnsi="Calibri"/>
          <w:color w:val="1C1C1C"/>
          <w:sz w:val="21"/>
        </w:rPr>
        <w:t>Apply all three tests to every client-facing communication before it is sent — major or minor, email or verbal summary, status update or escalation notice. There are no exceptions.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Test 1 — Repeat-Back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Question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Could the client accurately restate the key content of this communication in their own words after one reading?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Pass Condition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Core message stated in plain client language. No jargon, no unexplained acronyms, no passive constructions that obscure meaning.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Fail Condition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Message contains technical language the client does not use. Meaning requires interpretation.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Pass Example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"Your access to the SharePoint site will be restored by 5 PM today. No action is needed from you."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Fail Example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"The provisioning workflow has been re-initiated pending IAM reconciliation."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Test 2 — Stakes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Question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Does the client understand what happens next if they do or do not take the requested action?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Pass Condition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Message explicitly states what the client needs to do, decide, or know — and what happens if they don't.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Fail Condition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Message is technically accurate but describes what happened without connecting it to the client's world or required action.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Pass Example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"If you do not complete MFA registration by Friday, your access will be suspended on Monday morning."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Fail Example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"MFA registration is required for all users."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Test 3 — Next-Step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Question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Is the immediate next action crystal clear — who does it, when, and how will completion be confirmed?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Pass Condition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Message ends with a specific next step: who does what, by when, and what the client will hear next.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Fail Condition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Message ends with "please let us know if you have questions" or no defined next step.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Pass Example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"Please reply to this email by Thursday to confirm your preferred migration window. I will send a calendar invite within 24 hours of your reply."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Fail Example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"Please let us know if you have any questions."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Signal Language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 Language (❌)</w:t>
            </w:r>
          </w:p>
        </w:tc>
        <w:tc>
          <w:tcPr>
            <w:tcW w:type="dxa" w:w="504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Signal Language (✓)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"Things are going well"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"I'm seeing a pattern of the client re-asking questions we've already answered — that's a friction signal"</w:t>
            </w:r>
          </w:p>
        </w:tc>
      </w:tr>
      <w:tr>
        <w:tc>
          <w:tcPr>
            <w:tcW w:type="dxa" w:w="50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"No issues to report"</w:t>
            </w:r>
          </w:p>
        </w:tc>
        <w:tc>
          <w:tcPr>
            <w:tcW w:type="dxa" w:w="50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"Ownership Follow-Through is amber — we have two open items past their committed date"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"The client seems happy"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"Communication Clarity is green — no clarification requests in the past two weeks"</w:t>
            </w:r>
          </w:p>
        </w:tc>
      </w:tr>
      <w:tr>
        <w:tc>
          <w:tcPr>
            <w:tcW w:type="dxa" w:w="50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"The project is on track"</w:t>
            </w:r>
          </w:p>
        </w:tc>
        <w:tc>
          <w:tcPr>
            <w:tcW w:type="dxa" w:w="50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"The client's VP has stopped attending our weekly calls — that's a friction signal we need to address"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Three Validation Questions — Engagement Close</w:t>
      </w:r>
    </w:p>
    <w:p>
      <w:pPr>
        <w:pStyle w:val="ListNumber"/>
        <w:spacing w:before="40" w:after="40"/>
      </w:pPr>
      <w:r>
        <w:rPr>
          <w:rFonts w:ascii="Calibri" w:hAnsi="Calibri"/>
          <w:color w:val="444444"/>
          <w:sz w:val="22"/>
        </w:rPr>
        <w:t>"What was most valuable about this engagement?" — Forces the client to articulate value in their own words.</w:t>
      </w:r>
    </w:p>
    <w:p>
      <w:pPr>
        <w:pStyle w:val="ListNumber"/>
        <w:spacing w:before="40" w:after="40"/>
      </w:pPr>
      <w:r>
        <w:rPr>
          <w:rFonts w:ascii="Calibri" w:hAnsi="Calibri"/>
          <w:color w:val="444444"/>
          <w:sz w:val="22"/>
        </w:rPr>
        <w:t>"What would you tell a peer about what we helped you achieve?" — Tests whether the client has a reusable reference narrative.</w:t>
      </w:r>
    </w:p>
    <w:p>
      <w:pPr>
        <w:pStyle w:val="ListNumber"/>
        <w:spacing w:before="40" w:after="40"/>
      </w:pPr>
      <w:r>
        <w:rPr>
          <w:rFonts w:ascii="Calibri" w:hAnsi="Calibri"/>
          <w:color w:val="444444"/>
          <w:sz w:val="22"/>
        </w:rPr>
        <w:t>"What's the one thing you'd want us to carry forward into the next phase?" — Establishes continuity and opens the next engagement conversation.</w:t>
      </w:r>
    </w:p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  ·  EEP Three-Test Quick Reference Card v1.0  · 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Garcia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