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1E3564" w14:textId="77777777" w:rsidR="001157BD" w:rsidRDefault="00000000">
      <w:pPr>
        <w:pStyle w:val="Title"/>
        <w:jc w:val="center"/>
      </w:pPr>
      <w:commentRangeStart w:id="0"/>
      <w:commentRangeStart w:id="1"/>
      <w:r>
        <w:rPr>
          <w:rFonts w:ascii="Times New Roman" w:hAnsi="Times New Roman"/>
          <w:sz w:val="35"/>
        </w:rPr>
        <w:t>Development and Validation of a Two-Input Transfer Function Analysis for Blood Pressure, CO₂, and Cerebral Blood Flow Dynamics</w:t>
      </w:r>
      <w:commentRangeEnd w:id="0"/>
      <w:r>
        <w:rPr>
          <w:rStyle w:val="CommentReference"/>
          <w:sz w:val="34"/>
          <w:szCs w:val="56"/>
        </w:rPr>
        <w:commentReference w:id="0"/>
      </w:r>
      <w:commentRangeEnd w:id="1"/>
      <w:r>
        <w:rPr>
          <w:rStyle w:val="CommentReference"/>
          <w:sz w:val="34"/>
          <w:szCs w:val="56"/>
        </w:rPr>
        <w:commentReference w:id="1"/>
      </w:r>
    </w:p>
    <w:p w14:paraId="62FCC713" w14:textId="77777777" w:rsidR="001157BD" w:rsidRDefault="00000000">
      <w:pPr>
        <w:spacing w:after="160"/>
        <w:jc w:val="center"/>
      </w:pPr>
      <w:commentRangeStart w:id="2"/>
      <w:commentRangeStart w:id="3"/>
      <w:r>
        <w:rPr>
          <w:i/>
          <w:color w:val="595959"/>
          <w:sz w:val="18"/>
        </w:rPr>
        <w:t>Abstract deferred until the final results and interpretation are settled.</w:t>
      </w:r>
      <w:commentRangeEnd w:id="2"/>
      <w:r>
        <w:rPr>
          <w:rStyle w:val="CommentReference"/>
          <w:sz w:val="24"/>
          <w:szCs w:val="24"/>
        </w:rPr>
        <w:commentReference w:id="2"/>
      </w:r>
      <w:commentRangeEnd w:id="3"/>
      <w:r>
        <w:rPr>
          <w:rStyle w:val="CommentReference"/>
          <w:sz w:val="24"/>
          <w:szCs w:val="24"/>
        </w:rPr>
        <w:commentReference w:id="3"/>
      </w:r>
    </w:p>
    <w:p w14:paraId="7B2E6435" w14:textId="77777777" w:rsidR="001157BD" w:rsidRDefault="001157BD">
      <w:pPr>
        <w:sectPr w:rsidR="001157BD">
          <w:pgSz w:w="12240" w:h="15840"/>
          <w:pgMar w:top="979" w:right="979" w:bottom="979" w:left="979" w:header="461" w:footer="461" w:gutter="0"/>
          <w:cols w:space="360"/>
          <w:docGrid w:linePitch="360"/>
        </w:sectPr>
      </w:pPr>
    </w:p>
    <w:p w14:paraId="3DC74E99" w14:textId="77777777" w:rsidR="001157BD" w:rsidRDefault="00000000">
      <w:pPr>
        <w:pStyle w:val="Heading1"/>
      </w:pPr>
      <w:r>
        <w:rPr>
          <w:rFonts w:ascii="Times New Roman" w:hAnsi="Times New Roman"/>
        </w:rPr>
        <w:t>Introduction</w:t>
      </w:r>
    </w:p>
    <w:p w14:paraId="221F1B7A" w14:textId="77777777" w:rsidR="001157BD" w:rsidRDefault="00000000">
      <w:pPr>
        <w:ind w:firstLine="202"/>
      </w:pPr>
      <w:commentRangeStart w:id="4"/>
      <w:commentRangeStart w:id="5"/>
      <w:r>
        <w:rPr>
          <w:b/>
        </w:rPr>
        <w:t xml:space="preserve">The brain requires continuous blood flow while arterial pressure changes from moment to moment. Cerebral autoregulation helps limit the effect of these changes on cerebral perfusion. </w:t>
      </w:r>
      <w:r>
        <w:t xml:space="preserve">Dynamic cerebral autoregulation focuses on how that response develops over time and is commonly assessed using mean arterial pressure (MAP) and cerebral blood flow velocity (CBFV), measured with transcranial Doppler. </w:t>
      </w:r>
      <w:r>
        <w:rPr>
          <w:b/>
        </w:rPr>
        <w:t>CBFV is used as a surrogate for changes in flow when the diameter of the insonated artery is sufficiently stable.</w:t>
      </w:r>
      <w:r>
        <w:t xml:space="preserve"> [1]</w:t>
      </w:r>
      <w:commentRangeEnd w:id="4"/>
      <w:r>
        <w:rPr>
          <w:rStyle w:val="CommentReference"/>
          <w:sz w:val="24"/>
          <w:szCs w:val="24"/>
        </w:rPr>
        <w:commentReference w:id="4"/>
      </w:r>
      <w:commentRangeEnd w:id="5"/>
      <w:r>
        <w:rPr>
          <w:rStyle w:val="CommentReference"/>
          <w:sz w:val="24"/>
          <w:szCs w:val="24"/>
        </w:rPr>
        <w:commentReference w:id="5"/>
      </w:r>
    </w:p>
    <w:p w14:paraId="4A090970" w14:textId="77777777" w:rsidR="001157BD" w:rsidRDefault="00000000">
      <w:pPr>
        <w:ind w:firstLine="202"/>
      </w:pPr>
      <w:r>
        <w:rPr>
          <w:b/>
        </w:rPr>
        <w:t xml:space="preserve">Transfer function analysis (TFA) describes how fluctuations in one signal are related to fluctuations in another across frequency. </w:t>
      </w:r>
      <w:r>
        <w:t xml:space="preserve">A fluctuation at 0.10 Hz repeats about every 10 seconds, whereas one at 0.20 Hz repeats about every 5 seconds. At each frequency, gain describes the size of the CBFV response relative to the input, and phase describes their relative timing. A one-second timing difference is one-tenth of a cycle, or 36 degrees, at 0.10 Hz. </w:t>
      </w:r>
      <w:r>
        <w:rPr>
          <w:b/>
        </w:rPr>
        <w:t>Coherence describes how consistently the two signals maintain a linear relationship at that frequency.</w:t>
      </w:r>
      <w:r>
        <w:t xml:space="preserve"> [1]</w:t>
      </w:r>
    </w:p>
    <w:p w14:paraId="57BBE846" w14:textId="77777777" w:rsidR="001157BD" w:rsidRDefault="00000000">
      <w:pPr>
        <w:ind w:firstLine="202"/>
      </w:pPr>
      <w:r>
        <w:t xml:space="preserve">Most pressure–flow analyses use a single-input, single-output (SISO) model with MAP as the input and CBFV as the output. This pairwise description is useful, but MAP is not the only input that can influence CBFV. Carbon dioxide is a potent vasodilator with a strong effect on cerebrovascular tone, and end-tidal CO₂ (PETCO₂) provides a practical breath-to-breath surrogate for changes in arterial carbon dioxide during resting recordings. </w:t>
      </w:r>
      <w:r>
        <w:rPr>
          <w:b/>
        </w:rPr>
        <w:t xml:space="preserve">In a MAP-only SISO model, PETCO₂ is omitted. Having power in the same frequency range is not enough by itself to make one input informative about the other; their fluctuations must also have a consistent relationship at that frequency. When MAP and PETCO₂ do share such a relationship, part of the PETCO₂-related CBFV response may be attributed to MAP. The same problem applies to a PETCO₂-only SISO </w:t>
      </w:r>
      <w:r>
        <w:rPr>
          <w:b/>
        </w:rPr>
        <w:t>model. Two separate SISO models therefore describe pairwise relationships but do not distinguish the contribution of one measured input from the other.</w:t>
      </w:r>
      <w:r>
        <w:t xml:space="preserve"> [2]</w:t>
      </w:r>
    </w:p>
    <w:p w14:paraId="5ECAB66C" w14:textId="77777777" w:rsidR="001157BD" w:rsidRDefault="00000000">
      <w:pPr>
        <w:ind w:firstLine="202"/>
      </w:pPr>
      <w:r>
        <w:t xml:space="preserve">Previous studies provide a physiological basis for including more than one input. Panerai and colleagues used multivariate finite impulse response filters to estimate the contributions of beat-to-beat MAP and breath-to-breath PETCO₂ fluctuations to resting CBFV variability. MAP explained a substantial portion of the measured CBFV variability, and adding PETCO₂ reduced the model mean-squared reconstruction error. </w:t>
      </w:r>
      <w:r>
        <w:rPr>
          <w:b/>
        </w:rPr>
        <w:t>Peng and colleagues found that including additional gas-related inputs increased multiple coherence at low frequencies. These results suggest that spontaneous PETCO₂ fluctuations can explain CBFV variation that is not captured by pressure alone.</w:t>
      </w:r>
      <w:r>
        <w:t xml:space="preserve"> [3,4]</w:t>
      </w:r>
    </w:p>
    <w:p w14:paraId="21C523C7" w14:textId="77777777" w:rsidR="001157BD" w:rsidRDefault="00000000">
      <w:pPr>
        <w:ind w:firstLine="202"/>
      </w:pPr>
      <w:r>
        <w:t xml:space="preserve">However, lower CBFV prediction or reconstruction error does not necessarily mean that the separate MAP and PETCO₂ transfer functions were estimated correctly. MAP, PETCO₂, and CBFV can be measured in human recordings, but the true contribution of each input is not independently known. When the inputs are related, a model may predict total CBFV well while assigning part of the response to the wrong input. Model fit therefore describes how well the output is reproduced, but it does not establish that the individual pathways were recovered correctly. </w:t>
      </w:r>
      <w:r>
        <w:rPr>
          <w:b/>
        </w:rPr>
        <w:t>Known-truth simulation is needed to separate output prediction from recovery of the individual generating responses.</w:t>
      </w:r>
      <w:r>
        <w:t xml:space="preserve"> [4–6]</w:t>
      </w:r>
    </w:p>
    <w:p w14:paraId="22FA5B44" w14:textId="77777777" w:rsidR="001157BD" w:rsidRDefault="00000000">
      <w:pPr>
        <w:ind w:firstLine="202"/>
      </w:pPr>
      <w:r>
        <w:t xml:space="preserve">The coherence measures used with a two-input model answer different questions. Ordinary coherence describes the pairwise relationship between one input and CBFV without accounting for the other input. Partial coherence describes the remaining relationship between one input and CBFV after accounting for the second input. Multiple coherence describes how consistently </w:t>
      </w:r>
      <w:r>
        <w:lastRenderedPageBreak/>
        <w:t>MAP and PETCO₂ together are related to CBFV. Higher multiple coherence indicates that the two-input model explains the measured output more closely, but it does not show by itself that the individual pathways were estimated accurately.</w:t>
      </w:r>
    </w:p>
    <w:p w14:paraId="798C0E99" w14:textId="77777777" w:rsidR="001157BD" w:rsidRDefault="00000000">
      <w:pPr>
        <w:ind w:firstLine="202"/>
      </w:pPr>
      <w:r>
        <w:t>A multiple-input, single-output (MISO) TFA model estimates the MAP-to-CBFV and PETCO₂-to-CBFV responses together. The response associated with one input is conditional on the other input being included. In this paper, a pathway means the frequency-specific response component assigned by the model to one measured input. It is not an independently measured anatomical or causal pathway in a human recording.</w:t>
      </w:r>
    </w:p>
    <w:tbl>
      <w:tblPr>
        <w:tblW w:w="0" w:type="auto"/>
        <w:tblLayout w:type="fixed"/>
        <w:tblLook w:val="04A0" w:firstRow="1" w:lastRow="0" w:firstColumn="1" w:lastColumn="0" w:noHBand="0" w:noVBand="1"/>
      </w:tblPr>
      <w:tblGrid>
        <w:gridCol w:w="4320"/>
        <w:gridCol w:w="504"/>
      </w:tblGrid>
      <w:tr w:rsidR="001157BD" w14:paraId="59E995B6" w14:textId="77777777">
        <w:tc>
          <w:tcPr>
            <w:tcW w:w="4320" w:type="dxa"/>
          </w:tcPr>
          <w:p w14:paraId="0D190E0E" w14:textId="77777777" w:rsidR="001157BD" w:rsidRDefault="00000000">
            <w:pPr>
              <w:spacing w:after="20"/>
              <w:jc w:val="center"/>
            </w:pPr>
            <m:oMathPara>
              <m:oMath>
                <m:r>
                  <w:rPr>
                    <w:rFonts w:ascii="Cambria Math" w:hAnsi="Cambria Math"/>
                  </w:rPr>
                  <m:t>Y = HₘM + H꜀C + E</m:t>
                </m:r>
              </m:oMath>
            </m:oMathPara>
          </w:p>
        </w:tc>
        <w:tc>
          <w:tcPr>
            <w:tcW w:w="504" w:type="dxa"/>
          </w:tcPr>
          <w:p w14:paraId="153CD5FA" w14:textId="77777777" w:rsidR="001157BD" w:rsidRDefault="00000000">
            <w:pPr>
              <w:spacing w:after="20"/>
              <w:jc w:val="right"/>
            </w:pPr>
            <w:r>
              <w:rPr>
                <w:sz w:val="17"/>
              </w:rPr>
              <w:t>(1)</w:t>
            </w:r>
          </w:p>
        </w:tc>
      </w:tr>
    </w:tbl>
    <w:p w14:paraId="7121424D" w14:textId="77777777" w:rsidR="001157BD" w:rsidRDefault="00000000">
      <w:pPr>
        <w:ind w:firstLine="202"/>
      </w:pPr>
      <w:r>
        <w:t>The equation represents CBFV variation as the MAP contribution, the CO₂ contribution, and a remaining component that the measured inputs do not explain. Separating the two responses requires some frequency-specific input variation that is not shared. Complete independence is not required, but nearly identical inputs make their individual contributions difficult to distinguish.</w:t>
      </w:r>
    </w:p>
    <w:p w14:paraId="23F9865A" w14:textId="77777777" w:rsidR="001157BD" w:rsidRDefault="00000000">
      <w:pPr>
        <w:ind w:firstLine="202"/>
      </w:pPr>
      <w:r>
        <w:t>A clear and consistent MISO TFA framework is needed because preprocessing, spectral settings, the joint model solution, and diagnostic criteria can all affect the results. The framework must document these choices, return the MAP- and PETCO₂-related gain and phase estimates, and report the coherence and numerical diagnostics needed to interpret them.</w:t>
      </w:r>
    </w:p>
    <w:p w14:paraId="36A3E045" w14:textId="77777777" w:rsidR="001157BD" w:rsidRDefault="00000000">
      <w:pPr>
        <w:ind w:firstLine="202"/>
      </w:pPr>
      <w:r>
        <w:t>Adding a second input does not automatically produce a more accurate model. MISO must estimate two pathway coefficients at each frequency from the same finite recording. If MAP and PETCO₂ become too similar within a frequency region, the model can have difficulty distinguishing their effects. Short recordings, weak PETCO₂ fluctuations, measurement noise, signal misalignment, and estimator settings may also affect this balance.</w:t>
      </w:r>
    </w:p>
    <w:p w14:paraId="47DF8C09" w14:textId="77777777" w:rsidR="001157BD" w:rsidRDefault="00000000">
      <w:pPr>
        <w:ind w:firstLine="202"/>
      </w:pPr>
      <w:r>
        <w:t>The two-input framework will first be applied to resting baseline recordings from NC adults. Comparing MISO with conventional SISO estimates will show how accounting for both measured inputs changes the estimated MAP- and PETCO₂-related CBFV dynamics. Partial and multiple coherence and conditioning diagnostics will be used to evaluate whether the two-input estimates are supported by the available recordings. This application provides physiological relevance, but it cannot establish which model is closer to the underlying pathways because those pathways are not known in subject data.</w:t>
      </w:r>
    </w:p>
    <w:p w14:paraId="660C0E5B" w14:textId="77777777" w:rsidR="001157BD" w:rsidRDefault="00000000">
      <w:pPr>
        <w:ind w:firstLine="202"/>
      </w:pPr>
      <w:r>
        <w:t xml:space="preserve">Known-truth simulation provides the complementary evaluation. For each simulated family, prespecified MAP-to-output and PETCO₂-to-output transfer functions are defined first. Synthetic input time series are then generated, passed through these model pathways, and combined to create a synthetic output time series. MISO and SISO models are estimated using only the generated input and output observations, and their gain, phase, and complex transfer functions are compared directly with the prespecified transfer functions. </w:t>
      </w:r>
      <w:r>
        <w:rPr>
          <w:b/>
        </w:rPr>
        <w:t>The family structure keeps the underlying system fixed while allowing independent random realizations, so the estimator comparison is paired and reproducible.</w:t>
      </w:r>
      <w:r>
        <w:t xml:space="preserve"> [4–6,8]</w:t>
      </w:r>
    </w:p>
    <w:p w14:paraId="778FB822" w14:textId="77777777" w:rsidR="001157BD" w:rsidRDefault="00000000">
      <w:pPr>
        <w:ind w:firstLine="202"/>
      </w:pPr>
      <w:r>
        <w:t xml:space="preserve">The primary objective of this study is to develop and evaluate a reproducible two-input TFA framework that jointly estimates the MAP-to-CBFV and PETCO₂-to-CBFV dynamics. We will apply the framework to NC recordings and compare the resulting pathway estimates with conventional SISO analyses. We will then use known-truth simulations to evaluate pathway-recovery accuracy across relevant recording and input conditions. </w:t>
      </w:r>
      <w:r>
        <w:rPr>
          <w:b/>
        </w:rPr>
        <w:t>Together, these analyses document the method, demonstrate its physiological application, and define the conditions that support reliable interpretation.</w:t>
      </w:r>
    </w:p>
    <w:p w14:paraId="5F97F2F3" w14:textId="77777777" w:rsidR="001157BD" w:rsidRDefault="001157BD">
      <w:pPr>
        <w:sectPr w:rsidR="001157BD">
          <w:type w:val="continuous"/>
          <w:pgSz w:w="12240" w:h="15840"/>
          <w:pgMar w:top="979" w:right="979" w:bottom="979" w:left="979" w:header="461" w:footer="461" w:gutter="0"/>
          <w:cols w:num="2" w:space="360"/>
          <w:docGrid w:linePitch="360"/>
        </w:sectPr>
      </w:pPr>
    </w:p>
    <w:p w14:paraId="63504531" w14:textId="77777777" w:rsidR="001157BD" w:rsidRDefault="00000000">
      <w:pPr>
        <w:spacing w:before="80" w:after="40"/>
        <w:jc w:val="center"/>
      </w:pPr>
      <w:r>
        <w:rPr>
          <w:noProof/>
        </w:rPr>
        <w:lastRenderedPageBreak/>
        <w:drawing>
          <wp:inline distT="0" distB="0" distL="0" distR="0" wp14:anchorId="75BE7802" wp14:editId="270EE41B">
            <wp:extent cx="5806440" cy="3225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tudy_design.png"/>
                    <pic:cNvPicPr/>
                  </pic:nvPicPr>
                  <pic:blipFill>
                    <a:blip r:embed="rId9"/>
                    <a:stretch>
                      <a:fillRect/>
                    </a:stretch>
                  </pic:blipFill>
                  <pic:spPr>
                    <a:xfrm>
                      <a:off x="0" y="0"/>
                      <a:ext cx="5806440" cy="3225555"/>
                    </a:xfrm>
                    <a:prstGeom prst="rect">
                      <a:avLst/>
                    </a:prstGeom>
                  </pic:spPr>
                </pic:pic>
              </a:graphicData>
            </a:graphic>
          </wp:inline>
        </w:drawing>
      </w:r>
    </w:p>
    <w:p w14:paraId="197B5EBE" w14:textId="77777777" w:rsidR="001157BD" w:rsidRDefault="00000000">
      <w:pPr>
        <w:spacing w:before="40" w:after="140"/>
        <w:jc w:val="center"/>
      </w:pPr>
      <w:r>
        <w:rPr>
          <w:i/>
          <w:sz w:val="18"/>
        </w:rPr>
        <w:t>Figure 1. Study design. The known-truth branch generates CBFV from specified MAP and CO₂ responses and compares both estimators with those responses. The NC branch evaluates held-out CBFV prediction with subject-bootstrap uncertainty. Both branches use the same spectral estimators but answer different accuracy questions.</w:t>
      </w:r>
    </w:p>
    <w:p w14:paraId="2CEE4EC1" w14:textId="77777777" w:rsidR="001157BD" w:rsidRDefault="001157BD">
      <w:pPr>
        <w:sectPr w:rsidR="001157BD">
          <w:type w:val="continuous"/>
          <w:pgSz w:w="12240" w:h="15840"/>
          <w:pgMar w:top="979" w:right="979" w:bottom="979" w:left="979" w:header="461" w:footer="461" w:gutter="0"/>
          <w:cols w:space="360"/>
          <w:docGrid w:linePitch="360"/>
        </w:sectPr>
      </w:pPr>
    </w:p>
    <w:p w14:paraId="4D5010A3" w14:textId="77777777" w:rsidR="001157BD" w:rsidRDefault="00000000">
      <w:pPr>
        <w:pStyle w:val="Heading1"/>
      </w:pPr>
      <w:r>
        <w:rPr>
          <w:rFonts w:ascii="Times New Roman" w:hAnsi="Times New Roman"/>
        </w:rPr>
        <w:t>Methods</w:t>
      </w:r>
    </w:p>
    <w:p w14:paraId="139B24D8" w14:textId="77777777" w:rsidR="001157BD" w:rsidRDefault="00000000">
      <w:pPr>
        <w:pStyle w:val="Heading2"/>
      </w:pPr>
      <w:r>
        <w:rPr>
          <w:rFonts w:ascii="Times New Roman" w:hAnsi="Times New Roman"/>
        </w:rPr>
        <w:t>Study design and two accuracy questions</w:t>
      </w:r>
    </w:p>
    <w:p w14:paraId="41E12DF6" w14:textId="77777777" w:rsidR="001157BD" w:rsidRDefault="00000000">
      <w:pPr>
        <w:ind w:firstLine="202"/>
      </w:pPr>
      <w:r>
        <w:t>The study contains a known-truth simulation and a held-out analysis of normal-control (NC) recordings. The simulation asks whether SISO or MISO more accurately recovers a transfer function that is known because it generated the data. The NC analysis asks whether transfer functions estimated from one part of a recording predict CBFV in a different part. Human pathway truth is unavailable, so the NC analysis does not determine which estimate is physiologically correct.</w:t>
      </w:r>
    </w:p>
    <w:p w14:paraId="76AD18BF" w14:textId="77777777" w:rsidR="001157BD" w:rsidRDefault="00000000">
      <w:pPr>
        <w:ind w:firstLine="202"/>
      </w:pPr>
      <w:r>
        <w:t>For each simulated replicate and frequency, the estimated complex transfer function was compared with the complex transfer function used to generate the recording. This comparison includes both response size and timing. When a generating pathway had zero gain, absolute rather than relative error was used because a relative denominator would not be meaningful.</w:t>
      </w:r>
    </w:p>
    <w:tbl>
      <w:tblPr>
        <w:tblW w:w="0" w:type="auto"/>
        <w:tblLayout w:type="fixed"/>
        <w:tblLook w:val="04A0" w:firstRow="1" w:lastRow="0" w:firstColumn="1" w:lastColumn="0" w:noHBand="0" w:noVBand="1"/>
      </w:tblPr>
      <w:tblGrid>
        <w:gridCol w:w="4320"/>
        <w:gridCol w:w="504"/>
      </w:tblGrid>
      <w:tr w:rsidR="001157BD" w14:paraId="029DDDFE" w14:textId="77777777">
        <w:tc>
          <w:tcPr>
            <w:tcW w:w="4320" w:type="dxa"/>
          </w:tcPr>
          <w:p w14:paraId="699B442E" w14:textId="77777777" w:rsidR="001157BD" w:rsidRDefault="00000000">
            <w:pPr>
              <w:spacing w:after="20"/>
              <w:jc w:val="center"/>
            </w:pPr>
            <m:oMathPara>
              <m:oMath>
                <m:r>
                  <w:rPr>
                    <w:rFonts w:ascii="Cambria Math" w:hAnsi="Cambria Math"/>
                  </w:rPr>
                  <m:t xml:space="preserve">E = </m:t>
                </m:r>
                <m:f>
                  <m:fPr>
                    <m:ctrlPr>
                      <w:rPr>
                        <w:rFonts w:ascii="Cambria Math" w:hAnsi="Cambria Math"/>
                      </w:rPr>
                    </m:ctrlPr>
                  </m:fPr>
                  <m:num>
                    <m:r>
                      <w:rPr>
                        <w:rFonts w:ascii="Cambria Math" w:hAnsi="Cambria Math"/>
                      </w:rPr>
                      <m:t>⟨|Ĥ-H|²⟩</m:t>
                    </m:r>
                  </m:num>
                  <m:den>
                    <m:r>
                      <w:rPr>
                        <w:rFonts w:ascii="Cambria Math" w:hAnsi="Cambria Math"/>
                      </w:rPr>
                      <m:t>⟨|H|²⟩</m:t>
                    </m:r>
                  </m:den>
                </m:f>
              </m:oMath>
            </m:oMathPara>
          </w:p>
        </w:tc>
        <w:tc>
          <w:tcPr>
            <w:tcW w:w="504" w:type="dxa"/>
          </w:tcPr>
          <w:p w14:paraId="56AB3F07" w14:textId="77777777" w:rsidR="001157BD" w:rsidRDefault="00000000">
            <w:pPr>
              <w:spacing w:after="20"/>
              <w:jc w:val="right"/>
            </w:pPr>
            <w:r>
              <w:rPr>
                <w:sz w:val="17"/>
              </w:rPr>
              <w:t>(2)</w:t>
            </w:r>
          </w:p>
        </w:tc>
      </w:tr>
    </w:tbl>
    <w:p w14:paraId="7D5A02B5" w14:textId="77777777" w:rsidR="001157BD" w:rsidRDefault="00000000">
      <w:pPr>
        <w:ind w:firstLine="202"/>
      </w:pPr>
      <w:r>
        <w:t xml:space="preserve">Here H is the known generating transfer function, Ĥ is the estimate from one finite recording, and the angle brackets mean that the </w:t>
      </w:r>
      <w:r>
        <w:t>squared complex error is averaged across the paired replicates. The denominator makes the error relative to the size of the pathway. When a true pathway has zero gain, the analysis uses absolute error because a relative denominator would not be meaningful. The primary score is the base-10 logarithm of mean SISO error divided by mean MISO error. Positive values indicate lower mean error for MISO, negative values indicate lower mean error for SISO, and zero means equal error. An advantage of 1 means that the mean SISO error is ten times the mean MISO error.</w:t>
      </w:r>
    </w:p>
    <w:tbl>
      <w:tblPr>
        <w:tblW w:w="0" w:type="auto"/>
        <w:tblLayout w:type="fixed"/>
        <w:tblLook w:val="04A0" w:firstRow="1" w:lastRow="0" w:firstColumn="1" w:lastColumn="0" w:noHBand="0" w:noVBand="1"/>
      </w:tblPr>
      <w:tblGrid>
        <w:gridCol w:w="4320"/>
        <w:gridCol w:w="504"/>
      </w:tblGrid>
      <w:tr w:rsidR="001157BD" w14:paraId="48FD4D8D" w14:textId="77777777">
        <w:tc>
          <w:tcPr>
            <w:tcW w:w="4320" w:type="dxa"/>
          </w:tcPr>
          <w:p w14:paraId="0126C4C2" w14:textId="77777777" w:rsidR="001157BD" w:rsidRDefault="00000000">
            <w:pPr>
              <w:spacing w:after="20"/>
              <w:jc w:val="center"/>
            </w:pPr>
            <m:oMathPara>
              <m:oMath>
                <m:r>
                  <w:rPr>
                    <w:rFonts w:ascii="Cambria Math" w:hAnsi="Cambria Math"/>
                  </w:rPr>
                  <m:t xml:space="preserve">A = </m:t>
                </m:r>
                <m:sSub>
                  <m:sSubPr>
                    <m:ctrlPr>
                      <w:rPr>
                        <w:rFonts w:ascii="Cambria Math" w:hAnsi="Cambria Math"/>
                      </w:rPr>
                    </m:ctrlPr>
                  </m:sSubPr>
                  <m:e>
                    <m:r>
                      <w:rPr>
                        <w:rFonts w:ascii="Cambria Math" w:hAnsi="Cambria Math"/>
                      </w:rPr>
                      <m:t>log</m:t>
                    </m:r>
                  </m:e>
                  <m:sub>
                    <m:r>
                      <w:rPr>
                        <w:rFonts w:ascii="Cambria Math" w:hAnsi="Cambria Math"/>
                      </w:rPr>
                      <m:t>10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SISO</m:t>
                        </m:r>
                      </m:sub>
                    </m:sSub>
                  </m:num>
                  <m:den>
                    <m:sSub>
                      <m:sSubPr>
                        <m:ctrlPr>
                          <w:rPr>
                            <w:rFonts w:ascii="Cambria Math" w:hAnsi="Cambria Math"/>
                          </w:rPr>
                        </m:ctrlPr>
                      </m:sSubPr>
                      <m:e>
                        <m:r>
                          <w:rPr>
                            <w:rFonts w:ascii="Cambria Math" w:hAnsi="Cambria Math"/>
                          </w:rPr>
                          <m:t>E</m:t>
                        </m:r>
                      </m:e>
                      <m:sub>
                        <m:r>
                          <w:rPr>
                            <w:rFonts w:ascii="Cambria Math" w:hAnsi="Cambria Math"/>
                          </w:rPr>
                          <m:t>MISO</m:t>
                        </m:r>
                      </m:sub>
                    </m:sSub>
                  </m:den>
                </m:f>
                <m:r>
                  <w:rPr>
                    <w:rFonts w:ascii="Cambria Math" w:hAnsi="Cambria Math"/>
                  </w:rPr>
                  <m:t>)</m:t>
                </m:r>
              </m:oMath>
            </m:oMathPara>
          </w:p>
        </w:tc>
        <w:tc>
          <w:tcPr>
            <w:tcW w:w="504" w:type="dxa"/>
          </w:tcPr>
          <w:p w14:paraId="4B16E934" w14:textId="77777777" w:rsidR="001157BD" w:rsidRDefault="00000000">
            <w:pPr>
              <w:spacing w:after="20"/>
              <w:jc w:val="right"/>
            </w:pPr>
            <w:r>
              <w:rPr>
                <w:sz w:val="17"/>
              </w:rPr>
              <w:t>(3)</w:t>
            </w:r>
          </w:p>
        </w:tc>
      </w:tr>
    </w:tbl>
    <w:p w14:paraId="3894F603" w14:textId="77777777" w:rsidR="001157BD" w:rsidRDefault="00000000">
      <w:pPr>
        <w:pStyle w:val="Heading2"/>
      </w:pPr>
      <w:r>
        <w:rPr>
          <w:rFonts w:ascii="Times New Roman" w:hAnsi="Times New Roman"/>
        </w:rPr>
        <w:t>Frequency, power, and signal-to-noise ratio</w:t>
      </w:r>
    </w:p>
    <w:p w14:paraId="45AE981F" w14:textId="77777777" w:rsidR="001157BD" w:rsidRDefault="00000000">
      <w:pPr>
        <w:ind w:firstLine="202"/>
      </w:pPr>
      <w:r>
        <w:t>Power describes the average squared size of a signal's fluctuations around its mean. The power spectrum distributes that variation across frequency, so a larger value near a frequency means that more of the signal's fluctuation occurs on that time scale. The signal-to-noise ratio (SNR) compares signal power with measurement noise power: 10 dB means ten times as much signal power as noise power, 0 dB means equal power, and no noise is the ideal reference.</w:t>
      </w:r>
    </w:p>
    <w:tbl>
      <w:tblPr>
        <w:tblW w:w="0" w:type="auto"/>
        <w:tblLayout w:type="fixed"/>
        <w:tblLook w:val="04A0" w:firstRow="1" w:lastRow="0" w:firstColumn="1" w:lastColumn="0" w:noHBand="0" w:noVBand="1"/>
      </w:tblPr>
      <w:tblGrid>
        <w:gridCol w:w="4320"/>
        <w:gridCol w:w="504"/>
      </w:tblGrid>
      <w:tr w:rsidR="001157BD" w14:paraId="7677DF5A" w14:textId="77777777">
        <w:tc>
          <w:tcPr>
            <w:tcW w:w="4320" w:type="dxa"/>
          </w:tcPr>
          <w:p w14:paraId="560EBE98" w14:textId="77777777" w:rsidR="001157BD" w:rsidRDefault="00000000">
            <w:pPr>
              <w:spacing w:after="20"/>
              <w:jc w:val="center"/>
            </w:pPr>
            <m:oMathPara>
              <m:oMath>
                <m:r>
                  <w:rPr>
                    <w:rFonts w:ascii="Cambria Math" w:hAnsi="Cambria Math"/>
                  </w:rPr>
                  <m:t>Pₓ = ⟨(x-x̄)²⟩</m:t>
                </m:r>
              </m:oMath>
            </m:oMathPara>
          </w:p>
        </w:tc>
        <w:tc>
          <w:tcPr>
            <w:tcW w:w="504" w:type="dxa"/>
          </w:tcPr>
          <w:p w14:paraId="0EB2A530" w14:textId="77777777" w:rsidR="001157BD" w:rsidRDefault="00000000">
            <w:pPr>
              <w:spacing w:after="20"/>
              <w:jc w:val="right"/>
            </w:pPr>
            <w:r>
              <w:rPr>
                <w:sz w:val="17"/>
              </w:rPr>
              <w:t>(4)</w:t>
            </w:r>
          </w:p>
        </w:tc>
      </w:tr>
    </w:tbl>
    <w:p w14:paraId="6FC07362" w14:textId="77777777" w:rsidR="001157BD" w:rsidRDefault="00000000">
      <w:pPr>
        <w:ind w:firstLine="202"/>
      </w:pPr>
      <w:r>
        <w:lastRenderedPageBreak/>
        <w:t>Signals were sampled at 4 Hz, which permits frequencies up to the 2 Hz Nyquist frequency. We report only 0.02–0.35 Hz because that was the prespecified physiological range of interest. Spectra were estimated with 100-second, 400-sample Hann windows, 50% overlap, linear detrending, and three-bin smoothing. Because each window contains 400 samples at 4 Hz, the frequency-bin spacing is 4/400 = 0.01 Hz. The 2 Hz Nyquist limit is therefore much wider than the reported 0.02–0.35 Hz physiological band. SISO and MISO used identical settings. [7]</w:t>
      </w:r>
    </w:p>
    <w:p w14:paraId="451761D3" w14:textId="77777777" w:rsidR="001157BD" w:rsidRDefault="00000000">
      <w:pPr>
        <w:pStyle w:val="Heading2"/>
      </w:pPr>
      <w:r>
        <w:rPr>
          <w:rFonts w:ascii="Times New Roman" w:hAnsi="Times New Roman"/>
        </w:rPr>
        <w:t>Known-truth signal generation</w:t>
      </w:r>
    </w:p>
    <w:p w14:paraId="2D10B2CC" w14:textId="77777777" w:rsidR="001157BD" w:rsidRDefault="00000000">
      <w:pPr>
        <w:ind w:firstLine="202"/>
      </w:pPr>
      <w:r>
        <w:t>The simulator first creates clean MAP and CO₂ recordings. It then passes each input through a known response rule to obtain its CBFV contribution. The two contributions are added to form clean CBFV. The known response rules are the truth for the simulation; the estimators later receive only the resulting observations.</w:t>
      </w:r>
    </w:p>
    <w:p w14:paraId="74A7F919" w14:textId="77777777" w:rsidR="001157BD" w:rsidRDefault="00000000">
      <w:pPr>
        <w:ind w:firstLine="202"/>
      </w:pPr>
      <w:r>
        <w:t>A response rule is represented in two equivalent ways. In the time domain, a kernel is a list of weights that determines how an input value affects the current and later CBFV values. A constant multiplier would create an instantaneous response with the same gain at every frequency. A kernel allows the response to develop over time and therefore allows its gain and phase to differ across frequency.</w:t>
      </w:r>
    </w:p>
    <w:p w14:paraId="6B0C2EBD" w14:textId="77777777" w:rsidR="001157BD" w:rsidRDefault="00000000">
      <w:pPr>
        <w:ind w:firstLine="202"/>
      </w:pPr>
      <w:r>
        <w:t>The MAP response is high-pass-like. It combines an immediate component with a slowly developing component that reduces the response to sustained MAP changes. Its time constant is 3 seconds, its high-frequency gain is 1.5, and one-quarter of that gain is retained for slow changes. The CO₂ response is a delayed low-pass response. It is built from exponentially decreasing weights with a 5-second time constant and a 3-second delay, representing a response that begins after a delay and develops gradually.</w:t>
      </w:r>
    </w:p>
    <w:p w14:paraId="4D69EFD6" w14:textId="77777777" w:rsidR="001157BD" w:rsidRDefault="00000000">
      <w:pPr>
        <w:ind w:firstLine="202"/>
      </w:pPr>
      <w:r>
        <w:t xml:space="preserve">These response shapes and time constants are prescribed simulation assumptions, not transfer functions learned from NC data. NC data inform the input-spectrum shape and selected operating levels. The simulator converts each time-domain kernel to its frequency response and saves that </w:t>
      </w:r>
      <w:r>
        <w:t>response before observation noise or alignment error is applied. For every generated record, the stored random seed determines the white-noise realization. The requested SNR then sets the noise amplitude by dividing signal power by 10^(SNR/10), so the named SNR level changes measurement quality without changing the underlying clean pathway. [1,2]</w:t>
      </w:r>
    </w:p>
    <w:tbl>
      <w:tblPr>
        <w:tblW w:w="0" w:type="auto"/>
        <w:tblLayout w:type="fixed"/>
        <w:tblLook w:val="04A0" w:firstRow="1" w:lastRow="0" w:firstColumn="1" w:lastColumn="0" w:noHBand="0" w:noVBand="1"/>
      </w:tblPr>
      <w:tblGrid>
        <w:gridCol w:w="4320"/>
        <w:gridCol w:w="504"/>
      </w:tblGrid>
      <w:tr w:rsidR="001157BD" w14:paraId="7B08D614" w14:textId="77777777">
        <w:tc>
          <w:tcPr>
            <w:tcW w:w="4320" w:type="dxa"/>
          </w:tcPr>
          <w:p w14:paraId="7422C339" w14:textId="77777777" w:rsidR="001157BD" w:rsidRDefault="00000000">
            <w:pPr>
              <w:spacing w:after="20"/>
              <w:jc w:val="center"/>
            </w:pPr>
            <m:oMathPara>
              <m:oMath>
                <m:r>
                  <w:rPr>
                    <w:rFonts w:ascii="Cambria Math" w:hAnsi="Cambria Math"/>
                  </w:rPr>
                  <m:t>Y = HₘM + H꜀C + E</m:t>
                </m:r>
              </m:oMath>
            </m:oMathPara>
          </w:p>
        </w:tc>
        <w:tc>
          <w:tcPr>
            <w:tcW w:w="504" w:type="dxa"/>
          </w:tcPr>
          <w:p w14:paraId="74A863C8" w14:textId="77777777" w:rsidR="001157BD" w:rsidRDefault="00000000">
            <w:pPr>
              <w:spacing w:after="20"/>
              <w:jc w:val="right"/>
            </w:pPr>
            <w:r>
              <w:rPr>
                <w:sz w:val="17"/>
              </w:rPr>
              <w:t>(5)</w:t>
            </w:r>
          </w:p>
        </w:tc>
      </w:tr>
    </w:tbl>
    <w:p w14:paraId="1D09C929" w14:textId="77777777" w:rsidR="001157BD" w:rsidRDefault="00000000">
      <w:pPr>
        <w:pStyle w:val="Heading2"/>
      </w:pPr>
      <w:r>
        <w:rPr>
          <w:rFonts w:ascii="Times New Roman" w:hAnsi="Times New Roman"/>
        </w:rPr>
        <w:t>Signal families and paired realizations</w:t>
      </w:r>
    </w:p>
    <w:p w14:paraId="1B76E22B" w14:textId="77777777" w:rsidR="001157BD" w:rsidRDefault="00000000">
      <w:pPr>
        <w:ind w:firstLine="202"/>
      </w:pPr>
      <w:r>
        <w:t>A simulated family represents one fixed underlying system rather than one single recording. The family keeps the input-spectrum shape, the MAP–CO₂ relationship, the response-kernel rules, and the pathway settings fixed. Each realization then uses new random draws to create a different finite recording from that same system. This separates variation that belongs to the assumed physiology from variation that is caused by having only one finite recording.</w:t>
      </w:r>
    </w:p>
    <w:p w14:paraId="3ACF4EE8" w14:textId="77777777" w:rsidR="001157BD" w:rsidRDefault="00000000">
      <w:pPr>
        <w:ind w:firstLine="202"/>
      </w:pPr>
      <w:r>
        <w:t>The simulator first creates a shared input component and an input-specific CO₂ component in the frequency domain. The shared component is scaled to the requested MAP–CO₂ coherence, while the independent component supplies information that can distinguish the two inputs. A requested input lag is applied to the shared CO₂ component before the inverse Fourier transform, so the lag changes the timing of the generated inputs rather than being added later as an arbitrary phase label.</w:t>
      </w:r>
    </w:p>
    <w:p w14:paraId="3E12F877" w14:textId="77777777" w:rsidR="001157BD" w:rsidRDefault="00000000">
      <w:pPr>
        <w:ind w:firstLine="202"/>
      </w:pPr>
      <w:r>
        <w:t>The same family realization is then used for both estimators. SISO and MISO do not receive different signals or different random noise. They receive the same observed MAP, CO₂, and CBFV recording, and their estimates are compared with the same known generating responses. The pairing means that a difference in accuracy is caused by the estimator, not by comparing two unrelated recordings.</w:t>
      </w:r>
    </w:p>
    <w:p w14:paraId="78D2D36E" w14:textId="77777777" w:rsidR="001157BD" w:rsidRDefault="00000000">
      <w:pPr>
        <w:spacing w:before="40" w:after="40"/>
      </w:pPr>
      <w:r>
        <w:rPr>
          <w:i/>
          <w:sz w:val="18"/>
        </w:rPr>
        <w:t>Code example 1. MATLAB excerpt from generateKnownTruthRealization.m and createKnownTruthObservation.m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w14:paraId="441B640B" w14:textId="77777777">
        <w:trPr>
          <w:cantSplit/>
        </w:trPr>
        <w:tc>
          <w:tcPr>
            <w:tcW w:w="4680" w:type="dxa"/>
            <w:shd w:val="clear" w:color="auto" w:fill="F2F2F2"/>
          </w:tcPr>
          <w:p w14:paraId="4B0619DF" w14:textId="77777777" w:rsidR="001157BD" w:rsidRDefault="00000000">
            <w:pPr>
              <w:spacing w:after="0" w:line="216" w:lineRule="auto"/>
              <w:ind w:left="58" w:right="58"/>
            </w:pPr>
            <w:r>
              <w:rPr>
                <w:rFonts w:ascii="Consolas" w:hAnsi="Consolas"/>
                <w:color w:val="005CAA"/>
                <w:sz w:val="15"/>
              </w:rPr>
              <w:lastRenderedPageBreak/>
              <w:t>for</w:t>
            </w:r>
            <w:r>
              <w:rPr>
                <w:rFonts w:ascii="Consolas" w:hAnsi="Consolas"/>
                <w:color w:val="232323"/>
                <w:sz w:val="15"/>
              </w:rPr>
              <w:t xml:space="preserve"> replicateIndex = </w:t>
            </w:r>
            <w:r>
              <w:rPr>
                <w:rFonts w:ascii="Consolas" w:hAnsi="Consolas"/>
                <w:color w:val="265391"/>
                <w:sz w:val="15"/>
              </w:rPr>
              <w:t>1</w:t>
            </w:r>
            <w:r>
              <w:rPr>
                <w:rFonts w:ascii="Consolas" w:hAnsi="Consolas"/>
                <w:color w:val="232323"/>
                <w:sz w:val="15"/>
              </w:rPr>
              <w:t>:numReplicates</w:t>
            </w:r>
            <w:r>
              <w:br/>
            </w:r>
            <w:r>
              <w:rPr>
                <w:rFonts w:ascii="Consolas" w:hAnsi="Consolas"/>
                <w:color w:val="232323"/>
                <w:sz w:val="15"/>
              </w:rPr>
              <w:t xml:space="preserve">    seed = </w:t>
            </w:r>
            <w:r>
              <w:rPr>
                <w:rFonts w:ascii="Consolas" w:hAnsi="Consolas"/>
                <w:color w:val="00797A"/>
                <w:sz w:val="15"/>
              </w:rPr>
              <w:t>familySeeds</w:t>
            </w:r>
            <w:r>
              <w:rPr>
                <w:rFonts w:ascii="Consolas" w:hAnsi="Consolas"/>
                <w:color w:val="232323"/>
                <w:sz w:val="15"/>
              </w:rPr>
              <w:t>(replicateIndex);</w:t>
            </w:r>
            <w:r>
              <w:br/>
            </w:r>
            <w:r>
              <w:rPr>
                <w:rFonts w:ascii="Consolas" w:hAnsi="Consolas"/>
                <w:color w:val="232323"/>
                <w:sz w:val="15"/>
              </w:rPr>
              <w:t xml:space="preserve">    realization = </w:t>
            </w:r>
            <w:r>
              <w:rPr>
                <w:rFonts w:ascii="Consolas" w:hAnsi="Consolas"/>
                <w:color w:val="00797A"/>
                <w:sz w:val="15"/>
              </w:rPr>
              <w:t>generateKnownTruthRealization</w:t>
            </w:r>
            <w:r>
              <w:rPr>
                <w:rFonts w:ascii="Consolas" w:hAnsi="Consolas"/>
                <w:color w:val="232323"/>
                <w:sz w:val="15"/>
              </w:rPr>
              <w:t>( ...</w:t>
            </w:r>
            <w:r>
              <w:br/>
            </w:r>
            <w:r>
              <w:rPr>
                <w:rFonts w:ascii="Consolas" w:hAnsi="Consolas"/>
                <w:color w:val="232323"/>
                <w:sz w:val="15"/>
              </w:rPr>
              <w:t xml:space="preserve">        scenario, settings, seed, durationSeconds);</w:t>
            </w:r>
            <w:r>
              <w:br/>
            </w:r>
            <w:r>
              <w:rPr>
                <w:rFonts w:ascii="Consolas" w:hAnsi="Consolas"/>
                <w:color w:val="232323"/>
                <w:sz w:val="15"/>
              </w:rPr>
              <w:t xml:space="preserve">    observation = </w:t>
            </w:r>
            <w:r>
              <w:rPr>
                <w:rFonts w:ascii="Consolas" w:hAnsi="Consolas"/>
                <w:color w:val="00797A"/>
                <w:sz w:val="15"/>
              </w:rPr>
              <w:t>createKnownTruthObservation</w:t>
            </w:r>
            <w:r>
              <w:rPr>
                <w:rFonts w:ascii="Consolas" w:hAnsi="Consolas"/>
                <w:color w:val="232323"/>
                <w:sz w:val="15"/>
              </w:rPr>
              <w:t>( ...</w:t>
            </w:r>
            <w:r>
              <w:br/>
            </w:r>
            <w:r>
              <w:rPr>
                <w:rFonts w:ascii="Consolas" w:hAnsi="Consolas"/>
                <w:color w:val="232323"/>
                <w:sz w:val="15"/>
              </w:rPr>
              <w:t xml:space="preserve">        realization, conditionRow);</w:t>
            </w:r>
            <w:r>
              <w:br/>
            </w:r>
            <w:r>
              <w:rPr>
                <w:rFonts w:ascii="Consolas" w:hAnsi="Consolas"/>
                <w:color w:val="005CAA"/>
                <w:sz w:val="15"/>
              </w:rPr>
              <w:t>end</w:t>
            </w:r>
          </w:p>
        </w:tc>
      </w:tr>
    </w:tbl>
    <w:p w14:paraId="69D9C047" w14:textId="77777777" w:rsidR="001157BD" w:rsidRDefault="00000000">
      <w:pPr>
        <w:ind w:firstLine="202"/>
      </w:pPr>
      <w:r>
        <w:t xml:space="preserve">The code shows the separation between a family realization and an observation condition. The random seed controls the particular realization. The </w:t>
      </w:r>
      <w:r>
        <w:t>condition row then selects the recording duration, input noise, output noise, and alignment setting applied to that realization. Changing one condition value therefore changes one declared recording or analysis property while preserving the same generation rules.</w:t>
      </w:r>
    </w:p>
    <w:p w14:paraId="61B24C2B" w14:textId="77777777" w:rsidR="001157BD" w:rsidRDefault="001157BD">
      <w:pPr>
        <w:sectPr w:rsidR="001157BD">
          <w:type w:val="continuous"/>
          <w:pgSz w:w="12240" w:h="15840"/>
          <w:pgMar w:top="979" w:right="979" w:bottom="979" w:left="979" w:header="461" w:footer="461" w:gutter="0"/>
          <w:cols w:num="2" w:space="360"/>
          <w:docGrid w:linePitch="360"/>
        </w:sectPr>
      </w:pPr>
    </w:p>
    <w:p w14:paraId="1020E870" w14:textId="77777777" w:rsidR="001157BD" w:rsidRDefault="00000000">
      <w:pPr>
        <w:spacing w:before="80" w:after="40"/>
        <w:jc w:val="center"/>
      </w:pPr>
      <w:r>
        <w:rPr>
          <w:noProof/>
        </w:rPr>
        <w:drawing>
          <wp:inline distT="0" distB="0" distL="0" distR="0" wp14:anchorId="0151B18F" wp14:editId="361574F2">
            <wp:extent cx="5806440" cy="29245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imulation_replicates.png"/>
                    <pic:cNvPicPr/>
                  </pic:nvPicPr>
                  <pic:blipFill>
                    <a:blip r:embed="rId10"/>
                    <a:stretch>
                      <a:fillRect/>
                    </a:stretch>
                  </pic:blipFill>
                  <pic:spPr>
                    <a:xfrm>
                      <a:off x="0" y="0"/>
                      <a:ext cx="5806440" cy="2924599"/>
                    </a:xfrm>
                    <a:prstGeom prst="rect">
                      <a:avLst/>
                    </a:prstGeom>
                  </pic:spPr>
                </pic:pic>
              </a:graphicData>
            </a:graphic>
          </wp:inline>
        </w:drawing>
      </w:r>
    </w:p>
    <w:p w14:paraId="5981C9DB" w14:textId="77777777" w:rsidR="001157BD" w:rsidRDefault="00000000">
      <w:pPr>
        <w:spacing w:before="40" w:after="140"/>
        <w:jc w:val="center"/>
      </w:pPr>
      <w:r>
        <w:rPr>
          <w:i/>
          <w:sz w:val="18"/>
        </w:rPr>
        <w:t>Figure 2. How one fixed simulation condition produces paired family realizations. Each realization is observed once, analyzed by both estimators, and compared with the same known pathway responses.</w:t>
      </w:r>
    </w:p>
    <w:p w14:paraId="6329C719" w14:textId="77777777" w:rsidR="001157BD" w:rsidRDefault="001157BD">
      <w:pPr>
        <w:sectPr w:rsidR="001157BD">
          <w:type w:val="continuous"/>
          <w:pgSz w:w="12240" w:h="15840"/>
          <w:pgMar w:top="979" w:right="979" w:bottom="979" w:left="979" w:header="461" w:footer="461" w:gutter="0"/>
          <w:cols w:space="360"/>
          <w:docGrid w:linePitch="360"/>
        </w:sectPr>
      </w:pPr>
    </w:p>
    <w:p w14:paraId="54C8038A" w14:textId="77777777" w:rsidR="001157BD" w:rsidRDefault="00000000">
      <w:pPr>
        <w:pStyle w:val="Heading2"/>
      </w:pPr>
      <w:r>
        <w:rPr>
          <w:rFonts w:ascii="Times New Roman" w:hAnsi="Times New Roman"/>
        </w:rPr>
        <w:t>From kernels to frequency responses</w:t>
      </w:r>
    </w:p>
    <w:p w14:paraId="183CAFD5" w14:textId="77777777" w:rsidR="001157BD" w:rsidRDefault="00000000">
      <w:pPr>
        <w:ind w:firstLine="202"/>
      </w:pPr>
      <w:r>
        <w:t>The MAP and CO₂ kernels are not learned from the NC recordings. They are prescribed generating rules chosen to represent two different time courses. The MAP kernel combines an immediate component with a slower component that attenuates sustained changes. The CO₂ kernel is an exponentially developing response with a delay. The simulator converts these time-domain weights into complex frequency responses, which supplies the known gain and phase used as the truth. NC data inform the relative input-spectrum shape and selected operating levels, not the individual transfer functions. [1-3]</w:t>
      </w:r>
    </w:p>
    <w:p w14:paraId="6B324B07" w14:textId="77777777" w:rsidR="001157BD" w:rsidRDefault="00000000">
      <w:pPr>
        <w:spacing w:before="40" w:after="40"/>
      </w:pPr>
      <w:r>
        <w:rPr>
          <w:i/>
          <w:sz w:val="18"/>
        </w:rPr>
        <w:t>Code example 2. MATLAB excerpt from generateKnownTruthRealization.m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w14:paraId="44DC5C16" w14:textId="77777777">
        <w:trPr>
          <w:cantSplit/>
        </w:trPr>
        <w:tc>
          <w:tcPr>
            <w:tcW w:w="4680" w:type="dxa"/>
            <w:shd w:val="clear" w:color="auto" w:fill="F2F2F2"/>
          </w:tcPr>
          <w:p w14:paraId="037544C8" w14:textId="77777777" w:rsidR="001157BD" w:rsidRDefault="00000000">
            <w:pPr>
              <w:spacing w:after="0" w:line="216" w:lineRule="auto"/>
              <w:ind w:left="58" w:right="58"/>
            </w:pPr>
            <w:r>
              <w:rPr>
                <w:rFonts w:ascii="Consolas" w:hAnsi="Consolas"/>
                <w:color w:val="232323"/>
                <w:sz w:val="15"/>
              </w:rPr>
              <w:t xml:space="preserve">mapKernel = </w:t>
            </w:r>
            <w:r>
              <w:rPr>
                <w:rFonts w:ascii="Consolas" w:hAnsi="Consolas"/>
                <w:color w:val="00797A"/>
                <w:sz w:val="15"/>
              </w:rPr>
              <w:t>createMapAutoregulationKernel</w:t>
            </w:r>
            <w:r>
              <w:rPr>
                <w:rFonts w:ascii="Consolas" w:hAnsi="Consolas"/>
                <w:color w:val="232323"/>
                <w:sz w:val="15"/>
              </w:rPr>
              <w:t>(settings);</w:t>
            </w:r>
            <w:r>
              <w:br/>
            </w:r>
            <w:r>
              <w:rPr>
                <w:rFonts w:ascii="Consolas" w:hAnsi="Consolas"/>
                <w:color w:val="232323"/>
                <w:sz w:val="15"/>
              </w:rPr>
              <w:t xml:space="preserve">co2Kernel = </w:t>
            </w:r>
            <w:r>
              <w:rPr>
                <w:rFonts w:ascii="Consolas" w:hAnsi="Consolas"/>
                <w:color w:val="00797A"/>
                <w:sz w:val="15"/>
              </w:rPr>
              <w:t>createPetco2VasoreactivityKernel</w:t>
            </w:r>
            <w:r>
              <w:rPr>
                <w:rFonts w:ascii="Consolas" w:hAnsi="Consolas"/>
                <w:color w:val="232323"/>
                <w:sz w:val="15"/>
              </w:rPr>
              <w:t>(settings);</w:t>
            </w:r>
            <w:r>
              <w:br/>
            </w:r>
            <w:r>
              <w:rPr>
                <w:rFonts w:ascii="Consolas" w:hAnsi="Consolas"/>
                <w:color w:val="232323"/>
                <w:sz w:val="15"/>
              </w:rPr>
              <w:t xml:space="preserve">mapContribution = </w:t>
            </w:r>
            <w:r>
              <w:rPr>
                <w:rFonts w:ascii="Consolas" w:hAnsi="Consolas"/>
                <w:color w:val="00797A"/>
                <w:sz w:val="15"/>
              </w:rPr>
              <w:t>filter</w:t>
            </w:r>
            <w:r>
              <w:rPr>
                <w:rFonts w:ascii="Consolas" w:hAnsi="Consolas"/>
                <w:color w:val="232323"/>
                <w:sz w:val="15"/>
              </w:rPr>
              <w:t xml:space="preserve">(mapKernel, </w:t>
            </w:r>
            <w:r>
              <w:rPr>
                <w:rFonts w:ascii="Consolas" w:hAnsi="Consolas"/>
                <w:color w:val="265391"/>
                <w:sz w:val="15"/>
              </w:rPr>
              <w:t>1</w:t>
            </w:r>
            <w:r>
              <w:rPr>
                <w:rFonts w:ascii="Consolas" w:hAnsi="Consolas"/>
                <w:color w:val="232323"/>
                <w:sz w:val="15"/>
              </w:rPr>
              <w:t>, map);</w:t>
            </w:r>
            <w:r>
              <w:br/>
            </w:r>
            <w:r>
              <w:rPr>
                <w:rFonts w:ascii="Consolas" w:hAnsi="Consolas"/>
                <w:color w:val="232323"/>
                <w:sz w:val="15"/>
              </w:rPr>
              <w:t xml:space="preserve">co2Contribution = </w:t>
            </w:r>
            <w:r>
              <w:rPr>
                <w:rFonts w:ascii="Consolas" w:hAnsi="Consolas"/>
                <w:color w:val="00797A"/>
                <w:sz w:val="15"/>
              </w:rPr>
              <w:t>filter</w:t>
            </w:r>
            <w:r>
              <w:rPr>
                <w:rFonts w:ascii="Consolas" w:hAnsi="Consolas"/>
                <w:color w:val="232323"/>
                <w:sz w:val="15"/>
              </w:rPr>
              <w:t xml:space="preserve">(co2Kernel, </w:t>
            </w:r>
            <w:r>
              <w:rPr>
                <w:rFonts w:ascii="Consolas" w:hAnsi="Consolas"/>
                <w:color w:val="265391"/>
                <w:sz w:val="15"/>
              </w:rPr>
              <w:t>1</w:t>
            </w:r>
            <w:r>
              <w:rPr>
                <w:rFonts w:ascii="Consolas" w:hAnsi="Consolas"/>
                <w:color w:val="232323"/>
                <w:sz w:val="15"/>
              </w:rPr>
              <w:t>, co2);</w:t>
            </w:r>
            <w:r>
              <w:br/>
            </w:r>
            <w:r>
              <w:rPr>
                <w:rFonts w:ascii="Consolas" w:hAnsi="Consolas"/>
                <w:color w:val="232323"/>
                <w:sz w:val="15"/>
              </w:rPr>
              <w:t>cleanCbv = mapContribution + co2Contribution;</w:t>
            </w:r>
          </w:p>
        </w:tc>
      </w:tr>
    </w:tbl>
    <w:p w14:paraId="54C59102" w14:textId="77777777" w:rsidR="001157BD" w:rsidRDefault="00000000">
      <w:pPr>
        <w:pStyle w:val="Heading2"/>
      </w:pPr>
      <w:r>
        <w:rPr>
          <w:rFonts w:ascii="Times New Roman" w:hAnsi="Times New Roman"/>
        </w:rPr>
        <w:t>NC-derived input-spectrum shape</w:t>
      </w:r>
    </w:p>
    <w:p w14:paraId="3A58CB79" w14:textId="77777777" w:rsidR="001157BD" w:rsidRDefault="00000000">
      <w:pPr>
        <w:ind w:firstLine="202"/>
      </w:pPr>
      <w:r>
        <w:t>We used the NC recordings to choose how much input variation to place at each frequency. For each subject, MAP and CO₂ power spectra were calculated from 90-second windows. The subject-level median curves were averaged in decibels and fit with a smooth decreasing function. Only this relative shape was used; measured amplitudes and clinical units were not copied into the simulation.</w:t>
      </w:r>
    </w:p>
    <w:tbl>
      <w:tblPr>
        <w:tblW w:w="0" w:type="auto"/>
        <w:tblLayout w:type="fixed"/>
        <w:tblLook w:val="04A0" w:firstRow="1" w:lastRow="0" w:firstColumn="1" w:lastColumn="0" w:noHBand="0" w:noVBand="1"/>
      </w:tblPr>
      <w:tblGrid>
        <w:gridCol w:w="4320"/>
        <w:gridCol w:w="504"/>
      </w:tblGrid>
      <w:tr w:rsidR="001157BD" w14:paraId="08C6771C" w14:textId="77777777">
        <w:tc>
          <w:tcPr>
            <w:tcW w:w="4320" w:type="dxa"/>
          </w:tcPr>
          <w:p w14:paraId="7B82C150" w14:textId="77777777" w:rsidR="001157BD" w:rsidRDefault="00000000">
            <w:pPr>
              <w:spacing w:after="20"/>
              <w:jc w:val="center"/>
            </w:pPr>
            <m:oMathPara>
              <m:oMath>
                <m:r>
                  <w:rPr>
                    <w:rFonts w:ascii="Cambria Math" w:hAnsi="Cambria Math"/>
                  </w:rPr>
                  <m:t xml:space="preserve">S(f) = </m:t>
                </m:r>
                <m:f>
                  <m:fPr>
                    <m:ctrlPr>
                      <w:rPr>
                        <w:rFonts w:ascii="Cambria Math" w:hAnsi="Cambria Math"/>
                      </w:rPr>
                    </m:ctrlPr>
                  </m:fPr>
                  <m:num>
                    <m:r>
                      <w:rPr>
                        <w:rFonts w:ascii="Cambria Math" w:hAnsi="Cambria Math"/>
                      </w:rPr>
                      <m:t>1</m:t>
                    </m:r>
                  </m:num>
                  <m:den>
                    <m:r>
                      <w:rPr>
                        <w:rFonts w:ascii="Cambria Math" w:hAnsi="Cambria Math"/>
                      </w:rPr>
                      <m:t xml:space="preserve">1 + </m:t>
                    </m:r>
                    <m:sSup>
                      <m:sSupPr>
                        <m:ctrlPr>
                          <w:rPr>
                            <w:rFonts w:ascii="Cambria Math" w:hAnsi="Cambria Math"/>
                          </w:rPr>
                        </m:ctrlPr>
                      </m:sSupPr>
                      <m:e>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f</m:t>
                                </m:r>
                              </m:e>
                              <m:sub>
                                <m:r>
                                  <w:rPr>
                                    <w:rFonts w:ascii="Cambria Math" w:hAnsi="Cambria Math"/>
                                  </w:rPr>
                                  <m:t>0</m:t>
                                </m:r>
                              </m:sub>
                            </m:sSub>
                          </m:den>
                        </m:f>
                      </m:e>
                      <m:sup>
                        <m:r>
                          <w:rPr>
                            <w:rFonts w:ascii="Cambria Math" w:hAnsi="Cambria Math"/>
                          </w:rPr>
                          <m:t>α</m:t>
                        </m:r>
                      </m:sup>
                    </m:sSup>
                  </m:den>
                </m:f>
              </m:oMath>
            </m:oMathPara>
          </w:p>
        </w:tc>
        <w:tc>
          <w:tcPr>
            <w:tcW w:w="504" w:type="dxa"/>
          </w:tcPr>
          <w:p w14:paraId="7754BC3D" w14:textId="77777777" w:rsidR="001157BD" w:rsidRDefault="00000000">
            <w:pPr>
              <w:spacing w:after="20"/>
              <w:jc w:val="right"/>
            </w:pPr>
            <w:r>
              <w:rPr>
                <w:sz w:val="17"/>
              </w:rPr>
              <w:t>(6)</w:t>
            </w:r>
          </w:p>
        </w:tc>
      </w:tr>
    </w:tbl>
    <w:p w14:paraId="40D425E5" w14:textId="77777777" w:rsidR="001157BD" w:rsidRDefault="00000000">
      <w:pPr>
        <w:ind w:firstLine="202"/>
      </w:pPr>
      <w:r>
        <w:t>The fitted roll-off frequency was 0.0290 Hz and the exponent was 2.5514, with an RMS fitting error of 0.91 dB. MAP and CO₂ were assigned the same shape in the primary simulation so that input coherence could be changed without simultaneously changing their frequency distributions.</w:t>
      </w:r>
    </w:p>
    <w:p w14:paraId="25BE88ED" w14:textId="77777777" w:rsidR="001157BD" w:rsidRDefault="001157BD">
      <w:pPr>
        <w:sectPr w:rsidR="001157BD">
          <w:type w:val="continuous"/>
          <w:pgSz w:w="12240" w:h="15840"/>
          <w:pgMar w:top="979" w:right="979" w:bottom="979" w:left="979" w:header="461" w:footer="461" w:gutter="0"/>
          <w:cols w:num="2" w:space="360"/>
          <w:docGrid w:linePitch="360"/>
        </w:sectPr>
      </w:pPr>
    </w:p>
    <w:p w14:paraId="1997B18F" w14:textId="77777777" w:rsidR="001157BD" w:rsidRDefault="00000000">
      <w:pPr>
        <w:spacing w:before="80" w:after="40"/>
        <w:jc w:val="center"/>
      </w:pPr>
      <w:r>
        <w:rPr>
          <w:noProof/>
        </w:rPr>
        <w:lastRenderedPageBreak/>
        <w:drawing>
          <wp:inline distT="0" distB="0" distL="0" distR="0" wp14:anchorId="70343204" wp14:editId="1D6FC169">
            <wp:extent cx="5806440" cy="31414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nc_input_spectrum.png"/>
                    <pic:cNvPicPr/>
                  </pic:nvPicPr>
                  <pic:blipFill>
                    <a:blip r:embed="rId11"/>
                    <a:stretch>
                      <a:fillRect/>
                    </a:stretch>
                  </pic:blipFill>
                  <pic:spPr>
                    <a:xfrm>
                      <a:off x="0" y="0"/>
                      <a:ext cx="5806440" cy="3141403"/>
                    </a:xfrm>
                    <a:prstGeom prst="rect">
                      <a:avLst/>
                    </a:prstGeom>
                  </pic:spPr>
                </pic:pic>
              </a:graphicData>
            </a:graphic>
          </wp:inline>
        </w:drawing>
      </w:r>
    </w:p>
    <w:p w14:paraId="6B837D09" w14:textId="77777777" w:rsidR="001157BD" w:rsidRDefault="00000000">
      <w:pPr>
        <w:spacing w:before="40" w:after="140"/>
        <w:jc w:val="center"/>
      </w:pPr>
      <w:r>
        <w:rPr>
          <w:i/>
          <w:sz w:val="18"/>
        </w:rPr>
        <w:t>Figure 3. Origin of the simulated input-spectrum shape. Subject-median NC MAP and CO₂ spectra are shown with their fitted monotonic reference shape. The shape controls relative variation across frequency and is not presented as a universal physiological range.</w:t>
      </w:r>
    </w:p>
    <w:p w14:paraId="2E60A40D" w14:textId="77777777" w:rsidR="001157BD" w:rsidRDefault="001157BD">
      <w:pPr>
        <w:sectPr w:rsidR="001157BD">
          <w:type w:val="continuous"/>
          <w:pgSz w:w="12240" w:h="15840"/>
          <w:pgMar w:top="979" w:right="979" w:bottom="979" w:left="979" w:header="461" w:footer="461" w:gutter="0"/>
          <w:cols w:space="360"/>
          <w:docGrid w:linePitch="360"/>
        </w:sectPr>
      </w:pPr>
    </w:p>
    <w:p w14:paraId="4C826236" w14:textId="77777777" w:rsidR="001157BD" w:rsidRDefault="00000000">
      <w:pPr>
        <w:pStyle w:val="Heading2"/>
      </w:pPr>
      <w:r>
        <w:rPr>
          <w:rFonts w:ascii="Times New Roman" w:hAnsi="Times New Roman"/>
        </w:rPr>
        <w:t>Tested quantities and fixed reference condition</w:t>
      </w:r>
    </w:p>
    <w:p w14:paraId="40FE8324" w14:textId="77777777" w:rsidR="001157BD" w:rsidRDefault="00000000">
      <w:pPr>
        <w:ind w:firstLine="202"/>
      </w:pPr>
      <w:r>
        <w:t>The main heatmaps vary one quantity at a time. Except for the named quantity, primary maps use 300 seconds of data, 10 dB signal-shaped CBFV output noise, MAP–CO₂ input coherence of 0.50, and an assigned CO₂-to-MAP pathway gain ratio of 1. These are declared reference settings, not a claim that they represent universal normal values.</w:t>
      </w:r>
    </w:p>
    <w:p w14:paraId="7EF9C787" w14:textId="77777777" w:rsidR="001157BD" w:rsidRDefault="00000000">
      <w:pPr>
        <w:ind w:firstLine="202"/>
      </w:pPr>
      <w:r>
        <w:t>The coherence levels include 0 as an independent-input control, 0.15 as an NC-informed operating level, and 0.50 and 0.95 as stronger dependence tests. The pathway-strength levels are 0, 0.25, and 1. They change the assigned CO₂ response relative to MAP, not the proportion of observed CBFV that must be attributed to CO₂.</w:t>
      </w:r>
    </w:p>
    <w:p w14:paraId="4F6882DF" w14:textId="77777777" w:rsidR="001157BD" w:rsidRDefault="00000000">
      <w:pPr>
        <w:ind w:firstLine="202"/>
      </w:pPr>
      <w:r>
        <w:t>The input-lag analysis changes when the shared CO₂ fluctuation occurs relative to MAP before CBFV is generated. It does not independently set MAP–CBFV or CO₂–CBFV phase. The alignment analysis is different: it shifts the recorded CO₂ channel after CBFV has already been generated, representing an acquisition or processing error.</w:t>
      </w:r>
    </w:p>
    <w:p w14:paraId="77719660" w14:textId="77777777" w:rsidR="001157BD" w:rsidRDefault="00000000">
      <w:pPr>
        <w:ind w:firstLine="202"/>
      </w:pPr>
      <w:r>
        <w:t>MAP and CO₂ input noise were varied separately, with the other input kept noise-free. CBFV output noise was added to clean CBFV. A white noise check tested whether the primary signal-shaped noise assumption changed the conclusions.</w:t>
      </w:r>
    </w:p>
    <w:p w14:paraId="5BA2DA42" w14:textId="77777777" w:rsidR="001157BD" w:rsidRDefault="001157BD">
      <w:pPr>
        <w:sectPr w:rsidR="001157BD">
          <w:type w:val="continuous"/>
          <w:pgSz w:w="12240" w:h="15840"/>
          <w:pgMar w:top="979" w:right="979" w:bottom="979" w:left="979" w:header="461" w:footer="461" w:gutter="0"/>
          <w:cols w:num="2" w:space="360"/>
          <w:docGrid w:linePitch="360"/>
        </w:sectPr>
      </w:pPr>
    </w:p>
    <w:p w14:paraId="119BF9B6" w14:textId="77777777" w:rsidR="001157BD" w:rsidRDefault="00000000">
      <w:pPr>
        <w:spacing w:before="40" w:after="140"/>
        <w:jc w:val="center"/>
      </w:pPr>
      <w:r>
        <w:rPr>
          <w:i/>
          <w:sz w:val="18"/>
        </w:rPr>
        <w:t>Table 1. Simulation quantities, tested levels, fixed settings, and basis for selecting each level.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1512"/>
        <w:gridCol w:w="2952"/>
        <w:gridCol w:w="2880"/>
      </w:tblGrid>
      <w:tr w:rsidR="001157BD" w14:paraId="149EF525" w14:textId="77777777">
        <w:tc>
          <w:tcPr>
            <w:tcW w:w="2088" w:type="dxa"/>
            <w:shd w:val="clear" w:color="auto" w:fill="D9EAF7"/>
            <w:tcMar>
              <w:top w:w="70" w:type="dxa"/>
              <w:left w:w="70" w:type="dxa"/>
              <w:bottom w:w="70" w:type="dxa"/>
              <w:right w:w="70" w:type="dxa"/>
            </w:tcMar>
            <w:vAlign w:val="center"/>
          </w:tcPr>
          <w:p w14:paraId="27C76587" w14:textId="77777777" w:rsidR="001157BD" w:rsidRDefault="00000000">
            <w:pPr>
              <w:spacing w:after="20" w:line="235" w:lineRule="auto"/>
            </w:pPr>
            <w:r>
              <w:rPr>
                <w:b/>
                <w:sz w:val="13"/>
              </w:rPr>
              <w:t>Varied quantity</w:t>
            </w:r>
          </w:p>
        </w:tc>
        <w:tc>
          <w:tcPr>
            <w:tcW w:w="1512" w:type="dxa"/>
            <w:shd w:val="clear" w:color="auto" w:fill="D9EAF7"/>
            <w:tcMar>
              <w:top w:w="70" w:type="dxa"/>
              <w:left w:w="70" w:type="dxa"/>
              <w:bottom w:w="70" w:type="dxa"/>
              <w:right w:w="70" w:type="dxa"/>
            </w:tcMar>
            <w:vAlign w:val="center"/>
          </w:tcPr>
          <w:p w14:paraId="278EBE8A" w14:textId="77777777" w:rsidR="001157BD" w:rsidRDefault="00000000">
            <w:pPr>
              <w:spacing w:after="20" w:line="235" w:lineRule="auto"/>
            </w:pPr>
            <w:r>
              <w:rPr>
                <w:b/>
                <w:sz w:val="13"/>
              </w:rPr>
              <w:t>Tested levels</w:t>
            </w:r>
          </w:p>
        </w:tc>
        <w:tc>
          <w:tcPr>
            <w:tcW w:w="2952" w:type="dxa"/>
            <w:shd w:val="clear" w:color="auto" w:fill="D9EAF7"/>
            <w:tcMar>
              <w:top w:w="70" w:type="dxa"/>
              <w:left w:w="70" w:type="dxa"/>
              <w:bottom w:w="70" w:type="dxa"/>
              <w:right w:w="70" w:type="dxa"/>
            </w:tcMar>
            <w:vAlign w:val="center"/>
          </w:tcPr>
          <w:p w14:paraId="2A308D73" w14:textId="77777777" w:rsidR="001157BD" w:rsidRDefault="00000000">
            <w:pPr>
              <w:spacing w:after="20" w:line="235" w:lineRule="auto"/>
            </w:pPr>
            <w:r>
              <w:rPr>
                <w:b/>
                <w:sz w:val="13"/>
              </w:rPr>
              <w:t>Other settings held fixed</w:t>
            </w:r>
          </w:p>
        </w:tc>
        <w:tc>
          <w:tcPr>
            <w:tcW w:w="2880" w:type="dxa"/>
            <w:shd w:val="clear" w:color="auto" w:fill="D9EAF7"/>
            <w:tcMar>
              <w:top w:w="70" w:type="dxa"/>
              <w:left w:w="70" w:type="dxa"/>
              <w:bottom w:w="70" w:type="dxa"/>
              <w:right w:w="70" w:type="dxa"/>
            </w:tcMar>
            <w:vAlign w:val="center"/>
          </w:tcPr>
          <w:p w14:paraId="23AF3C09" w14:textId="77777777" w:rsidR="001157BD" w:rsidRDefault="00000000">
            <w:pPr>
              <w:spacing w:after="20" w:line="235" w:lineRule="auto"/>
            </w:pPr>
            <w:r>
              <w:rPr>
                <w:b/>
                <w:sz w:val="13"/>
              </w:rPr>
              <w:t>Basis for levels</w:t>
            </w:r>
          </w:p>
        </w:tc>
      </w:tr>
      <w:tr w:rsidR="001157BD" w14:paraId="1BCDFDC2" w14:textId="77777777">
        <w:tc>
          <w:tcPr>
            <w:tcW w:w="2088" w:type="dxa"/>
            <w:tcMar>
              <w:top w:w="70" w:type="dxa"/>
              <w:left w:w="70" w:type="dxa"/>
              <w:bottom w:w="70" w:type="dxa"/>
              <w:right w:w="70" w:type="dxa"/>
            </w:tcMar>
            <w:vAlign w:val="center"/>
          </w:tcPr>
          <w:p w14:paraId="312F580C" w14:textId="77777777" w:rsidR="001157BD" w:rsidRDefault="00000000">
            <w:pPr>
              <w:spacing w:after="20" w:line="235" w:lineRule="auto"/>
            </w:pPr>
            <w:r>
              <w:rPr>
                <w:sz w:val="13"/>
              </w:rPr>
              <w:t>MAP–CO₂ coherence</w:t>
            </w:r>
          </w:p>
        </w:tc>
        <w:tc>
          <w:tcPr>
            <w:tcW w:w="1512" w:type="dxa"/>
            <w:tcMar>
              <w:top w:w="70" w:type="dxa"/>
              <w:left w:w="70" w:type="dxa"/>
              <w:bottom w:w="70" w:type="dxa"/>
              <w:right w:w="70" w:type="dxa"/>
            </w:tcMar>
            <w:vAlign w:val="center"/>
          </w:tcPr>
          <w:p w14:paraId="00518267" w14:textId="77777777" w:rsidR="001157BD" w:rsidRDefault="00000000">
            <w:pPr>
              <w:spacing w:after="20" w:line="235" w:lineRule="auto"/>
            </w:pPr>
            <w:r>
              <w:rPr>
                <w:sz w:val="13"/>
              </w:rPr>
              <w:t>0, 0.15, 0.50, 0.95</w:t>
            </w:r>
          </w:p>
        </w:tc>
        <w:tc>
          <w:tcPr>
            <w:tcW w:w="2952" w:type="dxa"/>
            <w:tcMar>
              <w:top w:w="70" w:type="dxa"/>
              <w:left w:w="70" w:type="dxa"/>
              <w:bottom w:w="70" w:type="dxa"/>
              <w:right w:w="70" w:type="dxa"/>
            </w:tcMar>
            <w:vAlign w:val="center"/>
          </w:tcPr>
          <w:p w14:paraId="52046C2E" w14:textId="77777777" w:rsidR="001157BD" w:rsidRDefault="00000000">
            <w:pPr>
              <w:spacing w:after="20" w:line="235" w:lineRule="auto"/>
            </w:pPr>
            <w:r>
              <w:rPr>
                <w:sz w:val="13"/>
              </w:rPr>
              <w:t>300 s; 10 dB CBFV SNR; pathway ratio 1</w:t>
            </w:r>
          </w:p>
        </w:tc>
        <w:tc>
          <w:tcPr>
            <w:tcW w:w="2880" w:type="dxa"/>
            <w:tcMar>
              <w:top w:w="70" w:type="dxa"/>
              <w:left w:w="70" w:type="dxa"/>
              <w:bottom w:w="70" w:type="dxa"/>
              <w:right w:w="70" w:type="dxa"/>
            </w:tcMar>
            <w:vAlign w:val="center"/>
          </w:tcPr>
          <w:p w14:paraId="0EB6F47C" w14:textId="77777777" w:rsidR="001157BD" w:rsidRDefault="00000000">
            <w:pPr>
              <w:spacing w:after="20" w:line="235" w:lineRule="auto"/>
            </w:pPr>
            <w:r>
              <w:rPr>
                <w:sz w:val="13"/>
              </w:rPr>
              <w:t>0 is an independent-input control; 0.15 is NC-informed; 0.50 and 0.95 are dependence tests</w:t>
            </w:r>
          </w:p>
        </w:tc>
      </w:tr>
      <w:tr w:rsidR="001157BD" w14:paraId="29A6719E" w14:textId="77777777">
        <w:tc>
          <w:tcPr>
            <w:tcW w:w="2088" w:type="dxa"/>
            <w:shd w:val="clear" w:color="auto" w:fill="F7F7F7"/>
            <w:tcMar>
              <w:top w:w="70" w:type="dxa"/>
              <w:left w:w="70" w:type="dxa"/>
              <w:bottom w:w="70" w:type="dxa"/>
              <w:right w:w="70" w:type="dxa"/>
            </w:tcMar>
            <w:vAlign w:val="center"/>
          </w:tcPr>
          <w:p w14:paraId="488CC49B" w14:textId="77777777" w:rsidR="001157BD" w:rsidRDefault="00000000">
            <w:pPr>
              <w:spacing w:after="20" w:line="235" w:lineRule="auto"/>
            </w:pPr>
            <w:r>
              <w:rPr>
                <w:sz w:val="13"/>
              </w:rPr>
              <w:t>Relative CO₂ pathway strength</w:t>
            </w:r>
          </w:p>
        </w:tc>
        <w:tc>
          <w:tcPr>
            <w:tcW w:w="1512" w:type="dxa"/>
            <w:shd w:val="clear" w:color="auto" w:fill="F7F7F7"/>
            <w:tcMar>
              <w:top w:w="70" w:type="dxa"/>
              <w:left w:w="70" w:type="dxa"/>
              <w:bottom w:w="70" w:type="dxa"/>
              <w:right w:w="70" w:type="dxa"/>
            </w:tcMar>
            <w:vAlign w:val="center"/>
          </w:tcPr>
          <w:p w14:paraId="5B5F52F0" w14:textId="77777777" w:rsidR="001157BD" w:rsidRDefault="00000000">
            <w:pPr>
              <w:spacing w:after="20" w:line="235" w:lineRule="auto"/>
            </w:pPr>
            <w:r>
              <w:rPr>
                <w:sz w:val="13"/>
              </w:rPr>
              <w:t>0, 0.25, 1</w:t>
            </w:r>
          </w:p>
        </w:tc>
        <w:tc>
          <w:tcPr>
            <w:tcW w:w="2952" w:type="dxa"/>
            <w:shd w:val="clear" w:color="auto" w:fill="F7F7F7"/>
            <w:tcMar>
              <w:top w:w="70" w:type="dxa"/>
              <w:left w:w="70" w:type="dxa"/>
              <w:bottom w:w="70" w:type="dxa"/>
              <w:right w:w="70" w:type="dxa"/>
            </w:tcMar>
            <w:vAlign w:val="center"/>
          </w:tcPr>
          <w:p w14:paraId="72FD98DA" w14:textId="77777777" w:rsidR="001157BD" w:rsidRDefault="00000000">
            <w:pPr>
              <w:spacing w:after="20" w:line="235" w:lineRule="auto"/>
            </w:pPr>
            <w:r>
              <w:rPr>
                <w:sz w:val="13"/>
              </w:rPr>
              <w:t>300 s; 10 dB CBFV SNR; coherence 0.50</w:t>
            </w:r>
          </w:p>
        </w:tc>
        <w:tc>
          <w:tcPr>
            <w:tcW w:w="2880" w:type="dxa"/>
            <w:shd w:val="clear" w:color="auto" w:fill="F7F7F7"/>
            <w:tcMar>
              <w:top w:w="70" w:type="dxa"/>
              <w:left w:w="70" w:type="dxa"/>
              <w:bottom w:w="70" w:type="dxa"/>
              <w:right w:w="70" w:type="dxa"/>
            </w:tcMar>
            <w:vAlign w:val="center"/>
          </w:tcPr>
          <w:p w14:paraId="05DDD0F8" w14:textId="77777777" w:rsidR="001157BD" w:rsidRDefault="00000000">
            <w:pPr>
              <w:spacing w:after="20" w:line="235" w:lineRule="auto"/>
            </w:pPr>
            <w:r>
              <w:rPr>
                <w:sz w:val="13"/>
              </w:rPr>
              <w:t>Absent, weaker, and equal-gain conditions</w:t>
            </w:r>
          </w:p>
        </w:tc>
      </w:tr>
      <w:tr w:rsidR="001157BD" w14:paraId="63FB2401" w14:textId="77777777">
        <w:tc>
          <w:tcPr>
            <w:tcW w:w="2088" w:type="dxa"/>
            <w:tcMar>
              <w:top w:w="70" w:type="dxa"/>
              <w:left w:w="70" w:type="dxa"/>
              <w:bottom w:w="70" w:type="dxa"/>
              <w:right w:w="70" w:type="dxa"/>
            </w:tcMar>
            <w:vAlign w:val="center"/>
          </w:tcPr>
          <w:p w14:paraId="716184BA" w14:textId="77777777" w:rsidR="001157BD" w:rsidRDefault="00000000">
            <w:pPr>
              <w:spacing w:after="20" w:line="235" w:lineRule="auto"/>
            </w:pPr>
            <w:r>
              <w:rPr>
                <w:sz w:val="13"/>
              </w:rPr>
              <w:t>Recording duration</w:t>
            </w:r>
          </w:p>
        </w:tc>
        <w:tc>
          <w:tcPr>
            <w:tcW w:w="1512" w:type="dxa"/>
            <w:tcMar>
              <w:top w:w="70" w:type="dxa"/>
              <w:left w:w="70" w:type="dxa"/>
              <w:bottom w:w="70" w:type="dxa"/>
              <w:right w:w="70" w:type="dxa"/>
            </w:tcMar>
            <w:vAlign w:val="center"/>
          </w:tcPr>
          <w:p w14:paraId="452DB49A" w14:textId="77777777" w:rsidR="001157BD" w:rsidRDefault="00000000">
            <w:pPr>
              <w:spacing w:after="20" w:line="235" w:lineRule="auto"/>
            </w:pPr>
            <w:r>
              <w:rPr>
                <w:sz w:val="13"/>
              </w:rPr>
              <w:t>300, 600 s</w:t>
            </w:r>
          </w:p>
        </w:tc>
        <w:tc>
          <w:tcPr>
            <w:tcW w:w="2952" w:type="dxa"/>
            <w:tcMar>
              <w:top w:w="70" w:type="dxa"/>
              <w:left w:w="70" w:type="dxa"/>
              <w:bottom w:w="70" w:type="dxa"/>
              <w:right w:w="70" w:type="dxa"/>
            </w:tcMar>
            <w:vAlign w:val="center"/>
          </w:tcPr>
          <w:p w14:paraId="05765A7B" w14:textId="77777777" w:rsidR="001157BD" w:rsidRDefault="00000000">
            <w:pPr>
              <w:spacing w:after="20" w:line="235" w:lineRule="auto"/>
            </w:pPr>
            <w:r>
              <w:rPr>
                <w:sz w:val="13"/>
              </w:rPr>
              <w:t>10 dB CBFV SNR; coherence 0.50; pathway ratio 1</w:t>
            </w:r>
          </w:p>
        </w:tc>
        <w:tc>
          <w:tcPr>
            <w:tcW w:w="2880" w:type="dxa"/>
            <w:tcMar>
              <w:top w:w="70" w:type="dxa"/>
              <w:left w:w="70" w:type="dxa"/>
              <w:bottom w:w="70" w:type="dxa"/>
              <w:right w:w="70" w:type="dxa"/>
            </w:tcMar>
            <w:vAlign w:val="center"/>
          </w:tcPr>
          <w:p w14:paraId="2879CEB1" w14:textId="77777777" w:rsidR="001157BD" w:rsidRDefault="00000000">
            <w:pPr>
              <w:spacing w:after="20" w:line="235" w:lineRule="auto"/>
            </w:pPr>
            <w:r>
              <w:rPr>
                <w:sz w:val="13"/>
              </w:rPr>
              <w:t>Shorter and longer data records</w:t>
            </w:r>
          </w:p>
        </w:tc>
      </w:tr>
      <w:tr w:rsidR="001157BD" w14:paraId="687C44F9" w14:textId="77777777">
        <w:tc>
          <w:tcPr>
            <w:tcW w:w="2088" w:type="dxa"/>
            <w:shd w:val="clear" w:color="auto" w:fill="F7F7F7"/>
            <w:tcMar>
              <w:top w:w="70" w:type="dxa"/>
              <w:left w:w="70" w:type="dxa"/>
              <w:bottom w:w="70" w:type="dxa"/>
              <w:right w:w="70" w:type="dxa"/>
            </w:tcMar>
            <w:vAlign w:val="center"/>
          </w:tcPr>
          <w:p w14:paraId="34A1340C" w14:textId="77777777" w:rsidR="001157BD" w:rsidRDefault="00000000">
            <w:pPr>
              <w:spacing w:after="20" w:line="235" w:lineRule="auto"/>
            </w:pPr>
            <w:r>
              <w:rPr>
                <w:sz w:val="13"/>
              </w:rPr>
              <w:t>CBFV output SNR</w:t>
            </w:r>
          </w:p>
        </w:tc>
        <w:tc>
          <w:tcPr>
            <w:tcW w:w="1512" w:type="dxa"/>
            <w:shd w:val="clear" w:color="auto" w:fill="F7F7F7"/>
            <w:tcMar>
              <w:top w:w="70" w:type="dxa"/>
              <w:left w:w="70" w:type="dxa"/>
              <w:bottom w:w="70" w:type="dxa"/>
              <w:right w:w="70" w:type="dxa"/>
            </w:tcMar>
            <w:vAlign w:val="center"/>
          </w:tcPr>
          <w:p w14:paraId="2756899A" w14:textId="77777777" w:rsidR="001157BD" w:rsidRDefault="00000000">
            <w:pPr>
              <w:spacing w:after="20" w:line="235" w:lineRule="auto"/>
            </w:pPr>
            <w:r>
              <w:rPr>
                <w:sz w:val="13"/>
              </w:rPr>
              <w:t>No noise, 10, 0 dB</w:t>
            </w:r>
          </w:p>
        </w:tc>
        <w:tc>
          <w:tcPr>
            <w:tcW w:w="2952" w:type="dxa"/>
            <w:shd w:val="clear" w:color="auto" w:fill="F7F7F7"/>
            <w:tcMar>
              <w:top w:w="70" w:type="dxa"/>
              <w:left w:w="70" w:type="dxa"/>
              <w:bottom w:w="70" w:type="dxa"/>
              <w:right w:w="70" w:type="dxa"/>
            </w:tcMar>
            <w:vAlign w:val="center"/>
          </w:tcPr>
          <w:p w14:paraId="3DE9993C" w14:textId="77777777" w:rsidR="001157BD" w:rsidRDefault="00000000">
            <w:pPr>
              <w:spacing w:after="20" w:line="235" w:lineRule="auto"/>
            </w:pPr>
            <w:r>
              <w:rPr>
                <w:sz w:val="13"/>
              </w:rPr>
              <w:t>300 s; coherence 0.50; pathway ratio 1</w:t>
            </w:r>
          </w:p>
        </w:tc>
        <w:tc>
          <w:tcPr>
            <w:tcW w:w="2880" w:type="dxa"/>
            <w:shd w:val="clear" w:color="auto" w:fill="F7F7F7"/>
            <w:tcMar>
              <w:top w:w="70" w:type="dxa"/>
              <w:left w:w="70" w:type="dxa"/>
              <w:bottom w:w="70" w:type="dxa"/>
              <w:right w:w="70" w:type="dxa"/>
            </w:tcMar>
            <w:vAlign w:val="center"/>
          </w:tcPr>
          <w:p w14:paraId="45A866CB" w14:textId="77777777" w:rsidR="001157BD" w:rsidRDefault="00000000">
            <w:pPr>
              <w:spacing w:after="20" w:line="235" w:lineRule="auto"/>
            </w:pPr>
            <w:r>
              <w:rPr>
                <w:sz w:val="13"/>
              </w:rPr>
              <w:t>Ideal, moderate, and severe unexplained output variation</w:t>
            </w:r>
          </w:p>
        </w:tc>
      </w:tr>
      <w:tr w:rsidR="001157BD" w14:paraId="2959007D" w14:textId="77777777">
        <w:tc>
          <w:tcPr>
            <w:tcW w:w="2088" w:type="dxa"/>
            <w:tcMar>
              <w:top w:w="70" w:type="dxa"/>
              <w:left w:w="70" w:type="dxa"/>
              <w:bottom w:w="70" w:type="dxa"/>
              <w:right w:w="70" w:type="dxa"/>
            </w:tcMar>
            <w:vAlign w:val="center"/>
          </w:tcPr>
          <w:p w14:paraId="026EEC63" w14:textId="77777777" w:rsidR="001157BD" w:rsidRDefault="00000000">
            <w:pPr>
              <w:spacing w:after="20" w:line="235" w:lineRule="auto"/>
            </w:pPr>
            <w:r>
              <w:rPr>
                <w:sz w:val="13"/>
              </w:rPr>
              <w:t>MAP–CO₂ input lag</w:t>
            </w:r>
          </w:p>
        </w:tc>
        <w:tc>
          <w:tcPr>
            <w:tcW w:w="1512" w:type="dxa"/>
            <w:tcMar>
              <w:top w:w="70" w:type="dxa"/>
              <w:left w:w="70" w:type="dxa"/>
              <w:bottom w:w="70" w:type="dxa"/>
              <w:right w:w="70" w:type="dxa"/>
            </w:tcMar>
            <w:vAlign w:val="center"/>
          </w:tcPr>
          <w:p w14:paraId="746F42F7" w14:textId="77777777" w:rsidR="001157BD" w:rsidRDefault="00000000">
            <w:pPr>
              <w:spacing w:after="20" w:line="235" w:lineRule="auto"/>
            </w:pPr>
            <w:r>
              <w:rPr>
                <w:sz w:val="13"/>
              </w:rPr>
              <w:t>−6, 0, 4 s</w:t>
            </w:r>
          </w:p>
        </w:tc>
        <w:tc>
          <w:tcPr>
            <w:tcW w:w="2952" w:type="dxa"/>
            <w:tcMar>
              <w:top w:w="70" w:type="dxa"/>
              <w:left w:w="70" w:type="dxa"/>
              <w:bottom w:w="70" w:type="dxa"/>
              <w:right w:w="70" w:type="dxa"/>
            </w:tcMar>
            <w:vAlign w:val="center"/>
          </w:tcPr>
          <w:p w14:paraId="6B68F5FE" w14:textId="77777777" w:rsidR="001157BD" w:rsidRDefault="00000000">
            <w:pPr>
              <w:spacing w:after="20" w:line="235" w:lineRule="auto"/>
            </w:pPr>
            <w:r>
              <w:rPr>
                <w:sz w:val="13"/>
              </w:rPr>
              <w:t>300 s; 10 dB CBFV SNR; pathway ratio 1</w:t>
            </w:r>
          </w:p>
        </w:tc>
        <w:tc>
          <w:tcPr>
            <w:tcW w:w="2880" w:type="dxa"/>
            <w:tcMar>
              <w:top w:w="70" w:type="dxa"/>
              <w:left w:w="70" w:type="dxa"/>
              <w:bottom w:w="70" w:type="dxa"/>
              <w:right w:w="70" w:type="dxa"/>
            </w:tcMar>
            <w:vAlign w:val="center"/>
          </w:tcPr>
          <w:p w14:paraId="34B1F035" w14:textId="77777777" w:rsidR="001157BD" w:rsidRDefault="00000000">
            <w:pPr>
              <w:spacing w:after="20" w:line="235" w:lineRule="auto"/>
            </w:pPr>
            <w:r>
              <w:rPr>
                <w:sz w:val="13"/>
              </w:rPr>
              <w:t>NC-informed timing sensitivity levels</w:t>
            </w:r>
          </w:p>
        </w:tc>
      </w:tr>
      <w:tr w:rsidR="001157BD" w14:paraId="1C34DB7D" w14:textId="77777777">
        <w:tc>
          <w:tcPr>
            <w:tcW w:w="2088" w:type="dxa"/>
            <w:shd w:val="clear" w:color="auto" w:fill="F7F7F7"/>
            <w:tcMar>
              <w:top w:w="70" w:type="dxa"/>
              <w:left w:w="70" w:type="dxa"/>
              <w:bottom w:w="70" w:type="dxa"/>
              <w:right w:w="70" w:type="dxa"/>
            </w:tcMar>
            <w:vAlign w:val="center"/>
          </w:tcPr>
          <w:p w14:paraId="56749014" w14:textId="77777777" w:rsidR="001157BD" w:rsidRDefault="00000000">
            <w:pPr>
              <w:spacing w:after="20" w:line="235" w:lineRule="auto"/>
            </w:pPr>
            <w:r>
              <w:rPr>
                <w:sz w:val="13"/>
              </w:rPr>
              <w:t>MAP input SNR</w:t>
            </w:r>
          </w:p>
        </w:tc>
        <w:tc>
          <w:tcPr>
            <w:tcW w:w="1512" w:type="dxa"/>
            <w:shd w:val="clear" w:color="auto" w:fill="F7F7F7"/>
            <w:tcMar>
              <w:top w:w="70" w:type="dxa"/>
              <w:left w:w="70" w:type="dxa"/>
              <w:bottom w:w="70" w:type="dxa"/>
              <w:right w:w="70" w:type="dxa"/>
            </w:tcMar>
            <w:vAlign w:val="center"/>
          </w:tcPr>
          <w:p w14:paraId="50C832D8" w14:textId="77777777" w:rsidR="001157BD" w:rsidRDefault="00000000">
            <w:pPr>
              <w:spacing w:after="20" w:line="235" w:lineRule="auto"/>
            </w:pPr>
            <w:r>
              <w:rPr>
                <w:sz w:val="13"/>
              </w:rPr>
              <w:t>No noise, 10, 0 dB</w:t>
            </w:r>
          </w:p>
        </w:tc>
        <w:tc>
          <w:tcPr>
            <w:tcW w:w="2952" w:type="dxa"/>
            <w:shd w:val="clear" w:color="auto" w:fill="F7F7F7"/>
            <w:tcMar>
              <w:top w:w="70" w:type="dxa"/>
              <w:left w:w="70" w:type="dxa"/>
              <w:bottom w:w="70" w:type="dxa"/>
              <w:right w:w="70" w:type="dxa"/>
            </w:tcMar>
            <w:vAlign w:val="center"/>
          </w:tcPr>
          <w:p w14:paraId="2B5371AB" w14:textId="77777777" w:rsidR="001157BD" w:rsidRDefault="00000000">
            <w:pPr>
              <w:spacing w:after="20" w:line="235" w:lineRule="auto"/>
            </w:pPr>
            <w:r>
              <w:rPr>
                <w:sz w:val="13"/>
              </w:rPr>
              <w:t>CO₂ clean; 300 s; 10 dB CBFV SNR; coherence 0.50; ratio 1</w:t>
            </w:r>
          </w:p>
        </w:tc>
        <w:tc>
          <w:tcPr>
            <w:tcW w:w="2880" w:type="dxa"/>
            <w:shd w:val="clear" w:color="auto" w:fill="F7F7F7"/>
            <w:tcMar>
              <w:top w:w="70" w:type="dxa"/>
              <w:left w:w="70" w:type="dxa"/>
              <w:bottom w:w="70" w:type="dxa"/>
              <w:right w:w="70" w:type="dxa"/>
            </w:tcMar>
            <w:vAlign w:val="center"/>
          </w:tcPr>
          <w:p w14:paraId="3B3C87DC" w14:textId="77777777" w:rsidR="001157BD" w:rsidRDefault="00000000">
            <w:pPr>
              <w:spacing w:after="20" w:line="235" w:lineRule="auto"/>
            </w:pPr>
            <w:r>
              <w:rPr>
                <w:sz w:val="13"/>
              </w:rPr>
              <w:t>MAP recording-quality levels</w:t>
            </w:r>
          </w:p>
        </w:tc>
      </w:tr>
      <w:tr w:rsidR="001157BD" w14:paraId="0D2B1820" w14:textId="77777777">
        <w:tc>
          <w:tcPr>
            <w:tcW w:w="2088" w:type="dxa"/>
            <w:tcMar>
              <w:top w:w="70" w:type="dxa"/>
              <w:left w:w="70" w:type="dxa"/>
              <w:bottom w:w="70" w:type="dxa"/>
              <w:right w:w="70" w:type="dxa"/>
            </w:tcMar>
            <w:vAlign w:val="center"/>
          </w:tcPr>
          <w:p w14:paraId="32D518B6" w14:textId="77777777" w:rsidR="001157BD" w:rsidRDefault="00000000">
            <w:pPr>
              <w:spacing w:after="20" w:line="235" w:lineRule="auto"/>
            </w:pPr>
            <w:r>
              <w:rPr>
                <w:sz w:val="13"/>
              </w:rPr>
              <w:t>CO₂ input SNR</w:t>
            </w:r>
          </w:p>
        </w:tc>
        <w:tc>
          <w:tcPr>
            <w:tcW w:w="1512" w:type="dxa"/>
            <w:tcMar>
              <w:top w:w="70" w:type="dxa"/>
              <w:left w:w="70" w:type="dxa"/>
              <w:bottom w:w="70" w:type="dxa"/>
              <w:right w:w="70" w:type="dxa"/>
            </w:tcMar>
            <w:vAlign w:val="center"/>
          </w:tcPr>
          <w:p w14:paraId="3421D0D7" w14:textId="77777777" w:rsidR="001157BD" w:rsidRDefault="00000000">
            <w:pPr>
              <w:spacing w:after="20" w:line="235" w:lineRule="auto"/>
            </w:pPr>
            <w:r>
              <w:rPr>
                <w:sz w:val="13"/>
              </w:rPr>
              <w:t>No noise, 10, 0 dB</w:t>
            </w:r>
          </w:p>
        </w:tc>
        <w:tc>
          <w:tcPr>
            <w:tcW w:w="2952" w:type="dxa"/>
            <w:tcMar>
              <w:top w:w="70" w:type="dxa"/>
              <w:left w:w="70" w:type="dxa"/>
              <w:bottom w:w="70" w:type="dxa"/>
              <w:right w:w="70" w:type="dxa"/>
            </w:tcMar>
            <w:vAlign w:val="center"/>
          </w:tcPr>
          <w:p w14:paraId="10558FF7" w14:textId="77777777" w:rsidR="001157BD" w:rsidRDefault="00000000">
            <w:pPr>
              <w:spacing w:after="20" w:line="235" w:lineRule="auto"/>
            </w:pPr>
            <w:r>
              <w:rPr>
                <w:sz w:val="13"/>
              </w:rPr>
              <w:t>MAP clean; same reference settings</w:t>
            </w:r>
          </w:p>
        </w:tc>
        <w:tc>
          <w:tcPr>
            <w:tcW w:w="2880" w:type="dxa"/>
            <w:tcMar>
              <w:top w:w="70" w:type="dxa"/>
              <w:left w:w="70" w:type="dxa"/>
              <w:bottom w:w="70" w:type="dxa"/>
              <w:right w:w="70" w:type="dxa"/>
            </w:tcMar>
            <w:vAlign w:val="center"/>
          </w:tcPr>
          <w:p w14:paraId="3D80B1A0" w14:textId="77777777" w:rsidR="001157BD" w:rsidRDefault="00000000">
            <w:pPr>
              <w:spacing w:after="20" w:line="235" w:lineRule="auto"/>
            </w:pPr>
            <w:r>
              <w:rPr>
                <w:sz w:val="13"/>
              </w:rPr>
              <w:t>CO₂ recording-quality levels</w:t>
            </w:r>
          </w:p>
        </w:tc>
      </w:tr>
      <w:tr w:rsidR="001157BD" w14:paraId="7A3E06B6" w14:textId="77777777">
        <w:tc>
          <w:tcPr>
            <w:tcW w:w="2088" w:type="dxa"/>
            <w:shd w:val="clear" w:color="auto" w:fill="F7F7F7"/>
            <w:tcMar>
              <w:top w:w="70" w:type="dxa"/>
              <w:left w:w="70" w:type="dxa"/>
              <w:bottom w:w="70" w:type="dxa"/>
              <w:right w:w="70" w:type="dxa"/>
            </w:tcMar>
            <w:vAlign w:val="center"/>
          </w:tcPr>
          <w:p w14:paraId="494944AA" w14:textId="77777777" w:rsidR="001157BD" w:rsidRDefault="00000000">
            <w:pPr>
              <w:spacing w:after="20" w:line="235" w:lineRule="auto"/>
            </w:pPr>
            <w:r>
              <w:rPr>
                <w:sz w:val="13"/>
              </w:rPr>
              <w:t>CO₂ alignment error</w:t>
            </w:r>
          </w:p>
        </w:tc>
        <w:tc>
          <w:tcPr>
            <w:tcW w:w="1512" w:type="dxa"/>
            <w:shd w:val="clear" w:color="auto" w:fill="F7F7F7"/>
            <w:tcMar>
              <w:top w:w="70" w:type="dxa"/>
              <w:left w:w="70" w:type="dxa"/>
              <w:bottom w:w="70" w:type="dxa"/>
              <w:right w:w="70" w:type="dxa"/>
            </w:tcMar>
            <w:vAlign w:val="center"/>
          </w:tcPr>
          <w:p w14:paraId="1ADBFAB6" w14:textId="77777777" w:rsidR="001157BD" w:rsidRDefault="00000000">
            <w:pPr>
              <w:spacing w:after="20" w:line="235" w:lineRule="auto"/>
            </w:pPr>
            <w:r>
              <w:rPr>
                <w:sz w:val="13"/>
              </w:rPr>
              <w:t>−3, 0, 3 s</w:t>
            </w:r>
          </w:p>
        </w:tc>
        <w:tc>
          <w:tcPr>
            <w:tcW w:w="2952" w:type="dxa"/>
            <w:shd w:val="clear" w:color="auto" w:fill="F7F7F7"/>
            <w:tcMar>
              <w:top w:w="70" w:type="dxa"/>
              <w:left w:w="70" w:type="dxa"/>
              <w:bottom w:w="70" w:type="dxa"/>
              <w:right w:w="70" w:type="dxa"/>
            </w:tcMar>
            <w:vAlign w:val="center"/>
          </w:tcPr>
          <w:p w14:paraId="042DE080" w14:textId="77777777" w:rsidR="001157BD" w:rsidRDefault="00000000">
            <w:pPr>
              <w:spacing w:after="20" w:line="235" w:lineRule="auto"/>
            </w:pPr>
            <w:r>
              <w:rPr>
                <w:sz w:val="13"/>
              </w:rPr>
              <w:t>Both inputs clean; same reference settings</w:t>
            </w:r>
          </w:p>
        </w:tc>
        <w:tc>
          <w:tcPr>
            <w:tcW w:w="2880" w:type="dxa"/>
            <w:shd w:val="clear" w:color="auto" w:fill="F7F7F7"/>
            <w:tcMar>
              <w:top w:w="70" w:type="dxa"/>
              <w:left w:w="70" w:type="dxa"/>
              <w:bottom w:w="70" w:type="dxa"/>
              <w:right w:w="70" w:type="dxa"/>
            </w:tcMar>
            <w:vAlign w:val="center"/>
          </w:tcPr>
          <w:p w14:paraId="6F0A53CE" w14:textId="77777777" w:rsidR="001157BD" w:rsidRDefault="00000000">
            <w:pPr>
              <w:spacing w:after="20" w:line="235" w:lineRule="auto"/>
            </w:pPr>
            <w:r>
              <w:rPr>
                <w:sz w:val="13"/>
              </w:rPr>
              <w:t>Acquisition and processing robustness check</w:t>
            </w:r>
          </w:p>
        </w:tc>
      </w:tr>
    </w:tbl>
    <w:p w14:paraId="38945E24" w14:textId="77777777" w:rsidR="001157BD" w:rsidRDefault="001157BD">
      <w:pPr>
        <w:sectPr w:rsidR="001157BD">
          <w:type w:val="continuous"/>
          <w:pgSz w:w="12240" w:h="15840"/>
          <w:pgMar w:top="979" w:right="979" w:bottom="979" w:left="979" w:header="461" w:footer="461" w:gutter="0"/>
          <w:cols w:space="360"/>
          <w:docGrid w:linePitch="360"/>
        </w:sectPr>
      </w:pPr>
    </w:p>
    <w:p w14:paraId="2EEC65D1" w14:textId="77777777" w:rsidR="001157BD" w:rsidRDefault="00000000">
      <w:pPr>
        <w:pStyle w:val="Heading2"/>
      </w:pPr>
      <w:r>
        <w:rPr>
          <w:rFonts w:ascii="Times New Roman" w:hAnsi="Times New Roman"/>
        </w:rPr>
        <w:lastRenderedPageBreak/>
        <w:t>SISO and MISO estimation</w:t>
      </w:r>
    </w:p>
    <w:p w14:paraId="3E0ADB7E" w14:textId="77777777" w:rsidR="001157BD" w:rsidRDefault="00000000">
      <w:pPr>
        <w:ind w:firstLine="202"/>
      </w:pPr>
      <w:r>
        <w:t>At each frequency, the spectral quantities for MAP and CO₂ play the same role that variances and covariances play in a time-domain regression. The diagonal terms describe input power, the off-diagonal terms describe shared input variation, and the cross terms describe how each input varies with CBFV. These quantities form a 2-by-2 input spectral matrix and a two-entry input–CBFV cross-spectrum.</w:t>
      </w:r>
    </w:p>
    <w:p w14:paraId="41933F13" w14:textId="77777777" w:rsidR="001157BD" w:rsidRDefault="00000000">
      <w:pPr>
        <w:ind w:firstLine="202"/>
      </w:pPr>
      <w:r>
        <w:t>MISO uses those quantities to estimate both responses at once. It asks how much CBFV is associated with MAP after accounting for CO₂, and how much is associated with CO₂ after accounting for MAP. The matrix equation below is solved separately at each frequency; its two complex coefficients contain both the response size (gain) and the relative timing (phase).</w:t>
      </w:r>
    </w:p>
    <w:tbl>
      <w:tblPr>
        <w:tblW w:w="0" w:type="auto"/>
        <w:tblLayout w:type="fixed"/>
        <w:tblLook w:val="04A0" w:firstRow="1" w:lastRow="0" w:firstColumn="1" w:lastColumn="0" w:noHBand="0" w:noVBand="1"/>
      </w:tblPr>
      <w:tblGrid>
        <w:gridCol w:w="4320"/>
        <w:gridCol w:w="504"/>
      </w:tblGrid>
      <w:tr w:rsidR="001157BD" w14:paraId="50EDD079" w14:textId="77777777">
        <w:tc>
          <w:tcPr>
            <w:tcW w:w="4320" w:type="dxa"/>
          </w:tcPr>
          <w:p w14:paraId="48E78E9F" w14:textId="77777777" w:rsidR="001157BD" w:rsidRDefault="00000000">
            <w:pPr>
              <w:spacing w:after="20"/>
              <w:jc w:val="center"/>
            </w:pPr>
            <m:oMathPara>
              <m:oMath>
                <m:acc>
                  <m:accPr>
                    <m:chr m:val="^"/>
                    <m:ctrlPr>
                      <w:rPr>
                        <w:rFonts w:ascii="Cambria Math" w:hAnsi="Cambria Math"/>
                      </w:rPr>
                    </m:ctrlPr>
                  </m:accPr>
                  <m:e>
                    <m:r>
                      <w:rPr>
                        <w:rFonts w:ascii="Cambria Math" w:hAnsi="Cambria Math"/>
                      </w:rPr>
                      <m:t>H</m:t>
                    </m:r>
                  </m:e>
                </m:acc>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xx</m:t>
                        </m:r>
                      </m:sub>
                    </m:sSub>
                  </m:e>
                  <m:sup>
                    <m:r>
                      <w:rPr>
                        <w:rFonts w:ascii="Cambria Math" w:hAnsi="Cambria Math"/>
                      </w:rPr>
                      <m:t>-1</m:t>
                    </m:r>
                  </m:sup>
                </m:sSup>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xy</m:t>
                    </m:r>
                  </m:sub>
                </m:sSub>
              </m:oMath>
            </m:oMathPara>
          </w:p>
        </w:tc>
        <w:tc>
          <w:tcPr>
            <w:tcW w:w="504" w:type="dxa"/>
          </w:tcPr>
          <w:p w14:paraId="10DB879A" w14:textId="77777777" w:rsidR="001157BD" w:rsidRDefault="00000000">
            <w:pPr>
              <w:spacing w:after="20"/>
              <w:jc w:val="right"/>
            </w:pPr>
            <w:r>
              <w:rPr>
                <w:sz w:val="17"/>
              </w:rPr>
              <w:t>(7)</w:t>
            </w:r>
          </w:p>
        </w:tc>
      </w:tr>
    </w:tbl>
    <w:p w14:paraId="4E638E45" w14:textId="77777777" w:rsidR="001157BD" w:rsidRDefault="00000000">
      <w:pPr>
        <w:ind w:firstLine="202"/>
      </w:pPr>
      <w:r>
        <w:t>For comparison, MAP-only SISO estimates the pairwise MAP–CBFV relationship without conditioning on CO₂. If MAP and CO₂ vary together, the SISO estimate can contain part of the CO₂ response. If they are independent, the population omission term is absent, but finite-record CO₂-driven variation still remains in the MAP-only residual and can make the estimate more variable. In other words, independence removes systematic population mixing, but it does not make the second pathway visible to a model that was never given the second input.</w:t>
      </w:r>
    </w:p>
    <w:tbl>
      <w:tblPr>
        <w:tblW w:w="0" w:type="auto"/>
        <w:tblLayout w:type="fixed"/>
        <w:tblLook w:val="04A0" w:firstRow="1" w:lastRow="0" w:firstColumn="1" w:lastColumn="0" w:noHBand="0" w:noVBand="1"/>
      </w:tblPr>
      <w:tblGrid>
        <w:gridCol w:w="4320"/>
        <w:gridCol w:w="504"/>
      </w:tblGrid>
      <w:tr w:rsidR="001157BD" w14:paraId="5F0C854B" w14:textId="77777777">
        <w:tc>
          <w:tcPr>
            <w:tcW w:w="4320" w:type="dxa"/>
          </w:tcPr>
          <w:p w14:paraId="5C55BE83" w14:textId="77777777" w:rsidR="001157BD" w:rsidRDefault="00000000">
            <w:pPr>
              <w:spacing w:after="2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m</m:t>
                    </m:r>
                  </m:sub>
                </m:sSub>
                <m:r>
                  <w:rPr>
                    <w:rFonts w:ascii="Cambria Math" w:hAnsi="Cambria Math"/>
                  </w:rPr>
                  <m:t xml:space="preserve">,SISO = </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c</m:t>
                    </m:r>
                  </m:sub>
                </m:sSub>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cm</m:t>
                        </m:r>
                      </m:sub>
                    </m:sSub>
                  </m:num>
                  <m:den>
                    <m:sSub>
                      <m:sSubPr>
                        <m:ctrlPr>
                          <w:rPr>
                            <w:rFonts w:ascii="Cambria Math" w:hAnsi="Cambria Math"/>
                          </w:rPr>
                        </m:ctrlPr>
                      </m:sSubPr>
                      <m:e>
                        <m:r>
                          <w:rPr>
                            <w:rFonts w:ascii="Cambria Math" w:hAnsi="Cambria Math"/>
                          </w:rPr>
                          <m:t>S</m:t>
                        </m:r>
                      </m:e>
                      <m:sub>
                        <m:r>
                          <w:rPr>
                            <w:rFonts w:ascii="Cambria Math" w:hAnsi="Cambria Math"/>
                          </w:rPr>
                          <m:t>mm</m:t>
                        </m:r>
                      </m:sub>
                    </m:sSub>
                  </m:den>
                </m:f>
              </m:oMath>
            </m:oMathPara>
          </w:p>
        </w:tc>
        <w:tc>
          <w:tcPr>
            <w:tcW w:w="504" w:type="dxa"/>
          </w:tcPr>
          <w:p w14:paraId="3239660B" w14:textId="77777777" w:rsidR="001157BD" w:rsidRDefault="00000000">
            <w:pPr>
              <w:spacing w:after="20"/>
              <w:jc w:val="right"/>
            </w:pPr>
            <w:r>
              <w:rPr>
                <w:sz w:val="17"/>
              </w:rPr>
              <w:t>(8)</w:t>
            </w:r>
          </w:p>
        </w:tc>
      </w:tr>
    </w:tbl>
    <w:p w14:paraId="7E626B27" w14:textId="77777777" w:rsidR="001157BD" w:rsidRDefault="00000000">
      <w:pPr>
        <w:pStyle w:val="Heading2"/>
      </w:pPr>
      <w:r>
        <w:rPr>
          <w:rFonts w:ascii="Times New Roman" w:hAnsi="Times New Roman"/>
        </w:rPr>
        <w:t>Coherence diagnostics and paired estimator calls</w:t>
      </w:r>
    </w:p>
    <w:p w14:paraId="20B5C05D" w14:textId="77777777" w:rsidR="001157BD" w:rsidRDefault="00000000">
      <w:pPr>
        <w:ind w:firstLine="202"/>
      </w:pPr>
      <w:r>
        <w:t>Ordinary coherence was used for a pairwise check between one input and CBFV. Partial coherence was used to describe the relationship between one input and CBFV after the other input was accounted for. Multiple coherence described the joint relationship between MAP, CO₂, and CBFV. These quantities were reported as diagnostics of the recorded information; none was treated as a substitute for transfer-function recovery accuracy. [1,4]</w:t>
      </w:r>
    </w:p>
    <w:p w14:paraId="77A179BC" w14:textId="77777777" w:rsidR="001157BD" w:rsidRDefault="00000000">
      <w:pPr>
        <w:spacing w:before="40" w:after="40"/>
      </w:pPr>
      <w:r>
        <w:rPr>
          <w:i/>
          <w:sz w:val="18"/>
        </w:rPr>
        <w:t>Code example 3. MATLAB excerpt from analyzeTfaSignals.m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w14:paraId="02550AAF" w14:textId="77777777">
        <w:trPr>
          <w:cantSplit/>
        </w:trPr>
        <w:tc>
          <w:tcPr>
            <w:tcW w:w="4680" w:type="dxa"/>
            <w:shd w:val="clear" w:color="auto" w:fill="F2F2F2"/>
          </w:tcPr>
          <w:p w14:paraId="08C82C38" w14:textId="77777777" w:rsidR="001157BD" w:rsidRDefault="00000000">
            <w:pPr>
              <w:spacing w:after="0" w:line="216" w:lineRule="auto"/>
              <w:ind w:left="58" w:right="58"/>
            </w:pPr>
            <w:r>
              <w:rPr>
                <w:rFonts w:ascii="Consolas" w:hAnsi="Consolas"/>
                <w:color w:val="232323"/>
                <w:sz w:val="15"/>
              </w:rPr>
              <w:t xml:space="preserve">spectra = </w:t>
            </w:r>
            <w:r>
              <w:rPr>
                <w:rFonts w:ascii="Consolas" w:hAnsi="Consolas"/>
                <w:color w:val="00797A"/>
                <w:sz w:val="15"/>
              </w:rPr>
              <w:t>estimateWelchSpectra</w:t>
            </w:r>
            <w:r>
              <w:rPr>
                <w:rFonts w:ascii="Consolas" w:hAnsi="Consolas"/>
                <w:color w:val="232323"/>
                <w:sz w:val="15"/>
              </w:rPr>
              <w:t>( ...</w:t>
            </w:r>
            <w:r>
              <w:br/>
            </w:r>
            <w:r>
              <w:rPr>
                <w:rFonts w:ascii="Consolas" w:hAnsi="Consolas"/>
                <w:color w:val="232323"/>
                <w:sz w:val="15"/>
              </w:rPr>
              <w:t xml:space="preserve">    map, co2, cbv, samplingFrequencyHz, pwelchSettings);</w:t>
            </w:r>
            <w:r>
              <w:br/>
            </w:r>
            <w:r>
              <w:rPr>
                <w:rFonts w:ascii="Consolas" w:hAnsi="Consolas"/>
                <w:color w:val="232323"/>
                <w:sz w:val="15"/>
              </w:rPr>
              <w:t xml:space="preserve">misoResults = </w:t>
            </w:r>
            <w:r>
              <w:rPr>
                <w:rFonts w:ascii="Consolas" w:hAnsi="Consolas"/>
                <w:color w:val="00797A"/>
                <w:sz w:val="15"/>
              </w:rPr>
              <w:t>runMISOTFA</w:t>
            </w:r>
            <w:r>
              <w:rPr>
                <w:rFonts w:ascii="Consolas" w:hAnsi="Consolas"/>
                <w:color w:val="232323"/>
                <w:sz w:val="15"/>
              </w:rPr>
              <w:t>( ...</w:t>
            </w:r>
            <w:r>
              <w:br/>
            </w:r>
            <w:r>
              <w:rPr>
                <w:rFonts w:ascii="Consolas" w:hAnsi="Consolas"/>
                <w:color w:val="232323"/>
                <w:sz w:val="15"/>
              </w:rPr>
              <w:t xml:space="preserve">    spectra, analysisSettings.phase, analysisSettings.misoSolver);</w:t>
            </w:r>
            <w:r>
              <w:br/>
            </w:r>
            <w:r>
              <w:rPr>
                <w:rFonts w:ascii="Consolas" w:hAnsi="Consolas"/>
                <w:color w:val="232323"/>
                <w:sz w:val="15"/>
              </w:rPr>
              <w:t xml:space="preserve">sisoResults = </w:t>
            </w:r>
            <w:r>
              <w:rPr>
                <w:rFonts w:ascii="Consolas" w:hAnsi="Consolas"/>
                <w:color w:val="00797A"/>
                <w:sz w:val="15"/>
              </w:rPr>
              <w:t>runSISOTFA</w:t>
            </w:r>
            <w:r>
              <w:rPr>
                <w:rFonts w:ascii="Consolas" w:hAnsi="Consolas"/>
                <w:color w:val="232323"/>
                <w:sz w:val="15"/>
              </w:rPr>
              <w:t>( ...</w:t>
            </w:r>
            <w:r>
              <w:br/>
            </w:r>
            <w:r>
              <w:rPr>
                <w:rFonts w:ascii="Consolas" w:hAnsi="Consolas"/>
                <w:color w:val="232323"/>
                <w:sz w:val="15"/>
              </w:rPr>
              <w:t xml:space="preserve">    spectra, analysisSettings.phase);</w:t>
            </w:r>
          </w:p>
        </w:tc>
      </w:tr>
    </w:tbl>
    <w:p w14:paraId="138780BE" w14:textId="77777777" w:rsidR="001157BD" w:rsidRDefault="00000000">
      <w:pPr>
        <w:pStyle w:val="Heading2"/>
      </w:pPr>
      <w:r>
        <w:rPr>
          <w:rFonts w:ascii="Times New Roman" w:hAnsi="Times New Roman"/>
        </w:rPr>
        <w:t>Simulation replicates and uncertainty</w:t>
      </w:r>
    </w:p>
    <w:p w14:paraId="5062B019" w14:textId="77777777" w:rsidR="001157BD" w:rsidRDefault="00000000">
      <w:pPr>
        <w:ind w:firstLine="202"/>
      </w:pPr>
      <w:r>
        <w:t>A condition is one fixed combination of the assigned coherence, pathway strength, duration, noise, and timing settings. Each condition was repeated with 500 random signal realizations. The exact fluctuations differed between realizations, but the assigned system properties remained the same. SISO and MISO were always paired within the same observed recording. The 500 realizations are therefore repeated samples from one fixed generating system, not 500 different physiological parameter sets.</w:t>
      </w:r>
    </w:p>
    <w:p w14:paraId="750A8CF7" w14:textId="77777777" w:rsidR="001157BD" w:rsidRDefault="00000000">
      <w:pPr>
        <w:ind w:firstLine="202"/>
      </w:pPr>
      <w:r>
        <w:t>The paired replicate errors were resampled together 2,000 times. The standard deviation of the resampled advantages estimates the Monte Carlo uncertainty caused by using a finite number of replicates. The resulting standard deviation is the Monte Carlo standard-error estimate for the reported cell mean. The prespecified target was a maximum standard error of 0.05 advantage units in every finite primary heatmap cell. [8]</w:t>
      </w:r>
    </w:p>
    <w:p w14:paraId="30CED06D" w14:textId="77777777" w:rsidR="001157BD" w:rsidRDefault="00000000">
      <w:pPr>
        <w:ind w:firstLine="202"/>
      </w:pPr>
      <w:r>
        <w:t>The numerical precision audit and the final number of passing heatmap cells will be reported with the simulation results. The Methods protocol therefore states the resampling rule and its target without using the audit as an additional physiological endpoint. [8]</w:t>
      </w:r>
    </w:p>
    <w:p w14:paraId="091EA045" w14:textId="77777777" w:rsidR="001157BD" w:rsidRDefault="00000000">
      <w:pPr>
        <w:ind w:firstLine="202"/>
      </w:pPr>
      <w:r>
        <w:t>As an implementation check, the expected population SISO mixing error was also calculated directly from the known input spectra and pathways. This verification quantity was not treated as an additional study endpoint.</w:t>
      </w:r>
    </w:p>
    <w:p w14:paraId="76F73328" w14:textId="77777777" w:rsidR="001157BD" w:rsidRDefault="00000000">
      <w:pPr>
        <w:pStyle w:val="Heading2"/>
      </w:pPr>
      <w:r>
        <w:rPr>
          <w:rFonts w:ascii="Times New Roman" w:hAnsi="Times New Roman"/>
        </w:rPr>
        <w:t>Held-out NC validation</w:t>
      </w:r>
    </w:p>
    <w:p w14:paraId="0472794D" w14:textId="77777777" w:rsidR="001157BD" w:rsidRDefault="00000000">
      <w:pPr>
        <w:ind w:firstLine="202"/>
      </w:pPr>
      <w:r>
        <w:t xml:space="preserve">Each NC recording was divided into three non-overlapping 90-second blocks. Transfer functions were estimated from two blocks and used to predict CBFV in the third. Each block served once as the held-out block. Errors were averaged within each subject, and subjects were resampled 2,000 times to obtain pointwise 95% bootstrap intervals. The NC SISO comparator used MAP alone; MISO used </w:t>
      </w:r>
      <w:r>
        <w:lastRenderedPageBreak/>
        <w:t>MAP and CO₂. This analysis measures prediction on unseen blocks and does not identify the true human pathways.</w:t>
      </w:r>
    </w:p>
    <w:p w14:paraId="36A42483" w14:textId="77777777" w:rsidR="001157BD" w:rsidRDefault="00000000">
      <w:pPr>
        <w:pStyle w:val="Heading2"/>
      </w:pPr>
      <w:r>
        <w:rPr>
          <w:rFonts w:ascii="Times New Roman" w:hAnsi="Times New Roman"/>
        </w:rPr>
        <w:t>Reproducibility</w:t>
      </w:r>
    </w:p>
    <w:p w14:paraId="52198F81" w14:textId="77777777" w:rsidR="001157BD" w:rsidRDefault="00000000">
      <w:pPr>
        <w:ind w:firstLine="202"/>
      </w:pPr>
      <w:r>
        <w:t>The simulation saved its random seed, settings, exact factor selections, family seeds, source tables, and run manifest. The same settings and seeds regenerate the same input recordings, response kernels, observations, estimates, and figures. The manuscript assets can be rebuilt from the archived numerical outputs without rerunning the full production simulation. [8]</w:t>
      </w:r>
    </w:p>
    <w:p w14:paraId="39A32081" w14:textId="77777777" w:rsidR="001157BD" w:rsidRDefault="00000000">
      <w:pPr>
        <w:pStyle w:val="Heading1"/>
      </w:pPr>
      <w:r>
        <w:rPr>
          <w:rFonts w:ascii="Times New Roman" w:hAnsi="Times New Roman"/>
        </w:rPr>
        <w:t>References</w:t>
      </w:r>
    </w:p>
    <w:p w14:paraId="4222CA22" w14:textId="77777777" w:rsidR="001157BD" w:rsidRDefault="00000000">
      <w:pPr>
        <w:spacing w:after="30" w:line="233" w:lineRule="auto"/>
        <w:ind w:left="202" w:hanging="202"/>
      </w:pPr>
      <w:r>
        <w:rPr>
          <w:sz w:val="14"/>
        </w:rPr>
        <w:t>[1] Panerai RB, Brassard P, Burma JS, et al. Transfer function analysis of dynamic cerebral autoregulation: a CARNet white paper 2022 update. J Cereb Blood Flow Metab. 2023;43:3–25. doi:10.1177/0271678X221119760. PMID: 35962478.</w:t>
      </w:r>
    </w:p>
    <w:p w14:paraId="4BB148F3" w14:textId="77777777" w:rsidR="001157BD" w:rsidRDefault="00000000">
      <w:pPr>
        <w:spacing w:after="30" w:line="233" w:lineRule="auto"/>
        <w:ind w:left="202" w:hanging="202"/>
      </w:pPr>
      <w:r>
        <w:rPr>
          <w:sz w:val="14"/>
        </w:rPr>
        <w:t>[2] Hoiland RL, Fisher JA, Ainslie PN. Regulation of the cerebral circulation by arterial carbon dioxide. Compr Physiol. 2019;9:1101–1154. doi:10.1002/cphy.c180021. PMID: 31187899.</w:t>
      </w:r>
    </w:p>
    <w:p w14:paraId="6B4880DF" w14:textId="77777777" w:rsidR="001157BD" w:rsidRDefault="00000000">
      <w:pPr>
        <w:spacing w:after="30" w:line="233" w:lineRule="auto"/>
        <w:ind w:left="202" w:hanging="202"/>
      </w:pPr>
      <w:r>
        <w:rPr>
          <w:sz w:val="14"/>
        </w:rPr>
        <w:t>[3] Panerai RB, Simpson DM, Deverson ST, Mahony P, Hayes P, Evans DH. Multivariate dynamic analysis of cerebral blood flow regulation in humans. IEEE Trans Biomed Eng. 2000;47:419–423. doi:10.1109/10.827312. PMID: 10743786.</w:t>
      </w:r>
    </w:p>
    <w:p w14:paraId="5784C8BF" w14:textId="77777777" w:rsidR="001157BD" w:rsidRDefault="00000000">
      <w:pPr>
        <w:spacing w:after="30" w:line="233" w:lineRule="auto"/>
        <w:ind w:left="202" w:hanging="202"/>
      </w:pPr>
      <w:r>
        <w:rPr>
          <w:sz w:val="14"/>
        </w:rPr>
        <w:t>[4] Peng T, Rowley AB, Ainslie PN, Poulin MJ, Payne SJ. Multivariate system identification for cerebral autoregulation. Ann Biomed Eng. 2008;36:308–320. doi:10.1007/s10439-007-9412-9. PMID: 18066666.</w:t>
      </w:r>
    </w:p>
    <w:p w14:paraId="1C162A38" w14:textId="77777777" w:rsidR="001157BD" w:rsidRDefault="00000000">
      <w:pPr>
        <w:spacing w:after="30" w:line="233" w:lineRule="auto"/>
        <w:ind w:left="202" w:hanging="202"/>
      </w:pPr>
      <w:r>
        <w:rPr>
          <w:sz w:val="14"/>
        </w:rPr>
        <w:t>[5] Chertoff ME, Billinger SA, Perdomo SJ, et al. A novel nonlinear system identification for cerebral autoregulation in human: computer simulation and validation. Ann Biomed Eng. 2020;48:1207–1217. doi:10.1007/s10439-019-02442-7. PMID: 31873829.</w:t>
      </w:r>
    </w:p>
    <w:p w14:paraId="195E703A" w14:textId="77777777" w:rsidR="001157BD" w:rsidRDefault="00000000">
      <w:pPr>
        <w:spacing w:after="30" w:line="233" w:lineRule="auto"/>
        <w:ind w:left="202" w:hanging="202"/>
      </w:pPr>
      <w:r>
        <w:rPr>
          <w:sz w:val="14"/>
        </w:rPr>
        <w:t>[6] Westwick DT, Pohlmeyer EA, Solla SA, et al. Identification of multiple-input systems with highly coupled inputs. Neural Comput. 2006;18:329–355. doi:10.1162/089976606775093855.</w:t>
      </w:r>
    </w:p>
    <w:p w14:paraId="5704184B" w14:textId="77777777" w:rsidR="001157BD" w:rsidRDefault="00000000">
      <w:pPr>
        <w:spacing w:after="30" w:line="233" w:lineRule="auto"/>
        <w:ind w:left="202" w:hanging="202"/>
      </w:pPr>
      <w:r>
        <w:rPr>
          <w:sz w:val="14"/>
        </w:rPr>
        <w:t>[7] Welch PD. The use of fast Fourier transform for the estimation of power spectra. IEEE Trans Audio Electroacoust. 1967;15:70–73. doi:10.1109/TAU.1967.1161901.</w:t>
      </w:r>
    </w:p>
    <w:p w14:paraId="5324CA10" w14:textId="77777777" w:rsidR="001157BD" w:rsidRDefault="00000000">
      <w:pPr>
        <w:spacing w:after="30" w:line="233" w:lineRule="auto"/>
        <w:ind w:left="202" w:hanging="202"/>
      </w:pPr>
      <w:r>
        <w:rPr>
          <w:sz w:val="14"/>
        </w:rPr>
        <w:t>[8] Morris TP, White IR, Crowther MJ. Using simulation studies to evaluate statistical methods. Stat Med. 2019;38:2074–2102. doi:10.1002/sim.8086. PMID: 30652356.</w:t>
      </w:r>
    </w:p>
    <w:p w14:paraId="4568B954" w14:textId="77777777" w:rsidR="001157BD" w:rsidRDefault="00000000">
      <w:pPr>
        <w:spacing w:after="30" w:line="233" w:lineRule="auto"/>
        <w:ind w:left="202" w:hanging="202"/>
      </w:pPr>
      <w:r>
        <w:rPr>
          <w:sz w:val="14"/>
        </w:rPr>
        <w:t>[9] Diehl RR, Linden D, Lücke D, Berlit P. Phase relationship between cerebral blood flow velocity and blood pressure: a clinical test of autoregulation. Stroke. 1995;26:1801–1804. doi:10.1161/01.STR.26.10.1801.</w:t>
      </w:r>
    </w:p>
    <w:p w14:paraId="5D9AAC79" w14:textId="77777777" w:rsidR="001157BD" w:rsidRDefault="00000000">
      <w:pPr>
        <w:spacing w:after="30" w:line="233" w:lineRule="auto"/>
        <w:ind w:left="202" w:hanging="202"/>
      </w:pPr>
      <w:r>
        <w:rPr>
          <w:sz w:val="14"/>
        </w:rPr>
        <w:t>[10] Latka M, Turalska M, Glaubic-Latka M, et al. Phase dynamics in cerebral autoregulation. Am J Physiol Heart Circ Physiol. 2005;289:H2272–H2279. doi:10.1152/ajpheart.01307.2004.</w:t>
      </w:r>
    </w:p>
    <w:p w14:paraId="11D77973" w14:textId="77777777" w:rsidR="001157BD" w:rsidRDefault="00000000">
      <w:pPr>
        <w:spacing w:after="30" w:line="233" w:lineRule="auto"/>
        <w:ind w:left="202" w:hanging="202"/>
      </w:pPr>
      <w:r>
        <w:rPr>
          <w:sz w:val="14"/>
        </w:rPr>
        <w:t>[11] Torrence C, Compo GP. A practical guide to wavelet analysis. Bull Am Meteorol Soc. 1998;79:61–78. doi:10.1175/1520-0477(1998)079&lt;0061:APGWA&gt;2.0.CO;2.</w:t>
      </w:r>
    </w:p>
    <w:p w14:paraId="125ADBF0" w14:textId="77777777" w:rsidR="001157BD" w:rsidRDefault="00000000">
      <w:pPr>
        <w:spacing w:after="30" w:line="233" w:lineRule="auto"/>
        <w:ind w:left="202" w:hanging="202"/>
      </w:pPr>
      <w:r>
        <w:rPr>
          <w:sz w:val="14"/>
        </w:rPr>
        <w:t>[12] Perreault EJ, Kirsch RF, Acosta AM. Multiple-input, multiple-output system identification for characterization of limb stiffness dynamics. Biol Cybern. 1999;80:327–337.</w:t>
      </w:r>
    </w:p>
    <w:p w14:paraId="42B451A4" w14:textId="77777777" w:rsidR="001157BD" w:rsidRDefault="00000000">
      <w:pPr>
        <w:spacing w:after="30" w:line="233" w:lineRule="auto"/>
        <w:ind w:left="202" w:hanging="202"/>
      </w:pPr>
      <w:r>
        <w:rPr>
          <w:sz w:val="14"/>
        </w:rPr>
        <w:t>[13] Marmarelis VZ, Shin DC, Orme ME, Zhang R. Model-based physiomarkers of cerebral hemodynamics in patients with mild cognitive impairment. Med Eng Phys. 2014;36:628–637. doi:10.1016/j.medengphy.2014.02.025.</w:t>
      </w:r>
    </w:p>
    <w:sectPr w:rsidR="001157BD" w:rsidSect="00E63451">
      <w:type w:val="continuous"/>
      <w:pgSz w:w="12240" w:h="15840"/>
      <w:pgMar w:top="979" w:right="979" w:bottom="979" w:left="979" w:header="461" w:footer="461" w:gutter="0"/>
      <w:cols w:num="2" w:space="36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祥太郎 齋藤" w:date="2026-08-20T18:09:00Z" w:initials="祥齋">
    <w:p w14:paraId="685C55B4" w14:textId="77777777" w:rsidR="00EB56E8" w:rsidRDefault="00EB56E8" w:rsidP="00EB56E8">
      <w:r>
        <w:annotationRef/>
      </w:r>
      <w:r>
        <w:t xml:space="preserve">The title should include “blood pressure” and “CO₂” to more clearly convey what was investigated in this study. </w:t>
      </w:r>
    </w:p>
  </w:comment>
  <w:comment w:id="1" w:author="Naganand, Amogh" w:date="2026-09-16T19:52:00Z" w:initials="NA">
    <w:p w14:paraId="78364BD3" w14:textId="77777777" w:rsidR="00000000" w:rsidRDefault="00000000" w:rsidP="00F07897">
      <w:r>
        <w:annotationRef/>
      </w:r>
      <w:r>
        <w:t>I revised the title to identify blood pressure and CO explicitly. The title now also keeps the focus on the physiological blood-flow question and the two measured inputs.</w:t>
      </w:r>
    </w:p>
  </w:comment>
  <w:comment w:id="2" w:author="祥太郎 齋藤" w:date="2026-08-20T18:07:00Z" w:initials="祥齋">
    <w:p w14:paraId="57DCD826" w14:textId="77777777" w:rsidR="00EB56E8" w:rsidRDefault="00EB56E8" w:rsidP="00EB56E8">
      <w:r>
        <w:annotationRef/>
      </w:r>
      <w:r>
        <w:t xml:space="preserve">The conclusion will need to be revised once the results are finalized. </w:t>
      </w:r>
    </w:p>
  </w:comment>
  <w:comment w:id="3" w:author="Naganand, Amogh" w:date="2026-09-16T19:52:00Z" w:initials="NA">
    <w:p w14:paraId="32F6B253" w14:textId="77777777" w:rsidR="00000000" w:rsidRDefault="00000000" w:rsidP="00F07897">
      <w:r>
        <w:annotationRef/>
      </w:r>
      <w:r>
        <w:t>I preserved Sho’s conclusion comment and deferred the abstract and conclusion here. They will be revised together after the final results and interpretation are settled.</w:t>
      </w:r>
    </w:p>
  </w:comment>
  <w:comment w:id="4" w:author="祥太郎 齋藤" w:date="2026-08-20T19:22:00Z" w:initials="祥齋">
    <w:p w14:paraId="2CFB4ECF" w14:textId="77777777" w:rsidR="008D058B" w:rsidRDefault="008D058B" w:rsidP="008D058B">
      <w:r>
        <w:annotationRef/>
      </w:r>
      <w:r>
        <w:t xml:space="preserve">Please read some relevant papers to verify the accuracy of the content and add the PMIDs of appropriate references. I think this will also be a good opportunity to learn more about the physiological aspects. </w:t>
      </w:r>
    </w:p>
  </w:comment>
  <w:comment w:id="5" w:author="Naganand, Amogh" w:date="2026-09-16T19:53:00Z" w:initials="NA">
    <w:p w14:paraId="70EA8D2B" w14:textId="77777777" w:rsidR="00000000" w:rsidRDefault="00000000" w:rsidP="00F07897">
      <w:r>
        <w:annotationRef/>
      </w:r>
      <w:r>
        <w:t>I reviewed the physiological literature and added the relevant PMIDs to the reference list. I also qualified claims that depend on the simulation assumptions and moved detailed signal-generation procedures into Methods so the Introduction stays focused on the physiological question.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85C55B4" w15:done="0"/>
  <w15:commentEx w15:paraId="78364BD3" w15:paraIdParent="685C55B4" w15:done="0"/>
  <w15:commentEx w15:paraId="57DCD826" w15:done="0"/>
  <w15:commentEx w15:paraId="32F6B253" w15:paraIdParent="57DCD826" w15:done="0"/>
  <w15:commentEx w15:paraId="2CFB4ECF" w15:done="0"/>
  <w15:commentEx w15:paraId="70EA8D2B" w15:paraIdParent="2CFB4E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068EA60" w16cex:dateUtc="2026-08-20T23:09:00Z"/>
  <w16cex:commentExtensible w16cex:durableId="3C95B0AE" w16cex:dateUtc="2026-09-17T00:52:00Z"/>
  <w16cex:commentExtensible w16cex:durableId="31908FFE" w16cex:dateUtc="2026-08-20T23:07:00Z"/>
  <w16cex:commentExtensible w16cex:durableId="25FFBFB2" w16cex:dateUtc="2026-09-17T00:52:00Z"/>
  <w16cex:commentExtensible w16cex:durableId="12D98DCB" w16cex:dateUtc="2026-08-21T00:22:00Z"/>
  <w16cex:commentExtensible w16cex:durableId="1D9D140D" w16cex:dateUtc="2026-09-17T0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85C55B4" w16cid:durableId="5068EA60"/>
  <w16cid:commentId w16cid:paraId="78364BD3" w16cid:durableId="3C95B0AE"/>
  <w16cid:commentId w16cid:paraId="57DCD826" w16cid:durableId="31908FFE"/>
  <w16cid:commentId w16cid:paraId="32F6B253" w16cid:durableId="25FFBFB2"/>
  <w16cid:commentId w16cid:paraId="2CFB4ECF" w16cid:durableId="12D98DCB"/>
  <w16cid:commentId w16cid:paraId="70EA8D2B" w16cid:durableId="1D9D140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祥太郎 齋藤">
    <w15:presenceInfo w15:providerId="Windows Live" w15:userId="a350854118550dd6"/>
  </w15:person>
  <w15:person w15:author="Naganand, Amogh">
    <w15:presenceInfo w15:providerId="AD" w15:userId="S::an34859@eid.utexas.edu::6407969b-b4ee-44f5-bb6e-000a5c3202e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51"/>
    <w:rsid w:val="000C6AAB"/>
    <w:rsid w:val="001157BD"/>
    <w:rsid w:val="00156FE3"/>
    <w:rsid w:val="002140E1"/>
    <w:rsid w:val="002C25E3"/>
    <w:rsid w:val="0051581B"/>
    <w:rsid w:val="00545C49"/>
    <w:rsid w:val="00584F5C"/>
    <w:rsid w:val="00781E0C"/>
    <w:rsid w:val="00795D75"/>
    <w:rsid w:val="00840B7A"/>
    <w:rsid w:val="008D058B"/>
    <w:rsid w:val="00B80B46"/>
    <w:rsid w:val="00DC5355"/>
    <w:rsid w:val="00E63451"/>
    <w:rsid w:val="00EA7889"/>
    <w:rsid w:val="00EB56E8"/>
    <w:rsid w:val="00F813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669DD8"/>
  <w15:chartTrackingRefBased/>
  <w15:docId w15:val="{6132CE6C-E3D3-3A4C-A89B-FD85D208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451"/>
    <w:pPr>
      <w:spacing w:after="100" w:line="250" w:lineRule="auto"/>
    </w:pPr>
    <w:rPr>
      <w:rFonts w:ascii="Times New Roman" w:hAnsi="Times New Roman"/>
    </w:rPr>
  </w:style>
  <w:style w:type="paragraph" w:styleId="Heading1">
    <w:name w:val="heading 1"/>
    <w:basedOn w:val="Normal"/>
    <w:next w:val="Normal"/>
    <w:link w:val="Heading1Char"/>
    <w:uiPriority w:val="9"/>
    <w:qFormat/>
    <w:rsid w:val="00E63451"/>
    <w:pPr>
      <w:keepNext/>
      <w:keepLines/>
      <w:spacing w:before="160" w:after="80"/>
      <w:outlineLvl w:val="0"/>
    </w:pPr>
    <w:rPr>
      <w:rFonts w:asciiTheme="majorHAnsi" w:eastAsiaTheme="majorEastAsia" w:hAnsiTheme="majorHAnsi" w:cstheme="majorBidi"/>
      <w:b/>
      <w:color w:val="000000"/>
      <w:sz w:val="28"/>
      <w:szCs w:val="40"/>
    </w:rPr>
  </w:style>
  <w:style w:type="paragraph" w:styleId="Heading2">
    <w:name w:val="heading 2"/>
    <w:basedOn w:val="Normal"/>
    <w:next w:val="Normal"/>
    <w:link w:val="Heading2Char"/>
    <w:uiPriority w:val="9"/>
    <w:semiHidden/>
    <w:unhideWhenUsed/>
    <w:qFormat/>
    <w:rsid w:val="00E63451"/>
    <w:pPr>
      <w:keepNext/>
      <w:keepLines/>
      <w:spacing w:before="120" w:after="60"/>
      <w:outlineLvl w:val="1"/>
    </w:pPr>
    <w:rPr>
      <w:rFonts w:asciiTheme="majorHAnsi" w:eastAsiaTheme="majorEastAsia" w:hAnsiTheme="majorHAnsi" w:cstheme="majorBidi"/>
      <w:b/>
      <w:i/>
      <w:color w:val="000000"/>
      <w:sz w:val="23"/>
      <w:szCs w:val="32"/>
    </w:rPr>
  </w:style>
  <w:style w:type="paragraph" w:styleId="Heading3">
    <w:name w:val="heading 3"/>
    <w:basedOn w:val="Normal"/>
    <w:next w:val="Normal"/>
    <w:link w:val="Heading3Char"/>
    <w:uiPriority w:val="9"/>
    <w:semiHidden/>
    <w:unhideWhenUsed/>
    <w:qFormat/>
    <w:rsid w:val="00E63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451"/>
    <w:rPr>
      <w:rFonts w:eastAsiaTheme="majorEastAsia" w:cstheme="majorBidi"/>
      <w:color w:val="272727" w:themeColor="text1" w:themeTint="D8"/>
    </w:rPr>
  </w:style>
  <w:style w:type="paragraph" w:styleId="Title">
    <w:name w:val="Title"/>
    <w:basedOn w:val="Normal"/>
    <w:next w:val="Normal"/>
    <w:link w:val="TitleChar"/>
    <w:uiPriority w:val="10"/>
    <w:qFormat/>
    <w:rsid w:val="00E63451"/>
    <w:pPr>
      <w:spacing w:after="200" w:line="240" w:lineRule="auto"/>
      <w:contextualSpacing/>
    </w:pPr>
    <w:rPr>
      <w:rFonts w:asciiTheme="majorHAnsi" w:eastAsiaTheme="majorEastAsia" w:hAnsiTheme="majorHAnsi" w:cstheme="majorBidi"/>
      <w:b/>
      <w:color w:val="000000"/>
      <w:spacing w:val="-10"/>
      <w:kern w:val="28"/>
      <w:sz w:val="34"/>
      <w:szCs w:val="56"/>
    </w:rPr>
  </w:style>
  <w:style w:type="character" w:customStyle="1" w:styleId="TitleChar">
    <w:name w:val="Title Char"/>
    <w:basedOn w:val="DefaultParagraphFont"/>
    <w:link w:val="Title"/>
    <w:uiPriority w:val="10"/>
    <w:rsid w:val="00E63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451"/>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E63451"/>
    <w:rPr>
      <w:i/>
      <w:iCs/>
      <w:color w:val="404040" w:themeColor="text1" w:themeTint="BF"/>
    </w:rPr>
  </w:style>
  <w:style w:type="paragraph" w:styleId="ListParagraph">
    <w:name w:val="List Paragraph"/>
    <w:basedOn w:val="Normal"/>
    <w:uiPriority w:val="34"/>
    <w:qFormat/>
    <w:rsid w:val="00E63451"/>
    <w:pPr>
      <w:ind w:left="720"/>
      <w:contextualSpacing/>
    </w:pPr>
    <w:rPr>
      <w:rFonts w:eastAsiaTheme="minorHAnsi"/>
    </w:rPr>
  </w:style>
  <w:style w:type="character" w:styleId="IntenseEmphasis">
    <w:name w:val="Intense Emphasis"/>
    <w:basedOn w:val="DefaultParagraphFont"/>
    <w:uiPriority w:val="21"/>
    <w:qFormat/>
    <w:rsid w:val="00E63451"/>
    <w:rPr>
      <w:i/>
      <w:iCs/>
      <w:color w:val="2F5496" w:themeColor="accent1" w:themeShade="BF"/>
    </w:rPr>
  </w:style>
  <w:style w:type="paragraph" w:styleId="IntenseQuote">
    <w:name w:val="Intense Quote"/>
    <w:basedOn w:val="Normal"/>
    <w:next w:val="Normal"/>
    <w:link w:val="IntenseQuoteChar"/>
    <w:uiPriority w:val="30"/>
    <w:qFormat/>
    <w:rsid w:val="00E63451"/>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rPr>
  </w:style>
  <w:style w:type="character" w:customStyle="1" w:styleId="IntenseQuoteChar">
    <w:name w:val="Intense Quote Char"/>
    <w:basedOn w:val="DefaultParagraphFont"/>
    <w:link w:val="IntenseQuote"/>
    <w:uiPriority w:val="30"/>
    <w:rsid w:val="00E63451"/>
    <w:rPr>
      <w:i/>
      <w:iCs/>
      <w:color w:val="2F5496" w:themeColor="accent1" w:themeShade="BF"/>
    </w:rPr>
  </w:style>
  <w:style w:type="character" w:styleId="IntenseReference">
    <w:name w:val="Intense Reference"/>
    <w:basedOn w:val="DefaultParagraphFont"/>
    <w:uiPriority w:val="32"/>
    <w:qFormat/>
    <w:rsid w:val="00E63451"/>
    <w:rPr>
      <w:b/>
      <w:bCs/>
      <w:smallCaps/>
      <w:color w:val="2F5496" w:themeColor="accent1" w:themeShade="BF"/>
      <w:spacing w:val="5"/>
    </w:rPr>
  </w:style>
  <w:style w:type="character" w:styleId="CommentReference">
    <w:name w:val="annotation reference"/>
    <w:basedOn w:val="DefaultParagraphFont"/>
    <w:uiPriority w:val="99"/>
    <w:semiHidden/>
    <w:unhideWhenUsed/>
    <w:rsid w:val="00EB56E8"/>
    <w:rPr>
      <w:sz w:val="18"/>
      <w:szCs w:val="18"/>
    </w:rPr>
  </w:style>
  <w:style w:type="paragraph" w:styleId="CommentText">
    <w:name w:val="annotation text"/>
    <w:basedOn w:val="Normal"/>
    <w:link w:val="CommentTextChar"/>
    <w:uiPriority w:val="99"/>
    <w:unhideWhenUsed/>
    <w:rsid w:val="00EB56E8"/>
  </w:style>
  <w:style w:type="character" w:customStyle="1" w:styleId="CommentTextChar">
    <w:name w:val="Comment Text Char"/>
    <w:basedOn w:val="DefaultParagraphFont"/>
    <w:link w:val="CommentText"/>
    <w:uiPriority w:val="99"/>
    <w:rsid w:val="00EB56E8"/>
  </w:style>
  <w:style w:type="paragraph" w:styleId="CommentSubject">
    <w:name w:val="annotation subject"/>
    <w:basedOn w:val="CommentText"/>
    <w:next w:val="CommentText"/>
    <w:link w:val="CommentSubjectChar"/>
    <w:uiPriority w:val="99"/>
    <w:semiHidden/>
    <w:unhideWhenUsed/>
    <w:rsid w:val="00EB56E8"/>
    <w:rPr>
      <w:b/>
      <w:bCs/>
    </w:rPr>
  </w:style>
  <w:style w:type="character" w:customStyle="1" w:styleId="CommentSubjectChar">
    <w:name w:val="Comment Subject Char"/>
    <w:basedOn w:val="CommentTextChar"/>
    <w:link w:val="CommentSubject"/>
    <w:uiPriority w:val="99"/>
    <w:semiHidden/>
    <w:rsid w:val="00EB56E8"/>
    <w:rPr>
      <w:b/>
      <w:bCs/>
    </w:rPr>
  </w:style>
  <w:style w:type="paragraph" w:styleId="Revision">
    <w:name w:val="Revision"/>
    <w:hidden/>
    <w:uiPriority w:val="99"/>
    <w:semiHidden/>
    <w:rsid w:val="00EB56E8"/>
    <w:pPr>
      <w:spacing w:after="0" w:line="240" w:lineRule="auto"/>
    </w:pPr>
  </w:style>
  <w:style w:type="character" w:styleId="Hyperlink">
    <w:name w:val="Hyperlink"/>
    <w:basedOn w:val="DefaultParagraphFont"/>
    <w:uiPriority w:val="99"/>
    <w:unhideWhenUsed/>
    <w:rsid w:val="00B80B46"/>
    <w:rPr>
      <w:color w:val="0563C1" w:themeColor="hyperlink"/>
      <w:u w:val="single"/>
    </w:rPr>
  </w:style>
  <w:style w:type="character" w:styleId="UnresolvedMention">
    <w:name w:val="Unresolved Mention"/>
    <w:basedOn w:val="DefaultParagraphFont"/>
    <w:uiPriority w:val="99"/>
    <w:semiHidden/>
    <w:unhideWhenUsed/>
    <w:rsid w:val="00B80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FE409-B345-4FEC-BB82-C569D3BCF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3955</Words>
  <Characters>22548</Characters>
  <Application>Microsoft Office Word</Application>
  <DocSecurity>0</DocSecurity>
  <Lines>187</Lines>
  <Paragraphs>52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 Amogh</dc:creator>
  <cp:keywords/>
  <dc:description/>
  <cp:lastModifiedBy>Naganand, Amogh</cp:lastModifiedBy>
  <cp:revision>1</cp:revision>
  <dcterms:created xsi:type="dcterms:W3CDTF">2026-08-21T01:09:00Z</dcterms:created>
  <dcterms:modified xsi:type="dcterms:W3CDTF">2026-09-17T03:12:00Z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4dcb2af4-8d14-43fe-850a-505b7e2dfd92</vt:lpwstr>
  </property>
</Properties>
</file>