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15A59F" w14:textId="77777777" w:rsidR="006002D5" w:rsidRPr="00C737FF" w:rsidRDefault="006002D5" w:rsidP="006002D5">
      <w:pPr>
        <w:rPr>
          <w:b/>
          <w:bCs/>
          <w:sz w:val="40"/>
          <w:szCs w:val="40"/>
        </w:rPr>
      </w:pPr>
      <w:r>
        <w:rPr>
          <w:b/>
          <w:bCs/>
          <w:sz w:val="40"/>
          <w:szCs w:val="40"/>
        </w:rPr>
        <w:t>Development and Known-Truth Validation of a Two-Input Transfer Function Analysis Pipeline for Cerebral Hemodynamics</w:t>
      </w:r>
    </w:p>
    <w:p w14:paraId="4A7F8A38" w14:textId="77777777" w:rsidR="006002D5" w:rsidRPr="00C737FF" w:rsidRDefault="006002D5" w:rsidP="006002D5">
      <w:pPr>
        <w:rPr>
          <w:sz w:val="32"/>
          <w:szCs w:val="32"/>
        </w:rPr>
      </w:pPr>
      <w:r w:rsidRPr="00C737FF">
        <w:rPr>
          <w:sz w:val="32"/>
          <w:szCs w:val="32"/>
        </w:rPr>
        <w:t>Abstract</w:t>
      </w:r>
    </w:p>
    <w:p w14:paraId="19E66ECC" w14:textId="5C02DF90" w:rsidR="006002D5" w:rsidRDefault="00C737FF" w:rsidP="00C737FF">
      <w:r>
        <w:t>Transfer Function Analysis (TFA) of dynamic cerebral autoregulation (dCA) generally treats mean arterial pressure (MAP) as a single input affecting the output of cerebral blood flow velocity (CBFV). This single-input-single-output (SISO) model provides the complex relationship, including gain and phase, between MAP and CBFV. However, end-tidal carbon dioxide (PETCO₂) can also influence CBFV. A multiple-input-single-output (MISO) model can jointly estimate the MAP-to-CBFV and PETCO₂-to-CBFV transfer functions while including the cross-spectral relationship between the two inputs. Previous studies have shown higher multiple coherence and lower CBFV prediction error with multiple-input models, but these measures do not show whether the separate pathways are more accurate or instead reflect the greater flexibility of a model with an additional input. In this study, we develop and validate a transparent MISO TFA pipeline that provides a consistent procedure for preprocessing, spectral estimation, the joint MISO solution, gain and phase calculation, model diagnostics, statistical comparison, and reporting. Short recordings, weak PETCO₂ fluctuations, correlated inputs, measurement noise, timing errors, and poorly conditioned spectral matrices may offset the conceptual benefit of separating the two pathways. The pipeline is, therefore, evaluated using a known-truth simulation framework. Each simulated family represents a fixed physiological system, while recording duration, noise, timing alignment, and estimator settings are varied without changing the underlying truth. Accuracy will be evaluated using frequency-resolved gain error, wrapped phase error, normalized complex pathway error, and model advantage. Transfer functions estimated from one simulated recording will also be tested on a second independently generated recording from the same underlying system. This allows CBFV prediction on new data to be compared with the accuracy of the recovered MAP and PETCO₂ pathways. Properties of resting baseline recordings from cognitively normal (NC) adults, including recording duration, the relationship between MAP and PETCO₂, PETCO₂ fluctuation size, and the numerical stability of the MISO solution, will then be compared with the simulation results. This will show whether the recordings resemble simulated conditions in which MISO recovered the known pathways reliably. The purpose of this paper is to develop a reproducible MISO TFA pipeline, explain the reasoning behind its main choices, and establish when MISO is justified, when SISO remains sufficient, and when neither separated pathway should be interpreted without additional data.</w:t>
      </w:r>
    </w:p>
    <w:p w14:paraId="38354387" w14:textId="77777777" w:rsidR="00064AA4" w:rsidRDefault="00000000">
      <w:pPr>
        <w:keepNext/>
        <w:rPr>
          <w:sz w:val="32"/>
          <w:szCs w:val="32"/>
        </w:rPr>
      </w:pPr>
      <w:r>
        <w:rPr>
          <w:sz w:val="32"/>
          <w:szCs w:val="32"/>
        </w:rPr>
        <w:lastRenderedPageBreak/>
        <w:t>Introduction</w:t>
      </w:r>
    </w:p>
    <w:p w14:paraId="6E6C6D74" w14:textId="77777777" w:rsidR="00064AA4" w:rsidRDefault="00000000">
      <w:r>
        <w:t>The brain requires continuous blood flow even as arterial pressure changes from beat to beat. Cerebral autoregulation describes the physiological processes that limit how strongly these pressure changes alter cerebral perfusion (</w:t>
      </w:r>
      <w:hyperlink r:id="rId4">
        <w:r w:rsidR="00064AA4">
          <w:rPr>
            <w:color w:val="0563C1"/>
            <w:u w:val="single"/>
          </w:rPr>
          <w:t>Regulation of Cerebral Blood Flow in Humans</w:t>
        </w:r>
      </w:hyperlink>
      <w:r>
        <w:t>). Dynamic cerebral autoregulation focuses on responses that occur over seconds to minutes. TFA is commonly used to study these responses by treating MAP as the input and CBFV as the output (</w:t>
      </w:r>
      <w:hyperlink r:id="rId5">
        <w:r w:rsidR="00064AA4">
          <w:rPr>
            <w:color w:val="0563C1"/>
            <w:u w:val="single"/>
          </w:rPr>
          <w:t>Transfer Function Analysis of Dynamic Cerebral Autoregulation</w:t>
        </w:r>
      </w:hyperlink>
      <w:r>
        <w:t>). The resulting transfer function is complex-valued. Gain describes how strongly changes in MAP appear in CBFV, while phase describes their timing relationship at each frequency. Coherence is also used to describe how consistently the two signals are linearly related.</w:t>
      </w:r>
    </w:p>
    <w:p w14:paraId="50AFEC0F" w14:textId="77777777" w:rsidR="00064AA4" w:rsidRDefault="00000000">
      <w:r>
        <w:t>A MAP-only model is useful, but MAP is not the only input that can influence CBFV. Carbon dioxide is a potent vasodilator with a strong effect on cerebrovascular tone, and PETCO₂ provides a practical breath-to-breath surrogate for changes in arterial carbon dioxide during resting recordings (</w:t>
      </w:r>
      <w:hyperlink r:id="rId6">
        <w:r w:rsidR="00064AA4">
          <w:rPr>
            <w:color w:val="0563C1"/>
            <w:u w:val="single"/>
          </w:rPr>
          <w:t>Regulation of the Cerebral Circulation by Arterial Carbon Dioxide</w:t>
        </w:r>
      </w:hyperlink>
      <w:r>
        <w:t>). When MAP and PETCO₂ share frequency content, a MAP-only SISO estimate can include part of the PETCO₂-related response. The same issue applies to a PETCO₂-only SISO estimate. Therefore, two separate SISO models describe pairwise relationships, but they do not separate the contribution of one measured input from the other.</w:t>
      </w:r>
    </w:p>
    <w:p w14:paraId="07FFCB1A" w14:textId="77777777" w:rsidR="00064AA4" w:rsidRDefault="00000000">
      <w:r>
        <w:t>Previous studies have already demonstrated the potential value of modeling MAP and PETCO₂ together. Panerai et al. used multivariate finite impulse response filters to estimate the contributions of beat-to-beat MAP and breath-to-breath PETCO₂ fluctuations to resting CBFV variability (</w:t>
      </w:r>
      <w:hyperlink r:id="rId7">
        <w:r w:rsidR="00064AA4">
          <w:rPr>
            <w:color w:val="0563C1"/>
            <w:u w:val="single"/>
          </w:rPr>
          <w:t>Multivariate Dynamic Analysis of Cerebral Blood Flow Regulation</w:t>
        </w:r>
      </w:hyperlink>
      <w:r>
        <w:t>). MAP explained a substantial portion of the observed variability, while adding PETCO₂ significantly reduced the model mean squared error and produced a physiologically reasonable carbon dioxide response. This work established that spontaneous PETCO₂ fluctuations may explain CBFV variability that is not captured by a pressure-only model.</w:t>
      </w:r>
    </w:p>
    <w:p w14:paraId="7B1F5B24" w14:textId="15EB2725" w:rsidR="008E41F3" w:rsidRDefault="00000000">
      <w:r>
        <w:t>However, lower CBFV prediction error does not necessarily mean that the separate MAP and PETCO₂ transfer functions were estimated correctly. MAP, PETCO₂, and CBFV can be measured in human recordings, but the true MAP-to-CBFV and PETCO₂-to-CBFV pathways are not independently known. Panerai et al. therefore showed that adding PETCO₂ improved the description of total CBFV, but they could not directly compare the estimated pathways with known physiological pathways. The authors also reported no significant time-domain cross-correlation between MAP and PETCO₂. This does not describe the relationship between the inputs at every frequency, so the accuracy of pathway separation under high frequency-specific coherence or poor spectral conditioning remains uncertain. Peng et al. also supported the use of multivariable system identification for cerebral autoregulation (</w:t>
      </w:r>
      <w:hyperlink r:id="rId8">
        <w:r>
          <w:rPr>
            <w:color w:val="0563C1"/>
            <w:u w:val="single"/>
          </w:rPr>
          <w:t>Multivariate System Identification for Cerebral Autoregulation</w:t>
        </w:r>
      </w:hyperlink>
      <w:r>
        <w:t>), but a clear and reproducible frequency-domain workflow with known-truth pathway validation is still needed.</w:t>
      </w:r>
    </w:p>
    <w:p w14:paraId="7CF864D8" w14:textId="77777777" w:rsidR="008E41F3" w:rsidRDefault="00000000">
      <w:r>
        <w:lastRenderedPageBreak/>
        <w:t>The use of MISO TFA is not yet organized into one clear and reproducible workflow for resting cerebral hemodynamic recordings. Studies may use different preprocessing choices, spectral settings, model solutions, diagnostic criteria, and reporting methods. In addition, higher multiple coherence shows that a model explains the measured output more closely, but it does not show that the separated MAP and PETCO₂ pathways are more accurate.</w:t>
      </w:r>
    </w:p>
    <w:p w14:paraId="60419A8B" w14:textId="77777777" w:rsidR="00064AA4" w:rsidRDefault="00000000">
      <w:pPr>
        <w:jc w:val="center"/>
      </w:pPr>
      <w:r>
        <w:rPr>
          <w:b/>
        </w:rPr>
        <w:t>[Figure 1 placeholder: Comparison of SISO and MISO model structure]</w:t>
      </w:r>
    </w:p>
    <w:p w14:paraId="4FD2ABE0" w14:textId="77777777" w:rsidR="00064AA4" w:rsidRDefault="00000000">
      <w:pPr>
        <w:jc w:val="center"/>
      </w:pPr>
      <w:r>
        <w:rPr>
          <w:i/>
        </w:rPr>
        <w:t>Figure note: Show two separate SISO models beside one joint MISO model. The figure should make clear that the MISO solution estimates the MAP and PETCO₂ transfer functions together while accounting for the relationship between the two inputs.</w:t>
      </w:r>
    </w:p>
    <w:p w14:paraId="601880FF" w14:textId="77777777" w:rsidR="00064AA4" w:rsidRDefault="00064AA4">
      <w:pPr>
        <w:spacing w:after="1440"/>
      </w:pPr>
    </w:p>
    <w:p w14:paraId="2719A190" w14:textId="77777777" w:rsidR="00064AA4" w:rsidRDefault="00000000">
      <w:r>
        <w:t>The first goal of this paper is therefore to develop and document a complete MISO TFA pipeline. The pipeline begins with MAP, PETCO₂, and CBFV signals and applies the same preprocessing and spectral estimation procedure to each recording. The MAP and PETCO₂ auto-spectra, their cross-spectrum, and their cross-spectra with CBFV are then used in one joint MISO solution. The pipeline returns MAP and PETCO₂ gain and phase, coherence measures, input power, and conditioning diagnostics. It also provides the statistical comparisons, figures, tables, and source data needed to understand and reproduce the analysis. Each major choice will be explained so that the workflow can be inspected and modified rather than treated as a</w:t>
      </w:r>
      <w:r w:rsidR="00BE7E3E">
        <w:t xml:space="preserve">n ambiguous </w:t>
      </w:r>
      <w:r>
        <w:t>software procedure.</w:t>
      </w:r>
    </w:p>
    <w:p w14:paraId="1D57CC82" w14:textId="77777777" w:rsidR="00064AA4" w:rsidRDefault="00000000">
      <w:pPr>
        <w:jc w:val="center"/>
      </w:pPr>
      <w:r>
        <w:rPr>
          <w:b/>
        </w:rPr>
        <w:t>[Figure 2 placeholder: Proposed MISO TFA analysis pipeline]</w:t>
      </w:r>
    </w:p>
    <w:p w14:paraId="4C4D5DBC" w14:textId="77777777" w:rsidR="00064AA4" w:rsidRDefault="00000000">
      <w:pPr>
        <w:jc w:val="center"/>
      </w:pPr>
      <w:r>
        <w:rPr>
          <w:i/>
        </w:rPr>
        <w:t>Figure note: Show the flow from MAP, PETCO₂, and CBFV signals through preprocessing, Welch spectral estimation, the joint MISO solution, gain and phase calculation, conditioning and identifiability checks, statistical analysis, and organized figures and source-data exports.</w:t>
      </w:r>
    </w:p>
    <w:p w14:paraId="4F11CC37" w14:textId="77777777" w:rsidR="00064AA4" w:rsidRDefault="00064AA4">
      <w:pPr>
        <w:spacing w:after="1440"/>
      </w:pPr>
    </w:p>
    <w:p w14:paraId="78D4286D" w14:textId="77777777" w:rsidR="00064AA4" w:rsidRDefault="00000000">
      <w:r>
        <w:t xml:space="preserve">Adding a second input does not automatically produce a more accurate model. MISO must estimate two pathway coefficients at each frequency from the same finite recording. If MAP and PETCO₂ become too similar within a frequency region, the input spectral matrix can become </w:t>
      </w:r>
      <w:r>
        <w:lastRenderedPageBreak/>
        <w:t>poorly conditioned and small spectral errors can produce large changes in the separated transfer functions. Short recordings, weak PETCO₂ fluctuations, measurement noise, signal misalignment, and estimator settings may also affect this balance. A useful pipeline must therefore report the conditions that support the MISO estimates, not only the estimates themselves.</w:t>
      </w:r>
    </w:p>
    <w:p w14:paraId="7E1FE49D" w14:textId="77777777" w:rsidR="00064AA4" w:rsidRDefault="00BE7E3E">
      <w:r>
        <w:t>Subject recordings cannot show the true MAP-to-CBFV or PETCO₂-to-CBFV transfer functions. If MISO and SISO produce different results in an observed recording, that difference alone cannot show which model is closer to the underlying physiology. A known-truth simulation makes this comparison possible. MAP and PETCO₂ inputs can be generated with assigned relationships, passed through predefined transfer functions, and combined into a CBFV output. Transfer functions estimated from one simulated recording can be compared directly with the known pathways and then tested on a second independently generated recording from the same simulated physiological system. The second recording has the same true pathways and simulation settings but different randomly generated signal fluctuations and noise. This allows pathway accuracy and CBFV prediction on new data to be evaluated together while recording duration, noise, input relationships, timing, and estimator settings are varied.</w:t>
      </w:r>
    </w:p>
    <w:p w14:paraId="75AC78A4" w14:textId="24062525" w:rsidR="008E41F3" w:rsidRDefault="00000000" w:rsidP="00BB7ED7">
      <w:r>
        <w:t>This paper therefore has three connected objectives. The first is to develop and clearly document the MISO TFA pipeline and the reasoning behind its main choices. The second is to validate the pipeline using known-truth simulations and determine when MISO or SISO has lower pathway error. The third is to compare measurable properties of the NC recordings with the simulation results and determine whether the recordings resemble conditions in which MISO recovered the known pathways reliably. The goal is to propose a reproducible reference workflow that can support future research.</w:t>
      </w:r>
    </w:p>
    <w:sectPr w:rsidR="008E41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D6C"/>
    <w:rsid w:val="00064AA4"/>
    <w:rsid w:val="00156FE3"/>
    <w:rsid w:val="002140E1"/>
    <w:rsid w:val="002C25E3"/>
    <w:rsid w:val="004E1D6C"/>
    <w:rsid w:val="00584F5C"/>
    <w:rsid w:val="005D4B84"/>
    <w:rsid w:val="006002D5"/>
    <w:rsid w:val="00795D75"/>
    <w:rsid w:val="007B0E8B"/>
    <w:rsid w:val="008E41F3"/>
    <w:rsid w:val="00BB7ED7"/>
    <w:rsid w:val="00BE7E3E"/>
    <w:rsid w:val="00C737FF"/>
    <w:rsid w:val="00DD46EE"/>
    <w:rsid w:val="00F8138A"/>
    <w:rsid w:val="00FE0E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C6762B"/>
  <w15:chartTrackingRefBased/>
  <w15:docId w15:val="{433E1590-4482-CB4A-A37D-D3BD2716D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1D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E1D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1D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1D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1D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1D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D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D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D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D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E1D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1D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1D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1D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1D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D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D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D6C"/>
    <w:rPr>
      <w:rFonts w:eastAsiaTheme="majorEastAsia" w:cstheme="majorBidi"/>
      <w:color w:val="272727" w:themeColor="text1" w:themeTint="D8"/>
    </w:rPr>
  </w:style>
  <w:style w:type="paragraph" w:styleId="Title">
    <w:name w:val="Title"/>
    <w:basedOn w:val="Normal"/>
    <w:next w:val="Normal"/>
    <w:link w:val="TitleChar"/>
    <w:uiPriority w:val="10"/>
    <w:qFormat/>
    <w:rsid w:val="004E1D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D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D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D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D6C"/>
    <w:pPr>
      <w:spacing w:before="160"/>
      <w:jc w:val="center"/>
    </w:pPr>
    <w:rPr>
      <w:i/>
      <w:iCs/>
      <w:color w:val="404040" w:themeColor="text1" w:themeTint="BF"/>
    </w:rPr>
  </w:style>
  <w:style w:type="character" w:customStyle="1" w:styleId="QuoteChar">
    <w:name w:val="Quote Char"/>
    <w:basedOn w:val="DefaultParagraphFont"/>
    <w:link w:val="Quote"/>
    <w:uiPriority w:val="29"/>
    <w:rsid w:val="004E1D6C"/>
    <w:rPr>
      <w:i/>
      <w:iCs/>
      <w:color w:val="404040" w:themeColor="text1" w:themeTint="BF"/>
    </w:rPr>
  </w:style>
  <w:style w:type="paragraph" w:styleId="ListParagraph">
    <w:name w:val="List Paragraph"/>
    <w:basedOn w:val="Normal"/>
    <w:uiPriority w:val="34"/>
    <w:qFormat/>
    <w:rsid w:val="004E1D6C"/>
    <w:pPr>
      <w:ind w:left="720"/>
      <w:contextualSpacing/>
    </w:pPr>
  </w:style>
  <w:style w:type="character" w:styleId="IntenseEmphasis">
    <w:name w:val="Intense Emphasis"/>
    <w:basedOn w:val="DefaultParagraphFont"/>
    <w:uiPriority w:val="21"/>
    <w:qFormat/>
    <w:rsid w:val="004E1D6C"/>
    <w:rPr>
      <w:i/>
      <w:iCs/>
      <w:color w:val="2F5496" w:themeColor="accent1" w:themeShade="BF"/>
    </w:rPr>
  </w:style>
  <w:style w:type="paragraph" w:styleId="IntenseQuote">
    <w:name w:val="Intense Quote"/>
    <w:basedOn w:val="Normal"/>
    <w:next w:val="Normal"/>
    <w:link w:val="IntenseQuoteChar"/>
    <w:uiPriority w:val="30"/>
    <w:qFormat/>
    <w:rsid w:val="004E1D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1D6C"/>
    <w:rPr>
      <w:i/>
      <w:iCs/>
      <w:color w:val="2F5496" w:themeColor="accent1" w:themeShade="BF"/>
    </w:rPr>
  </w:style>
  <w:style w:type="character" w:styleId="IntenseReference">
    <w:name w:val="Intense Reference"/>
    <w:basedOn w:val="DefaultParagraphFont"/>
    <w:uiPriority w:val="32"/>
    <w:qFormat/>
    <w:rsid w:val="004E1D6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a.ox.ac.uk/objects/uuid:20fad100-eded-4fc7-acbc-decd6625fcbb" TargetMode="External"/><Relationship Id="rId3" Type="http://schemas.openxmlformats.org/officeDocument/2006/relationships/webSettings" Target="webSettings.xml"/><Relationship Id="rId7" Type="http://schemas.openxmlformats.org/officeDocument/2006/relationships/hyperlink" Target="https://doi.org/10.1109/10.827312"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pubmed.ncbi.nlm.nih.gov/31187899/" TargetMode="External"/><Relationship Id="rId5" Type="http://schemas.openxmlformats.org/officeDocument/2006/relationships/hyperlink" Target="https://doi.org/10.1177/0271678X221119760" TargetMode="External"/><Relationship Id="rId10" Type="http://schemas.openxmlformats.org/officeDocument/2006/relationships/theme" Target="theme/theme1.xml"/><Relationship Id="rId4" Type="http://schemas.openxmlformats.org/officeDocument/2006/relationships/hyperlink" Target="https://pmc.ncbi.nlm.nih.gov/articles/PMC8576366/"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4</Pages>
  <Words>1466</Words>
  <Characters>8357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Naganand, Amogh</dc:creator>
  <cp:keywords/>
  <dc:description/>
  <cp:lastModifiedBy>Naganand, Amogh</cp:lastModifiedBy>
  <cp:revision>4</cp:revision>
  <dcterms:created xsi:type="dcterms:W3CDTF">2026-08-03T20:13:00Z</dcterms:created>
  <dcterms:modified xsi:type="dcterms:W3CDTF">2026-08-03T23:23:00Z</dcterms:modified>
</cp:coreProperties>
</file>