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61BE" w14:textId="6C402CA5" w:rsidR="00080B45" w:rsidRPr="00EC369E" w:rsidRDefault="2E1DEE8D" w:rsidP="38E66F8A">
      <w:pPr>
        <w:pStyle w:val="Title"/>
        <w:jc w:val="right"/>
        <w:rPr>
          <w:rFonts w:ascii="system-ui" w:eastAsia="system-ui" w:hAnsi="system-ui" w:cs="system-ui"/>
        </w:rPr>
      </w:pPr>
      <w:r w:rsidRPr="00EC369E">
        <w:t>A Systematic Review of Innovative Technologies for Enhancing Autonomy in Adults with Intellectual Disabilities</w:t>
      </w:r>
    </w:p>
    <w:p w14:paraId="6DBF954E" w14:textId="410BF6C5" w:rsidR="00080B45" w:rsidRPr="00EC369E" w:rsidRDefault="00080B45" w:rsidP="38E66F8A"/>
    <w:p w14:paraId="3A5A4029" w14:textId="7AE35B50" w:rsidR="00080B45" w:rsidRPr="00EC369E" w:rsidRDefault="00C14F62" w:rsidP="38E66F8A">
      <w:commentRangeStart w:id="0"/>
      <w:commentRangeEnd w:id="0"/>
      <w:r>
        <w:commentReference w:id="0"/>
      </w:r>
    </w:p>
    <w:p w14:paraId="05227FD9" w14:textId="168E6E62" w:rsidR="00080B45" w:rsidRPr="00EC369E" w:rsidRDefault="09AB22C2" w:rsidP="38E66F8A">
      <w:pPr>
        <w:pStyle w:val="Heading1"/>
        <w:rPr>
          <w:rFonts w:ascii="Calibri" w:eastAsia="Calibri" w:hAnsi="Calibri" w:cs="Calibri"/>
          <w:sz w:val="24"/>
          <w:szCs w:val="24"/>
        </w:rPr>
      </w:pPr>
      <w:r w:rsidRPr="00EC369E">
        <w:rPr>
          <w:rFonts w:ascii="Calibri" w:eastAsia="Calibri" w:hAnsi="Calibri" w:cs="Calibri"/>
          <w:sz w:val="24"/>
          <w:szCs w:val="24"/>
        </w:rPr>
        <w:t>Introduction</w:t>
      </w:r>
    </w:p>
    <w:p w14:paraId="39E954C5" w14:textId="38C2FED7" w:rsidR="14C107BA" w:rsidRDefault="14C107BA" w:rsidP="1F2AE0F4">
      <w:pPr>
        <w:jc w:val="both"/>
        <w:rPr>
          <w:rFonts w:ascii="Calibri" w:eastAsia="Calibri" w:hAnsi="Calibri" w:cs="Calibri"/>
          <w:color w:val="000000" w:themeColor="text1"/>
        </w:rPr>
      </w:pPr>
      <w:r w:rsidRPr="1F2AE0F4">
        <w:rPr>
          <w:rFonts w:ascii="Calibri" w:eastAsia="Calibri" w:hAnsi="Calibri" w:cs="Calibri"/>
          <w:color w:val="000000" w:themeColor="text1"/>
        </w:rPr>
        <w:t>T</w:t>
      </w:r>
      <w:r w:rsidR="09AB22C2" w:rsidRPr="1F2AE0F4">
        <w:rPr>
          <w:rFonts w:ascii="Calibri" w:eastAsia="Calibri" w:hAnsi="Calibri" w:cs="Calibri"/>
          <w:color w:val="000000" w:themeColor="text1"/>
        </w:rPr>
        <w:t>he World Health Organization (WHO)</w:t>
      </w:r>
      <w:r w:rsidR="530639CE" w:rsidRPr="1F2AE0F4">
        <w:rPr>
          <w:rFonts w:ascii="Calibri" w:eastAsia="Calibri" w:hAnsi="Calibri" w:cs="Calibri"/>
          <w:color w:val="000000" w:themeColor="text1"/>
        </w:rPr>
        <w:t xml:space="preserve"> define that the</w:t>
      </w:r>
      <w:r w:rsidR="09AB22C2" w:rsidRPr="1F2AE0F4">
        <w:rPr>
          <w:rFonts w:ascii="Calibri" w:eastAsia="Calibri" w:hAnsi="Calibri" w:cs="Calibri"/>
          <w:color w:val="000000" w:themeColor="text1"/>
        </w:rPr>
        <w:t xml:space="preserve"> intellectual disability is a developmental condition characterized by </w:t>
      </w:r>
      <w:r w:rsidR="3766BEEB" w:rsidRPr="1F2AE0F4">
        <w:rPr>
          <w:rFonts w:ascii="Calibri" w:eastAsia="Calibri" w:hAnsi="Calibri" w:cs="Calibri"/>
        </w:rPr>
        <w:t>much lower than usual</w:t>
      </w:r>
      <w:r w:rsidR="09AB22C2" w:rsidRPr="1F2AE0F4">
        <w:rPr>
          <w:rFonts w:ascii="Calibri" w:eastAsia="Calibri" w:hAnsi="Calibri" w:cs="Calibri"/>
          <w:color w:val="000000" w:themeColor="text1"/>
        </w:rPr>
        <w:t xml:space="preserve"> intellectual functioning and limitations in adaptive skills such as writing, reading, problem-solving, or decision-making.</w:t>
      </w:r>
      <w:r w:rsidR="339C62F3"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in communities. </w:t>
      </w:r>
      <w:r w:rsidR="46F7FA7A" w:rsidRPr="1F2AE0F4">
        <w:rPr>
          <w:rFonts w:ascii="Calibri" w:eastAsia="Calibri" w:hAnsi="Calibri" w:cs="Calibri"/>
          <w:color w:val="000000" w:themeColor="text1"/>
        </w:rPr>
        <w:t>The main</w:t>
      </w:r>
      <w:r w:rsidR="09AB22C2" w:rsidRPr="1F2AE0F4">
        <w:rPr>
          <w:rFonts w:ascii="Calibri" w:eastAsia="Calibri" w:hAnsi="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76733A2B" w:rsidRPr="1F2AE0F4">
        <w:rPr>
          <w:rFonts w:ascii="Calibri" w:eastAsia="Calibri" w:hAnsi="Calibri" w:cs="Calibri"/>
          <w:color w:val="000000" w:themeColor="text1"/>
        </w:rPr>
        <w:t xml:space="preserve"> </w:t>
      </w:r>
      <w:r w:rsidR="3DCC4589" w:rsidRPr="1F2AE0F4">
        <w:rPr>
          <w:rFonts w:ascii="Calibri" w:eastAsia="Calibri" w:hAnsi="Calibri" w:cs="Calibri"/>
          <w:color w:val="000000" w:themeColor="text1"/>
        </w:rPr>
        <w:t>limited</w:t>
      </w:r>
      <w:r w:rsidR="76FC1C49" w:rsidRPr="1F2AE0F4">
        <w:rPr>
          <w:rFonts w:ascii="Calibri" w:eastAsia="Calibri" w:hAnsi="Calibri" w:cs="Calibri"/>
          <w:color w:val="000000" w:themeColor="text1"/>
        </w:rPr>
        <w:t xml:space="preserve"> o</w:t>
      </w:r>
      <w:r w:rsidR="09AB22C2" w:rsidRPr="1F2AE0F4">
        <w:rPr>
          <w:rFonts w:ascii="Calibri" w:eastAsia="Calibri" w:hAnsi="Calibri" w:cs="Calibri"/>
          <w:color w:val="000000" w:themeColor="text1"/>
        </w:rPr>
        <w:t xml:space="preserve">pportunities for independent living that would enable agency and transformative opportunities for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w:t>
      </w:r>
      <w:r w:rsidR="634F483A" w:rsidRPr="1F2AE0F4">
        <w:rPr>
          <w:rFonts w:ascii="Calibri" w:eastAsia="Calibri" w:hAnsi="Calibri" w:cs="Calibri"/>
          <w:color w:val="000000" w:themeColor="text1"/>
        </w:rPr>
        <w:t>(</w:t>
      </w:r>
      <w:r w:rsidR="015E6131" w:rsidRPr="1F2AE0F4">
        <w:rPr>
          <w:rFonts w:ascii="Calibri" w:eastAsia="Calibri" w:hAnsi="Calibri" w:cs="Calibri"/>
          <w:color w:val="000000" w:themeColor="text1"/>
        </w:rPr>
        <w:t>Guterres, A. 2018</w:t>
      </w:r>
      <w:r w:rsidR="634F483A" w:rsidRPr="1F2AE0F4">
        <w:rPr>
          <w:rFonts w:ascii="Calibri" w:eastAsia="Calibri" w:hAnsi="Calibri" w:cs="Calibri"/>
          <w:color w:val="000000" w:themeColor="text1"/>
        </w:rPr>
        <w:t>)</w:t>
      </w:r>
      <w:r w:rsidR="09AB22C2" w:rsidRPr="1F2AE0F4">
        <w:rPr>
          <w:rFonts w:ascii="Calibri" w:eastAsia="Calibri" w:hAnsi="Calibri" w:cs="Calibri"/>
          <w:color w:val="000000" w:themeColor="text1"/>
        </w:rPr>
        <w:t>.</w:t>
      </w:r>
      <w:r w:rsidR="46B2DA20"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7D8A3BCB" w:rsidRPr="1F2AE0F4">
        <w:rPr>
          <w:rFonts w:ascii="Calibri" w:eastAsia="Calibri" w:hAnsi="Calibri" w:cs="Calibri"/>
          <w:color w:val="000000" w:themeColor="text1"/>
        </w:rPr>
        <w:t>(</w:t>
      </w:r>
      <w:r w:rsidR="7D8A3BCB" w:rsidRPr="00EC369E">
        <w:rPr>
          <w:rFonts w:ascii="Calibri" w:eastAsia="Calibri" w:hAnsi="Calibri" w:cs="Calibri"/>
        </w:rPr>
        <w:t>González Martín N</w:t>
      </w:r>
      <w:r w:rsidR="7D8A3BCB" w:rsidRPr="1F2AE0F4">
        <w:rPr>
          <w:rFonts w:ascii="Calibri" w:eastAsia="Calibri" w:hAnsi="Calibri" w:cs="Calibri"/>
          <w:color w:val="000000" w:themeColor="text1"/>
        </w:rPr>
        <w:t>, 2008)</w:t>
      </w:r>
      <w:r w:rsidR="09AB22C2" w:rsidRPr="1F2AE0F4">
        <w:rPr>
          <w:rFonts w:ascii="Calibri" w:eastAsia="Calibri" w:hAnsi="Calibri" w:cs="Calibri"/>
          <w:color w:val="000000" w:themeColor="text1"/>
        </w:rPr>
        <w:t>.</w:t>
      </w:r>
    </w:p>
    <w:p w14:paraId="6766ED66" w14:textId="5E376ECB" w:rsidR="65EFEF16" w:rsidRDefault="65EFEF16" w:rsidP="1F2AE0F4">
      <w:pPr>
        <w:spacing w:before="240" w:after="240"/>
        <w:jc w:val="both"/>
        <w:rPr>
          <w:rFonts w:ascii="Calibri" w:eastAsia="Calibri" w:hAnsi="Calibri" w:cs="Calibri"/>
          <w:color w:val="000000" w:themeColor="text1"/>
        </w:rPr>
      </w:pPr>
      <w:r w:rsidRPr="2B77190F">
        <w:rPr>
          <w:rFonts w:ascii="Calibri" w:eastAsia="Calibri" w:hAnsi="Calibri" w:cs="Calibri"/>
        </w:rPr>
        <w:t xml:space="preserve">Since the 1990s, </w:t>
      </w:r>
      <w:r w:rsidR="568E5C84" w:rsidRPr="2B77190F">
        <w:rPr>
          <w:rFonts w:ascii="Calibri" w:eastAsia="Calibri" w:hAnsi="Calibri" w:cs="Calibri"/>
        </w:rPr>
        <w:t>there has</w:t>
      </w:r>
      <w:r w:rsidRPr="2B77190F">
        <w:rPr>
          <w:rFonts w:ascii="Calibri" w:eastAsia="Calibri" w:hAnsi="Calibri" w:cs="Calibri"/>
        </w:rPr>
        <w:t xml:space="preserve"> been </w:t>
      </w:r>
      <w:r w:rsidR="776A9A27" w:rsidRPr="2B77190F">
        <w:rPr>
          <w:rFonts w:ascii="Calibri" w:eastAsia="Calibri" w:hAnsi="Calibri" w:cs="Calibri"/>
        </w:rPr>
        <w:t>a substantial change</w:t>
      </w:r>
      <w:r w:rsidRPr="2B77190F">
        <w:rPr>
          <w:rFonts w:ascii="Calibri" w:eastAsia="Calibri" w:hAnsi="Calibri" w:cs="Calibri"/>
        </w:rPr>
        <w:t xml:space="preserve"> in how we define disability</w:t>
      </w:r>
      <w:r w:rsidR="09AB22C2" w:rsidRPr="2B77190F">
        <w:rPr>
          <w:rFonts w:ascii="Calibri" w:eastAsia="Calibri" w:hAnsi="Calibri" w:cs="Calibri"/>
          <w:color w:val="000000" w:themeColor="text1"/>
        </w:rPr>
        <w:t xml:space="preserve">. Previously focused on deficits and viewing </w:t>
      </w:r>
      <w:proofErr w:type="spellStart"/>
      <w:r w:rsidR="09AB22C2" w:rsidRPr="2B77190F">
        <w:rPr>
          <w:rFonts w:ascii="Calibri" w:eastAsia="Calibri" w:hAnsi="Calibri" w:cs="Calibri"/>
          <w:color w:val="000000" w:themeColor="text1"/>
        </w:rPr>
        <w:t>PwD</w:t>
      </w:r>
      <w:proofErr w:type="spellEnd"/>
      <w:r w:rsidR="09AB22C2" w:rsidRPr="2B77190F">
        <w:rPr>
          <w:rFonts w:ascii="Calibri" w:eastAsia="Calibri" w:hAnsi="Calibri" w:cs="Calibri"/>
          <w:color w:val="000000" w:themeColor="text1"/>
        </w:rPr>
        <w:t xml:space="preserve"> as victims, </w:t>
      </w:r>
      <w:r w:rsidR="6332EE8B" w:rsidRPr="2B77190F">
        <w:rPr>
          <w:rFonts w:ascii="Calibri" w:eastAsia="Calibri" w:hAnsi="Calibri" w:cs="Calibri"/>
        </w:rPr>
        <w:t xml:space="preserve">the modern view sees people with disabilities as individuals with rights involved in complex interactions between health, economic, and socio-political factors </w:t>
      </w:r>
      <w:r w:rsidR="441E9277" w:rsidRPr="2B77190F">
        <w:rPr>
          <w:rFonts w:ascii="Calibri" w:eastAsia="Calibri" w:hAnsi="Calibri" w:cs="Calibri"/>
          <w:color w:val="000000" w:themeColor="text1"/>
        </w:rPr>
        <w:t>(Stang Alva M, 2011)</w:t>
      </w:r>
      <w:r w:rsidR="09AB22C2" w:rsidRPr="2B77190F">
        <w:rPr>
          <w:rFonts w:ascii="Calibri" w:eastAsia="Calibri" w:hAnsi="Calibri" w:cs="Calibri"/>
          <w:color w:val="000000" w:themeColor="text1"/>
        </w:rPr>
        <w:t xml:space="preserve">. This perspective has given rise to a biopsychosocial approach to disability, which views the condition through biological, personal, and social dimensions </w:t>
      </w:r>
      <w:r w:rsidR="58F4FEF6" w:rsidRPr="2B77190F">
        <w:rPr>
          <w:rFonts w:ascii="Calibri" w:eastAsia="Calibri" w:hAnsi="Calibri" w:cs="Calibri"/>
          <w:color w:val="000000" w:themeColor="text1"/>
        </w:rPr>
        <w:t>(</w:t>
      </w:r>
      <w:proofErr w:type="spellStart"/>
      <w:r w:rsidR="58F4FEF6" w:rsidRPr="2B77190F">
        <w:rPr>
          <w:rFonts w:ascii="Calibri" w:eastAsia="Calibri" w:hAnsi="Calibri" w:cs="Calibri"/>
          <w:color w:val="000000" w:themeColor="text1"/>
        </w:rPr>
        <w:t>Toboso</w:t>
      </w:r>
      <w:proofErr w:type="spellEnd"/>
      <w:r w:rsidR="58F4FEF6" w:rsidRPr="2B77190F">
        <w:rPr>
          <w:rFonts w:ascii="Calibri" w:eastAsia="Calibri" w:hAnsi="Calibri" w:cs="Calibri"/>
          <w:color w:val="000000" w:themeColor="text1"/>
        </w:rPr>
        <w:t xml:space="preserve"> Martín, M &amp; Arnau </w:t>
      </w:r>
      <w:proofErr w:type="spellStart"/>
      <w:r w:rsidR="58F4FEF6" w:rsidRPr="2B77190F">
        <w:rPr>
          <w:rFonts w:ascii="Calibri" w:eastAsia="Calibri" w:hAnsi="Calibri" w:cs="Calibri"/>
          <w:color w:val="000000" w:themeColor="text1"/>
        </w:rPr>
        <w:t>Ripollés</w:t>
      </w:r>
      <w:proofErr w:type="spellEnd"/>
      <w:r w:rsidR="58F4FEF6" w:rsidRPr="2B77190F">
        <w:rPr>
          <w:rFonts w:ascii="Calibri" w:eastAsia="Calibri" w:hAnsi="Calibri" w:cs="Calibri"/>
          <w:color w:val="000000" w:themeColor="text1"/>
        </w:rPr>
        <w:t>, M. 2008)</w:t>
      </w:r>
      <w:r w:rsidR="09AB22C2" w:rsidRPr="2B77190F">
        <w:rPr>
          <w:rFonts w:ascii="Calibri" w:eastAsia="Calibri" w:hAnsi="Calibri" w:cs="Calibri"/>
          <w:color w:val="000000" w:themeColor="text1"/>
        </w:rPr>
        <w:t>.</w:t>
      </w:r>
    </w:p>
    <w:p w14:paraId="0556F0A9" w14:textId="327F42E1" w:rsidR="09AB22C2"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 The United Nations' disability inclusion strategy highlights the urgent need to </w:t>
      </w:r>
      <w:r w:rsidR="2B9C4B9C" w:rsidRPr="1F2AE0F4">
        <w:rPr>
          <w:rFonts w:ascii="Calibri" w:eastAsia="Calibri" w:hAnsi="Calibri" w:cs="Calibri"/>
          <w:color w:val="000000" w:themeColor="text1"/>
        </w:rPr>
        <w:t>employ</w:t>
      </w:r>
      <w:r w:rsidRPr="1F2AE0F4">
        <w:rPr>
          <w:rFonts w:ascii="Calibri" w:eastAsia="Calibri" w:hAnsi="Calibri" w:cs="Calibri"/>
          <w:color w:val="000000" w:themeColor="text1"/>
        </w:rPr>
        <w:t xml:space="preserve"> technology to enhance inclusion and accessibility for people with disabilities.</w:t>
      </w:r>
      <w:r w:rsidR="03E0CADC" w:rsidRPr="1F2AE0F4">
        <w:rPr>
          <w:rFonts w:ascii="Calibri" w:eastAsia="Calibri" w:hAnsi="Calibri" w:cs="Calibri"/>
          <w:color w:val="000000" w:themeColor="text1"/>
        </w:rPr>
        <w:t xml:space="preserve"> </w:t>
      </w:r>
      <w:r w:rsidR="03E0CADC" w:rsidRPr="1F2AE0F4">
        <w:rPr>
          <w:rFonts w:ascii="Calibri" w:eastAsia="Calibri" w:hAnsi="Calibri" w:cs="Calibri"/>
        </w:rPr>
        <w:t>This strategy aims to reduce the digital bridge and expand access to assistive technologies,</w:t>
      </w:r>
      <w:r w:rsidRPr="1F2AE0F4">
        <w:rPr>
          <w:rFonts w:ascii="Calibri" w:eastAsia="Calibri" w:hAnsi="Calibri" w:cs="Calibri"/>
          <w:color w:val="000000" w:themeColor="text1"/>
        </w:rPr>
        <w:t xml:space="preserve"> essential yet often inaccessible for most </w:t>
      </w:r>
      <w:proofErr w:type="spellStart"/>
      <w:r w:rsidRPr="1F2AE0F4">
        <w:rPr>
          <w:rFonts w:ascii="Calibri" w:eastAsia="Calibri" w:hAnsi="Calibri" w:cs="Calibri"/>
          <w:color w:val="000000" w:themeColor="text1"/>
        </w:rPr>
        <w:t>PwD</w:t>
      </w:r>
      <w:proofErr w:type="spellEnd"/>
      <w:r w:rsidRPr="1F2AE0F4">
        <w:rPr>
          <w:rFonts w:ascii="Calibri" w:eastAsia="Calibri" w:hAnsi="Calibri" w:cs="Calibri"/>
          <w:color w:val="000000" w:themeColor="text1"/>
        </w:rPr>
        <w:t xml:space="preserve"> in many countries (</w:t>
      </w:r>
      <w:r w:rsidR="314F546A" w:rsidRPr="1F2AE0F4">
        <w:rPr>
          <w:rFonts w:ascii="Calibri" w:eastAsia="Calibri" w:hAnsi="Calibri" w:cs="Calibri"/>
          <w:color w:val="000000" w:themeColor="text1"/>
        </w:rPr>
        <w:t>Meetings Coverage, 2024</w:t>
      </w:r>
      <w:r w:rsidRPr="1F2AE0F4">
        <w:rPr>
          <w:rFonts w:ascii="Calibri" w:eastAsia="Calibri" w:hAnsi="Calibri" w:cs="Calibri"/>
          <w:color w:val="000000" w:themeColor="text1"/>
        </w:rPr>
        <w:t>).</w:t>
      </w:r>
      <w:r w:rsidR="138CF1C5" w:rsidRPr="1F2AE0F4">
        <w:rPr>
          <w:rFonts w:ascii="Calibri" w:eastAsia="Calibri" w:hAnsi="Calibri" w:cs="Calibri"/>
          <w:color w:val="000000" w:themeColor="text1"/>
        </w:rPr>
        <w:t xml:space="preserve"> </w:t>
      </w:r>
      <w:r w:rsidRPr="00EC369E">
        <w:rPr>
          <w:rFonts w:ascii="Calibri" w:eastAsia="Calibri" w:hAnsi="Calibri" w:cs="Calibri"/>
          <w:color w:val="000000" w:themeColor="text1"/>
        </w:rPr>
        <w:t>The Conference of States Parties</w:t>
      </w:r>
      <w:r w:rsidR="37491BE2" w:rsidRPr="00EC369E">
        <w:rPr>
          <w:rFonts w:ascii="Calibri" w:eastAsia="Calibri" w:hAnsi="Calibri" w:cs="Calibri"/>
          <w:color w:val="000000" w:themeColor="text1"/>
        </w:rPr>
        <w:t xml:space="preserve"> (COSP)</w:t>
      </w:r>
      <w:r w:rsidRPr="00EC369E">
        <w:rPr>
          <w:rFonts w:ascii="Calibri" w:eastAsia="Calibri" w:hAnsi="Calibri" w:cs="Calibri"/>
          <w:color w:val="000000" w:themeColor="text1"/>
        </w:rPr>
        <w:t xml:space="preserve"> to the Convention on the Rights of Persons with Disabilities </w:t>
      </w:r>
      <w:r w:rsidR="7F305370"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has underlined the importance of </w:t>
      </w:r>
      <w:r w:rsidRPr="00EC369E">
        <w:rPr>
          <w:rFonts w:ascii="Calibri" w:eastAsia="Calibri" w:hAnsi="Calibri" w:cs="Calibri"/>
          <w:color w:val="000000" w:themeColor="text1"/>
        </w:rPr>
        <w:lastRenderedPageBreak/>
        <w:t>technological innovation in creating accessible futures and the necessity of international cooperation to accelerate innovation and technology transfer</w:t>
      </w:r>
      <w:r w:rsidR="42327984"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(UN DESA </w:t>
      </w:r>
      <w:r w:rsidR="3BF6FE95" w:rsidRPr="00EC369E">
        <w:rPr>
          <w:rFonts w:ascii="Calibri" w:eastAsia="Calibri" w:hAnsi="Calibri" w:cs="Calibri"/>
          <w:color w:val="000000" w:themeColor="text1"/>
        </w:rPr>
        <w:t>Voice, 2024</w:t>
      </w:r>
      <w:r w:rsidRPr="00EC369E">
        <w:rPr>
          <w:rFonts w:ascii="Calibri" w:eastAsia="Calibri" w:hAnsi="Calibri" w:cs="Calibri"/>
          <w:color w:val="000000" w:themeColor="text1"/>
        </w:rPr>
        <w:t xml:space="preserve">). </w:t>
      </w:r>
      <w:r w:rsidRPr="1F2AE0F4">
        <w:rPr>
          <w:rFonts w:ascii="Calibri" w:eastAsia="Calibri" w:hAnsi="Calibri" w:cs="Calibri"/>
          <w:color w:val="000000" w:themeColor="text1"/>
        </w:rPr>
        <w:t>For example, in Indonesia, UN staff have been trained on maintaining accessibility standards in daily tasks and have committed to enhancing accessibility in their internal operations, demonstrating a practical approach to greater digital inclusion (United Nations DCO</w:t>
      </w:r>
      <w:r w:rsidR="352E8C0E" w:rsidRPr="1F2AE0F4">
        <w:rPr>
          <w:rFonts w:ascii="Calibri" w:eastAsia="Calibri" w:hAnsi="Calibri" w:cs="Calibri"/>
          <w:color w:val="000000" w:themeColor="text1"/>
        </w:rPr>
        <w:t>, 2024</w:t>
      </w:r>
      <w:r w:rsidRPr="1F2AE0F4">
        <w:rPr>
          <w:rFonts w:ascii="Calibri" w:eastAsia="Calibri" w:hAnsi="Calibri" w:cs="Calibri"/>
          <w:color w:val="000000" w:themeColor="text1"/>
        </w:rPr>
        <w:t>).</w:t>
      </w:r>
      <w:r w:rsidR="0C48085C" w:rsidRPr="1F2AE0F4">
        <w:rPr>
          <w:rFonts w:ascii="Calibri" w:eastAsia="Calibri" w:hAnsi="Calibri" w:cs="Calibri"/>
          <w:color w:val="000000" w:themeColor="text1"/>
        </w:rPr>
        <w:t xml:space="preserve"> </w:t>
      </w:r>
    </w:p>
    <w:p w14:paraId="149A089C" w14:textId="67585FF8" w:rsidR="09AB22C2"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371FBEAE" w:rsidRPr="00EC369E">
        <w:rPr>
          <w:rFonts w:ascii="Calibri" w:eastAsia="Calibri" w:hAnsi="Calibri" w:cs="Calibri"/>
          <w:color w:val="000000" w:themeColor="text1"/>
        </w:rPr>
        <w:t xml:space="preserve">deficit </w:t>
      </w:r>
      <w:r w:rsidRPr="00EC369E">
        <w:rPr>
          <w:rFonts w:ascii="Calibri" w:eastAsia="Calibri" w:hAnsi="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6AD9196E"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w:t>
      </w:r>
      <w:r w:rsidR="2139DB36" w:rsidRPr="1F2AE0F4">
        <w:rPr>
          <w:rFonts w:ascii="Calibri" w:eastAsia="Calibri" w:hAnsi="Calibri" w:cs="Calibri"/>
        </w:rPr>
        <w:t>Boot, F. 2017</w:t>
      </w:r>
      <w:r w:rsidRPr="00EC369E">
        <w:rPr>
          <w:rFonts w:ascii="Calibri" w:eastAsia="Calibri" w:hAnsi="Calibri" w:cs="Calibri"/>
          <w:color w:val="000000" w:themeColor="text1"/>
        </w:rPr>
        <w:t>).</w:t>
      </w:r>
      <w:r w:rsidR="24FA5A53"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4FFD72BC" w:rsidRPr="1F2AE0F4">
        <w:rPr>
          <w:rFonts w:ascii="Calibri" w:eastAsia="Calibri" w:hAnsi="Calibri" w:cs="Calibri"/>
        </w:rPr>
        <w:t>Wehmeyer, M.L. 2020)</w:t>
      </w:r>
      <w:r w:rsidRPr="00EC369E">
        <w:rPr>
          <w:rFonts w:ascii="Calibri" w:eastAsia="Calibri" w:hAnsi="Calibri" w:cs="Calibri"/>
          <w:color w:val="000000" w:themeColor="text1"/>
        </w:rPr>
        <w:t>.</w:t>
      </w:r>
    </w:p>
    <w:p w14:paraId="53BF08BC" w14:textId="64297027" w:rsidR="00080B45" w:rsidRPr="00EC369E"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0444708C" w:rsidRPr="1F2AE0F4">
        <w:rPr>
          <w:rFonts w:ascii="Calibri" w:eastAsia="Calibri" w:hAnsi="Calibri" w:cs="Calibri"/>
        </w:rPr>
        <w:t>Marinaci</w:t>
      </w:r>
      <w:proofErr w:type="spellEnd"/>
      <w:r w:rsidR="0444708C" w:rsidRPr="1F2AE0F4">
        <w:rPr>
          <w:rFonts w:ascii="Calibri" w:eastAsia="Calibri" w:hAnsi="Calibri" w:cs="Calibri"/>
        </w:rPr>
        <w:t>, T. 2023</w:t>
      </w:r>
      <w:r w:rsidRPr="00EC369E">
        <w:rPr>
          <w:rFonts w:ascii="Calibri" w:eastAsia="Calibri" w:hAnsi="Calibri" w:cs="Calibri"/>
          <w:color w:val="000000" w:themeColor="text1"/>
        </w:rPr>
        <w:t>) (</w:t>
      </w:r>
      <w:r w:rsidR="5A04B106" w:rsidRPr="1F2AE0F4">
        <w:rPr>
          <w:rFonts w:ascii="Calibri" w:eastAsia="Calibri" w:hAnsi="Calibri" w:cs="Calibri"/>
        </w:rPr>
        <w:t>cciadmincca1. 2020</w:t>
      </w:r>
      <w:r w:rsidRPr="00EC369E">
        <w:rPr>
          <w:rFonts w:ascii="Calibri" w:eastAsia="Calibri" w:hAnsi="Calibri" w:cs="Calibri"/>
          <w:color w:val="000000" w:themeColor="text1"/>
        </w:rPr>
        <w:t>).</w:t>
      </w:r>
      <w:r w:rsidR="640E90D1" w:rsidRPr="00EC369E">
        <w:rPr>
          <w:rFonts w:ascii="Calibri" w:eastAsia="Calibri" w:hAnsi="Calibri" w:cs="Calibri"/>
          <w:color w:val="000000" w:themeColor="text1"/>
        </w:rPr>
        <w:t xml:space="preserve"> </w:t>
      </w:r>
      <w:r w:rsidR="640E90D1" w:rsidRPr="00EC369E">
        <w:rPr>
          <w:rFonts w:ascii="Calibri" w:eastAsia="Calibri" w:hAnsi="Calibri" w:cs="Calibri"/>
        </w:rPr>
        <w:t>Furthermore</w:t>
      </w:r>
      <w:r w:rsidRPr="00EC369E">
        <w:rPr>
          <w:rFonts w:ascii="Calibri" w:eastAsia="Calibri" w:hAnsi="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49EC94E8" w:rsidRPr="1F2AE0F4">
        <w:rPr>
          <w:rFonts w:ascii="Calibri" w:eastAsia="Calibri" w:hAnsi="Calibri" w:cs="Calibri"/>
        </w:rPr>
        <w:t>Owuor, J. 2018</w:t>
      </w:r>
      <w:r w:rsidRPr="00EC369E">
        <w:rPr>
          <w:rFonts w:ascii="Calibri" w:eastAsia="Calibri" w:hAnsi="Calibri" w:cs="Calibri"/>
          <w:color w:val="000000" w:themeColor="text1"/>
        </w:rPr>
        <w:t>) (</w:t>
      </w:r>
      <w:r w:rsidR="479598B2" w:rsidRPr="1F2AE0F4">
        <w:rPr>
          <w:rFonts w:ascii="Calibri" w:eastAsia="Calibri" w:hAnsi="Calibri" w:cs="Calibri"/>
        </w:rPr>
        <w:t>Wehmeyer, M.L. 2020</w:t>
      </w:r>
      <w:r w:rsidRPr="00EC369E">
        <w:rPr>
          <w:rFonts w:ascii="Calibri" w:eastAsia="Calibri" w:hAnsi="Calibri" w:cs="Calibri"/>
          <w:color w:val="000000" w:themeColor="text1"/>
        </w:rPr>
        <w:t xml:space="preserve">). </w:t>
      </w:r>
    </w:p>
    <w:p w14:paraId="5EB0E3C5" w14:textId="58C69CC8"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w:t>
      </w:r>
      <w:r w:rsidR="248E663C" w:rsidRPr="1F2AE0F4">
        <w:rPr>
          <w:rFonts w:ascii="Calibri" w:eastAsia="Calibri" w:hAnsi="Calibri" w:cs="Calibri"/>
          <w:color w:val="000000" w:themeColor="text1"/>
        </w:rPr>
        <w:t>a</w:t>
      </w:r>
      <w:r w:rsidR="248E663C" w:rsidRPr="1F2AE0F4">
        <w:rPr>
          <w:rFonts w:ascii="Calibri" w:eastAsia="Calibri" w:hAnsi="Calibri" w:cs="Calibri"/>
        </w:rPr>
        <w:t>ims</w:t>
      </w:r>
      <w:r w:rsidRPr="1F2AE0F4">
        <w:rPr>
          <w:rFonts w:ascii="Calibri" w:eastAsia="Calibri" w:hAnsi="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538AC3F8" w:rsidRPr="1F2AE0F4">
        <w:rPr>
          <w:rFonts w:ascii="Calibri" w:eastAsia="Calibri" w:hAnsi="Calibri" w:cs="Calibri"/>
          <w:color w:val="000000" w:themeColor="text1"/>
        </w:rPr>
        <w:t>hood</w:t>
      </w:r>
      <w:r w:rsidRPr="1F2AE0F4">
        <w:rPr>
          <w:rFonts w:ascii="Calibri" w:eastAsia="Calibri" w:hAnsi="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14:paraId="7E8F5E3A" w14:textId="38BBF626"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is organized into four </w:t>
      </w:r>
      <w:r w:rsidR="2E09B9A7" w:rsidRPr="1F2AE0F4">
        <w:rPr>
          <w:rFonts w:ascii="Calibri" w:eastAsia="Calibri" w:hAnsi="Calibri" w:cs="Calibri"/>
          <w:color w:val="000000" w:themeColor="text1"/>
        </w:rPr>
        <w:t>sections</w:t>
      </w:r>
      <w:r w:rsidR="65111EC0"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introduction</w:t>
      </w:r>
      <w:r w:rsidR="6CD92BFD" w:rsidRPr="1F2AE0F4">
        <w:rPr>
          <w:rFonts w:ascii="Calibri" w:eastAsia="Calibri" w:hAnsi="Calibri" w:cs="Calibri"/>
          <w:color w:val="000000" w:themeColor="text1"/>
        </w:rPr>
        <w:t xml:space="preserve">, methodology, discussion and results and </w:t>
      </w:r>
      <w:r w:rsidRPr="1F2AE0F4">
        <w:rPr>
          <w:rFonts w:ascii="Calibri" w:eastAsia="Calibri" w:hAnsi="Calibri" w:cs="Calibri"/>
          <w:color w:val="000000" w:themeColor="text1"/>
        </w:rPr>
        <w:t xml:space="preserve">conclusions. </w:t>
      </w:r>
      <w:r w:rsidR="0210F2C4"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The methodology describes the process used to search for and select articles and information, where inclusion and exclusion criteria were applied, in addition to using a variety of </w:t>
      </w:r>
      <w:r w:rsidRPr="1F2AE0F4">
        <w:rPr>
          <w:rFonts w:ascii="Calibri" w:eastAsia="Calibri" w:hAnsi="Calibri" w:cs="Calibri"/>
          <w:color w:val="000000" w:themeColor="text1"/>
        </w:rPr>
        <w:lastRenderedPageBreak/>
        <w:t>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04986FEB"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 the discussion section, the interpretation</w:t>
      </w:r>
      <w:r w:rsidR="28DAE8B6"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of the results is explored</w:t>
      </w:r>
      <w:r w:rsidR="45D2D263" w:rsidRPr="1F2AE0F4">
        <w:rPr>
          <w:rFonts w:ascii="Calibri" w:eastAsia="Calibri" w:hAnsi="Calibri" w:cs="Calibri"/>
          <w:color w:val="000000" w:themeColor="text1"/>
        </w:rPr>
        <w:t xml:space="preserve"> by </w:t>
      </w:r>
      <w:r w:rsidRPr="1F2AE0F4">
        <w:rPr>
          <w:rFonts w:ascii="Calibri" w:eastAsia="Calibri" w:hAnsi="Calibri" w:cs="Calibri"/>
          <w:color w:val="000000" w:themeColor="text1"/>
        </w:rPr>
        <w:t xml:space="preserve">exploring both the theoretical and practical implications derived from the findings. Finally, the study's conclusions synthesize the analysis conducted, summarizing the main </w:t>
      </w:r>
      <w:proofErr w:type="gramStart"/>
      <w:r w:rsidRPr="1F2AE0F4">
        <w:rPr>
          <w:rFonts w:ascii="Calibri" w:eastAsia="Calibri" w:hAnsi="Calibri" w:cs="Calibri"/>
          <w:color w:val="000000" w:themeColor="text1"/>
        </w:rPr>
        <w:t>findings</w:t>
      </w:r>
      <w:proofErr w:type="gramEnd"/>
      <w:r w:rsidRPr="1F2AE0F4">
        <w:rPr>
          <w:rFonts w:ascii="Calibri" w:eastAsia="Calibri" w:hAnsi="Calibri" w:cs="Calibri"/>
          <w:color w:val="000000" w:themeColor="text1"/>
        </w:rPr>
        <w:t xml:space="preserve"> and highlighting the significant contribution and relevance of the research to the field of study.</w:t>
      </w:r>
    </w:p>
    <w:p w14:paraId="73FF438C" w14:textId="51D422E8"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Methods</w:t>
      </w:r>
    </w:p>
    <w:p w14:paraId="110009CB" w14:textId="22BC1B5A"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To carry out the systematic review, the PRISMA methodology was used. This methodology was developed by a group of 29 review authors, methodologists, clinicians, medical editors, and consumers (Moher D, 2008). PRISMA focuses on ways in which authors can ensure the transparent and complete reporting of systematic reviews and meta-analyses. It does not address directly or in a detailed manner the conduct of systematic reviews, for which other guides are available.</w:t>
      </w:r>
    </w:p>
    <w:p w14:paraId="507534B9" w14:textId="01BF2BF3"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14:paraId="632493E5" w14:textId="2F9BC1F2"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2.1 Literature Search</w:t>
      </w:r>
      <w:r w:rsidR="00C14F62">
        <w:br/>
      </w:r>
      <w:r w:rsidRPr="38E66F8A">
        <w:rPr>
          <w:rFonts w:ascii="Calibri" w:eastAsia="Calibri" w:hAnsi="Calibri" w:cs="Calibri"/>
        </w:rPr>
        <w:t>A systematic literature search was conducted across various academic databases,</w:t>
      </w:r>
      <w:r w:rsidR="00C14F62">
        <w:br/>
      </w:r>
      <w:r w:rsidRPr="38E66F8A">
        <w:rPr>
          <w:rFonts w:ascii="Calibri" w:eastAsia="Calibri" w:hAnsi="Calibri" w:cs="Calibri"/>
        </w:rPr>
        <w:t xml:space="preserve">specifically Scopus, PubMed, LENS, and Semantic Scholar, to identify studies </w:t>
      </w:r>
      <w:proofErr w:type="spellStart"/>
      <w:r w:rsidRPr="38E66F8A">
        <w:rPr>
          <w:rFonts w:ascii="Calibri" w:eastAsia="Calibri" w:hAnsi="Calibri" w:cs="Calibri"/>
        </w:rPr>
        <w:t>investi</w:t>
      </w:r>
      <w:proofErr w:type="spellEnd"/>
      <w:r w:rsidRPr="38E66F8A">
        <w:rPr>
          <w:rFonts w:ascii="Calibri" w:eastAsia="Calibri" w:hAnsi="Calibri" w:cs="Calibri"/>
        </w:rPr>
        <w:t>-</w:t>
      </w:r>
      <w:r w:rsidR="00C14F62">
        <w:br/>
      </w:r>
      <w:r w:rsidRPr="38E66F8A">
        <w:rPr>
          <w:rFonts w:ascii="Calibri" w:eastAsia="Calibri" w:hAnsi="Calibri" w:cs="Calibri"/>
        </w:rPr>
        <w:t>gating the application of robots and artificial intelligence algorithms in the education</w:t>
      </w:r>
      <w:r w:rsidR="00C14F62">
        <w:br/>
      </w:r>
      <w:r w:rsidRPr="38E66F8A">
        <w:rPr>
          <w:rFonts w:ascii="Calibri" w:eastAsia="Calibri" w:hAnsi="Calibri" w:cs="Calibri"/>
        </w:rPr>
        <w:t xml:space="preserve">and training of individuals with intellectual and developmental disabilities, </w:t>
      </w:r>
      <w:proofErr w:type="spellStart"/>
      <w:r w:rsidRPr="38E66F8A">
        <w:rPr>
          <w:rFonts w:ascii="Calibri" w:eastAsia="Calibri" w:hAnsi="Calibri" w:cs="Calibri"/>
        </w:rPr>
        <w:t>particu</w:t>
      </w:r>
      <w:proofErr w:type="spellEnd"/>
      <w:r w:rsidRPr="38E66F8A">
        <w:rPr>
          <w:rFonts w:ascii="Calibri" w:eastAsia="Calibri" w:hAnsi="Calibri" w:cs="Calibri"/>
        </w:rPr>
        <w:t>-</w:t>
      </w:r>
      <w:r w:rsidR="00C14F62">
        <w:br/>
      </w:r>
      <w:proofErr w:type="spellStart"/>
      <w:r w:rsidRPr="38E66F8A">
        <w:rPr>
          <w:rFonts w:ascii="Calibri" w:eastAsia="Calibri" w:hAnsi="Calibri" w:cs="Calibri"/>
        </w:rPr>
        <w:t>larly</w:t>
      </w:r>
      <w:proofErr w:type="spellEnd"/>
      <w:r w:rsidRPr="38E66F8A">
        <w:rPr>
          <w:rFonts w:ascii="Calibri" w:eastAsia="Calibri" w:hAnsi="Calibri" w:cs="Calibri"/>
        </w:rPr>
        <w:t xml:space="preserve"> focusing on daily living activities. The search equation that was utilized is on</w:t>
      </w:r>
      <w:r w:rsidR="00C14F62">
        <w:br/>
      </w:r>
      <w:r w:rsidRPr="38E66F8A">
        <w:rPr>
          <w:rFonts w:ascii="Calibri" w:eastAsia="Calibri" w:hAnsi="Calibri" w:cs="Calibri"/>
        </w:rPr>
        <w:t>the figure 1.</w:t>
      </w:r>
    </w:p>
    <w:p w14:paraId="760D27A6" w14:textId="6715CA3E"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590B9665" wp14:editId="03C0BC01">
            <wp:extent cx="5715000" cy="3419475"/>
            <wp:effectExtent l="0" t="0" r="0" b="0"/>
            <wp:docPr id="2072198345" name="Imagem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14:paraId="38FB40FE" w14:textId="291F839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Robot* AND (”intellectual disability” OR ”developmental disability” OR ”</w:t>
      </w:r>
      <w:proofErr w:type="spellStart"/>
      <w:r w:rsidRPr="38E66F8A">
        <w:rPr>
          <w:rFonts w:ascii="Calibri" w:eastAsia="Calibri" w:hAnsi="Calibri" w:cs="Calibri"/>
        </w:rPr>
        <w:t>cogni</w:t>
      </w:r>
      <w:proofErr w:type="spellEnd"/>
      <w:r w:rsidRPr="38E66F8A">
        <w:rPr>
          <w:rFonts w:ascii="Calibri" w:eastAsia="Calibri" w:hAnsi="Calibri" w:cs="Calibri"/>
        </w:rPr>
        <w:t>-</w:t>
      </w:r>
      <w:r w:rsidR="00C14F62">
        <w:br/>
      </w:r>
      <w:proofErr w:type="spellStart"/>
      <w:r w:rsidRPr="38E66F8A">
        <w:rPr>
          <w:rFonts w:ascii="Calibri" w:eastAsia="Calibri" w:hAnsi="Calibri" w:cs="Calibri"/>
        </w:rPr>
        <w:t>tive</w:t>
      </w:r>
      <w:proofErr w:type="spellEnd"/>
      <w:r w:rsidRPr="38E66F8A">
        <w:rPr>
          <w:rFonts w:ascii="Calibri" w:eastAsia="Calibri" w:hAnsi="Calibri" w:cs="Calibri"/>
        </w:rPr>
        <w:t xml:space="preserve"> disorder*” OR ”autistic” OR ”autism” OR ”down Syndrome” OR ”trisomy 21”</w:t>
      </w:r>
      <w:r w:rsidR="00C14F62">
        <w:br/>
      </w:r>
      <w:r w:rsidRPr="38E66F8A">
        <w:rPr>
          <w:rFonts w:ascii="Calibri" w:eastAsia="Calibri" w:hAnsi="Calibri" w:cs="Calibri"/>
        </w:rPr>
        <w:t>OR ”cognitive impairment” OR ”cognitive disability” OR ”learning disability” OR</w:t>
      </w:r>
      <w:r w:rsidR="00C14F62">
        <w:br/>
      </w:r>
      <w:r w:rsidRPr="38E66F8A">
        <w:rPr>
          <w:rFonts w:ascii="Calibri" w:eastAsia="Calibri" w:hAnsi="Calibri" w:cs="Calibri"/>
        </w:rPr>
        <w:t>”developmental disability” OR ”developmental disorder” OR ”intellectual deficiency”</w:t>
      </w:r>
      <w:r w:rsidR="00C14F62">
        <w:br/>
      </w:r>
      <w:r w:rsidRPr="38E66F8A">
        <w:rPr>
          <w:rFonts w:ascii="Calibri" w:eastAsia="Calibri" w:hAnsi="Calibri" w:cs="Calibri"/>
        </w:rPr>
        <w:t>OR ”learning disorder” OR ”intellectual disorder”) AND (education OR training OR</w:t>
      </w:r>
      <w:r w:rsidR="00C14F62">
        <w:br/>
      </w:r>
      <w:r w:rsidRPr="38E66F8A">
        <w:rPr>
          <w:rFonts w:ascii="Calibri" w:eastAsia="Calibri" w:hAnsi="Calibri" w:cs="Calibri"/>
        </w:rPr>
        <w:t>learning).</w:t>
      </w:r>
      <w:r w:rsidR="00C14F62">
        <w:br/>
      </w:r>
      <w:r w:rsidRPr="38E66F8A">
        <w:rPr>
          <w:rFonts w:ascii="Calibri" w:eastAsia="Calibri" w:hAnsi="Calibri" w:cs="Calibri"/>
        </w:rPr>
        <w:t>Additionally, a parallel search was conducted in Spanish using the same equation</w:t>
      </w:r>
      <w:r w:rsidR="00C14F62">
        <w:br/>
      </w:r>
      <w:r w:rsidRPr="38E66F8A">
        <w:rPr>
          <w:rFonts w:ascii="Calibri" w:eastAsia="Calibri" w:hAnsi="Calibri" w:cs="Calibri"/>
        </w:rPr>
        <w:t>across the same databases. This bilingual approach broadened the study’s scope,</w:t>
      </w:r>
      <w:r w:rsidR="00C14F62">
        <w:br/>
      </w:r>
      <w:r w:rsidRPr="38E66F8A">
        <w:rPr>
          <w:rFonts w:ascii="Calibri" w:eastAsia="Calibri" w:hAnsi="Calibri" w:cs="Calibri"/>
        </w:rPr>
        <w:t>incorporating diverse perspectives and findings from various linguistic and cultural</w:t>
      </w:r>
      <w:r w:rsidR="00C14F62">
        <w:br/>
      </w:r>
      <w:r w:rsidRPr="38E66F8A">
        <w:rPr>
          <w:rFonts w:ascii="Calibri" w:eastAsia="Calibri" w:hAnsi="Calibri" w:cs="Calibri"/>
        </w:rPr>
        <w:t>backgrounds.</w:t>
      </w:r>
    </w:p>
    <w:p w14:paraId="587DA4E0" w14:textId="78811A54"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2CC91272" wp14:editId="5C858AAE">
            <wp:extent cx="5715000" cy="5705476"/>
            <wp:effectExtent l="0" t="0" r="0" b="0"/>
            <wp:docPr id="1756011301" name="Imagem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14:paraId="09FF521F" w14:textId="4A99DDA0"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2.2 Study Selection</w:t>
      </w:r>
      <w:r>
        <w:br/>
      </w:r>
      <w:r w:rsidRPr="2B77190F">
        <w:rPr>
          <w:rFonts w:ascii="Calibri" w:eastAsia="Calibri" w:hAnsi="Calibri" w:cs="Calibri"/>
        </w:rPr>
        <w:t>The initial phase of study selection involved the removal of duplicate entries. This was</w:t>
      </w:r>
      <w:r>
        <w:br/>
      </w:r>
      <w:r w:rsidRPr="2B77190F">
        <w:rPr>
          <w:rFonts w:ascii="Calibri" w:eastAsia="Calibri" w:hAnsi="Calibri" w:cs="Calibri"/>
        </w:rPr>
        <w:t>carefully performed using Excel through several techniques to ensure the accuracy of</w:t>
      </w:r>
      <w:r>
        <w:br/>
      </w:r>
      <w:r w:rsidRPr="2B77190F">
        <w:rPr>
          <w:rFonts w:ascii="Calibri" w:eastAsia="Calibri" w:hAnsi="Calibri" w:cs="Calibri"/>
        </w:rPr>
        <w:t>the review process:</w:t>
      </w:r>
      <w:r>
        <w:br/>
      </w:r>
      <w:r w:rsidRPr="2B77190F">
        <w:rPr>
          <w:rFonts w:ascii="Calibri" w:eastAsia="Calibri" w:hAnsi="Calibri" w:cs="Calibri"/>
        </w:rPr>
        <w:t>1. DOI Search: Identifying and removing articles with repeated DOIs, as these are</w:t>
      </w:r>
      <w:r>
        <w:br/>
      </w:r>
      <w:r w:rsidRPr="2B77190F">
        <w:rPr>
          <w:rFonts w:ascii="Calibri" w:eastAsia="Calibri" w:hAnsi="Calibri" w:cs="Calibri"/>
        </w:rPr>
        <w:t>unique identifiers for each publication.</w:t>
      </w:r>
      <w:r>
        <w:br/>
      </w:r>
      <w:r w:rsidRPr="2B77190F">
        <w:rPr>
          <w:rFonts w:ascii="Calibri" w:eastAsia="Calibri" w:hAnsi="Calibri" w:cs="Calibri"/>
        </w:rPr>
        <w:t xml:space="preserve">2. Exact Title Match: Eliminating articles with titles that were </w:t>
      </w:r>
      <w:r w:rsidR="7547A99A" w:rsidRPr="2B77190F">
        <w:rPr>
          <w:rFonts w:ascii="Calibri" w:eastAsia="Calibri" w:hAnsi="Calibri" w:cs="Calibri"/>
        </w:rPr>
        <w:t>the same</w:t>
      </w:r>
      <w:r w:rsidRPr="2B77190F">
        <w:rPr>
          <w:rFonts w:ascii="Calibri" w:eastAsia="Calibri" w:hAnsi="Calibri" w:cs="Calibri"/>
        </w:rPr>
        <w:t>,</w:t>
      </w:r>
      <w:r>
        <w:br/>
      </w:r>
      <w:r w:rsidRPr="2B77190F">
        <w:rPr>
          <w:rFonts w:ascii="Calibri" w:eastAsia="Calibri" w:hAnsi="Calibri" w:cs="Calibri"/>
        </w:rPr>
        <w:t>ensuring that only unique studies were considered.</w:t>
      </w:r>
      <w:r>
        <w:br/>
      </w:r>
      <w:r w:rsidRPr="2B77190F">
        <w:rPr>
          <w:rFonts w:ascii="Calibri" w:eastAsia="Calibri" w:hAnsi="Calibri" w:cs="Calibri"/>
        </w:rPr>
        <w:t>3. Title Transformation: Applying a macro to transform titles by removing special</w:t>
      </w:r>
      <w:r>
        <w:br/>
      </w:r>
      <w:r w:rsidRPr="2B77190F">
        <w:rPr>
          <w:rFonts w:ascii="Calibri" w:eastAsia="Calibri" w:hAnsi="Calibri" w:cs="Calibri"/>
        </w:rPr>
        <w:t>characters and converting all letters to lowercase. This step helped identify titles</w:t>
      </w:r>
      <w:r>
        <w:br/>
      </w:r>
      <w:r w:rsidRPr="2B77190F">
        <w:rPr>
          <w:rFonts w:ascii="Calibri" w:eastAsia="Calibri" w:hAnsi="Calibri" w:cs="Calibri"/>
        </w:rPr>
        <w:t xml:space="preserve">that were </w:t>
      </w:r>
      <w:r w:rsidR="20C86DA2" w:rsidRPr="2B77190F">
        <w:rPr>
          <w:rFonts w:ascii="Calibri" w:eastAsia="Calibri" w:hAnsi="Calibri" w:cs="Calibri"/>
        </w:rPr>
        <w:t>the</w:t>
      </w:r>
      <w:r w:rsidRPr="2B77190F">
        <w:rPr>
          <w:rFonts w:ascii="Calibri" w:eastAsia="Calibri" w:hAnsi="Calibri" w:cs="Calibri"/>
        </w:rPr>
        <w:t xml:space="preserve"> same but appeared different due to formatting variances.</w:t>
      </w:r>
    </w:p>
    <w:p w14:paraId="355B6C54" w14:textId="78FBB36C"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lastRenderedPageBreak/>
        <w:t>4. Manual Validation: Finally, a manual review of the remaining duplicates was con-</w:t>
      </w:r>
      <w:r>
        <w:br/>
      </w:r>
      <w:r w:rsidRPr="2B77190F">
        <w:rPr>
          <w:rFonts w:ascii="Calibri" w:eastAsia="Calibri" w:hAnsi="Calibri" w:cs="Calibri"/>
        </w:rPr>
        <w:t>ducted, focusing on entries where titles included the journal name at the beginning,</w:t>
      </w:r>
      <w:r>
        <w:br/>
      </w:r>
      <w:r w:rsidRPr="2B77190F">
        <w:rPr>
          <w:rFonts w:ascii="Calibri" w:eastAsia="Calibri" w:hAnsi="Calibri" w:cs="Calibri"/>
        </w:rPr>
        <w:t>which might have been missed by the automated processes.</w:t>
      </w:r>
      <w:r>
        <w:br/>
      </w:r>
      <w:r w:rsidRPr="2B77190F">
        <w:rPr>
          <w:rFonts w:ascii="Calibri" w:eastAsia="Calibri" w:hAnsi="Calibri" w:cs="Calibri"/>
        </w:rPr>
        <w:t>Following the duplicates removal, an additional filter was applied to only consider</w:t>
      </w:r>
      <w:r>
        <w:br/>
      </w:r>
      <w:r w:rsidRPr="2B77190F">
        <w:rPr>
          <w:rFonts w:ascii="Calibri" w:eastAsia="Calibri" w:hAnsi="Calibri" w:cs="Calibri"/>
        </w:rPr>
        <w:t>articles published within the last decade (2013-2023), aligning the review with the</w:t>
      </w:r>
      <w:r>
        <w:br/>
      </w:r>
      <w:r w:rsidRPr="2B77190F">
        <w:rPr>
          <w:rFonts w:ascii="Calibri" w:eastAsia="Calibri" w:hAnsi="Calibri" w:cs="Calibri"/>
        </w:rPr>
        <w:t>most recent findings.</w:t>
      </w:r>
      <w:r>
        <w:br/>
      </w:r>
      <w:r w:rsidRPr="2B77190F">
        <w:rPr>
          <w:rFonts w:ascii="Calibri" w:eastAsia="Calibri" w:hAnsi="Calibri" w:cs="Calibri"/>
        </w:rPr>
        <w:t>2.2.1 Title Filter</w:t>
      </w:r>
      <w:r>
        <w:br/>
      </w:r>
      <w:r w:rsidRPr="2B77190F">
        <w:rPr>
          <w:rFonts w:ascii="Calibri" w:eastAsia="Calibri" w:hAnsi="Calibri" w:cs="Calibri"/>
        </w:rPr>
        <w:t>Next, a preliminary filtering based on the study titles was carried out manually for all</w:t>
      </w:r>
      <w:r>
        <w:br/>
      </w:r>
      <w:r w:rsidRPr="2B77190F">
        <w:rPr>
          <w:rFonts w:ascii="Calibri" w:eastAsia="Calibri" w:hAnsi="Calibri" w:cs="Calibri"/>
        </w:rPr>
        <w:t>articles by two different members of the team to reduce individual bias. In this filter,</w:t>
      </w:r>
      <w:r>
        <w:br/>
      </w:r>
      <w:r w:rsidRPr="2B77190F">
        <w:rPr>
          <w:rFonts w:ascii="Calibri" w:eastAsia="Calibri" w:hAnsi="Calibri" w:cs="Calibri"/>
        </w:rPr>
        <w:t xml:space="preserve">the title was evaluated to ensure it was related </w:t>
      </w:r>
      <w:r w:rsidR="5A733DDA" w:rsidRPr="2B77190F">
        <w:rPr>
          <w:rFonts w:ascii="Calibri" w:eastAsia="Calibri" w:hAnsi="Calibri" w:cs="Calibri"/>
        </w:rPr>
        <w:t>to</w:t>
      </w:r>
      <w:r w:rsidRPr="2B77190F">
        <w:rPr>
          <w:rFonts w:ascii="Calibri" w:eastAsia="Calibri" w:hAnsi="Calibri" w:cs="Calibri"/>
        </w:rPr>
        <w:t xml:space="preserve"> robots or artificial intelligence,</w:t>
      </w:r>
      <w:r>
        <w:br/>
      </w:r>
      <w:r w:rsidRPr="2B77190F">
        <w:rPr>
          <w:rFonts w:ascii="Calibri" w:eastAsia="Calibri" w:hAnsi="Calibri" w:cs="Calibri"/>
        </w:rPr>
        <w:t>intellectual disability or synonyms, and training or education in daily living activities.</w:t>
      </w:r>
      <w:r>
        <w:br/>
      </w:r>
      <w:r w:rsidRPr="2B77190F">
        <w:rPr>
          <w:rFonts w:ascii="Calibri" w:eastAsia="Calibri" w:hAnsi="Calibri" w:cs="Calibri"/>
        </w:rPr>
        <w:t>The process was carried out in Excel by using a column to check each term, and in</w:t>
      </w:r>
      <w:r>
        <w:br/>
      </w:r>
      <w:r w:rsidRPr="2B77190F">
        <w:rPr>
          <w:rFonts w:ascii="Calibri" w:eastAsia="Calibri" w:hAnsi="Calibri" w:cs="Calibri"/>
        </w:rPr>
        <w:t>the end, only those articles that had all 3 columns completed were selected to proceed</w:t>
      </w:r>
      <w:r>
        <w:br/>
      </w:r>
      <w:r w:rsidRPr="2B77190F">
        <w:rPr>
          <w:rFonts w:ascii="Calibri" w:eastAsia="Calibri" w:hAnsi="Calibri" w:cs="Calibri"/>
        </w:rPr>
        <w:t>in the review process.</w:t>
      </w:r>
      <w:r>
        <w:br/>
      </w:r>
      <w:r w:rsidRPr="2B77190F">
        <w:rPr>
          <w:rFonts w:ascii="Calibri" w:eastAsia="Calibri" w:hAnsi="Calibri" w:cs="Calibri"/>
        </w:rPr>
        <w:t>This approach ensures thorough methodology, minimizing bias and including high-</w:t>
      </w:r>
      <w:r>
        <w:br/>
      </w:r>
      <w:r w:rsidRPr="2B77190F">
        <w:rPr>
          <w:rFonts w:ascii="Calibri" w:eastAsia="Calibri" w:hAnsi="Calibri" w:cs="Calibri"/>
        </w:rPr>
        <w:t>quality research on robots and AI for individuals with disabilities in daily activities.</w:t>
      </w:r>
      <w:r>
        <w:br/>
      </w:r>
      <w:r w:rsidRPr="2B77190F">
        <w:rPr>
          <w:rFonts w:ascii="Calibri" w:eastAsia="Calibri" w:hAnsi="Calibri" w:cs="Calibri"/>
        </w:rPr>
        <w:t>2.2.2 Abstract Filtering</w:t>
      </w:r>
      <w:r>
        <w:br/>
      </w:r>
      <w:r w:rsidRPr="2B77190F">
        <w:rPr>
          <w:rFonts w:ascii="Calibri" w:eastAsia="Calibri" w:hAnsi="Calibri" w:cs="Calibri"/>
        </w:rPr>
        <w:t xml:space="preserve">A comprehensive analysis of abstracts was conducted using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to address key</w:t>
      </w:r>
      <w:r>
        <w:br/>
      </w:r>
      <w:r w:rsidRPr="2B77190F">
        <w:rPr>
          <w:rFonts w:ascii="Calibri" w:eastAsia="Calibri" w:hAnsi="Calibri" w:cs="Calibri"/>
        </w:rPr>
        <w:t>questions regarding the implementation of social robots or artificial intelligence, the</w:t>
      </w:r>
      <w:r>
        <w:br/>
      </w:r>
      <w:r w:rsidRPr="2B77190F">
        <w:rPr>
          <w:rFonts w:ascii="Calibri" w:eastAsia="Calibri" w:hAnsi="Calibri" w:cs="Calibri"/>
        </w:rPr>
        <w:t>target population, and the focus on daily living activities, training, education, or</w:t>
      </w:r>
      <w:r>
        <w:br/>
      </w:r>
      <w:r w:rsidRPr="2B77190F">
        <w:rPr>
          <w:rFonts w:ascii="Calibri" w:eastAsia="Calibri" w:hAnsi="Calibri" w:cs="Calibri"/>
        </w:rPr>
        <w:t>learning. The following questions were employed:</w:t>
      </w:r>
      <w:r>
        <w:br/>
      </w:r>
      <w:r w:rsidRPr="2B77190F">
        <w:rPr>
          <w:rFonts w:ascii="Calibri" w:eastAsia="Calibri" w:hAnsi="Calibri" w:cs="Calibri"/>
        </w:rPr>
        <w:t>1. Is there any social robot or artificial intelligence used?</w:t>
      </w:r>
      <w:r>
        <w:br/>
      </w:r>
      <w:r w:rsidRPr="2B77190F">
        <w:rPr>
          <w:rFonts w:ascii="Calibri" w:eastAsia="Calibri" w:hAnsi="Calibri" w:cs="Calibri"/>
        </w:rPr>
        <w:t xml:space="preserve">2. </w:t>
      </w:r>
      <w:proofErr w:type="gramStart"/>
      <w:r w:rsidRPr="2B77190F">
        <w:rPr>
          <w:rFonts w:ascii="Calibri" w:eastAsia="Calibri" w:hAnsi="Calibri" w:cs="Calibri"/>
        </w:rPr>
        <w:t>Is</w:t>
      </w:r>
      <w:proofErr w:type="gramEnd"/>
      <w:r w:rsidRPr="2B77190F">
        <w:rPr>
          <w:rFonts w:ascii="Calibri" w:eastAsia="Calibri" w:hAnsi="Calibri" w:cs="Calibri"/>
        </w:rPr>
        <w:t xml:space="preserve"> there the target population individuals on the autism spectrum or with some</w:t>
      </w:r>
      <w:r>
        <w:br/>
      </w:r>
      <w:r w:rsidRPr="2B77190F">
        <w:rPr>
          <w:rFonts w:ascii="Calibri" w:eastAsia="Calibri" w:hAnsi="Calibri" w:cs="Calibri"/>
        </w:rPr>
        <w:t>intellectual disability?</w:t>
      </w:r>
      <w:r>
        <w:br/>
      </w:r>
      <w:r w:rsidRPr="2B77190F">
        <w:rPr>
          <w:rFonts w:ascii="Calibri" w:eastAsia="Calibri" w:hAnsi="Calibri" w:cs="Calibri"/>
        </w:rPr>
        <w:t>3. Are there exercises related to activities of daily living, training, education, or</w:t>
      </w:r>
      <w:r>
        <w:br/>
      </w:r>
      <w:r w:rsidRPr="2B77190F">
        <w:rPr>
          <w:rFonts w:ascii="Calibri" w:eastAsia="Calibri" w:hAnsi="Calibri" w:cs="Calibri"/>
        </w:rPr>
        <w:t>learning conducted?</w:t>
      </w:r>
      <w:r>
        <w:br/>
      </w:r>
      <w:r w:rsidRPr="2B77190F">
        <w:rPr>
          <w:rFonts w:ascii="Calibri" w:eastAsia="Calibri" w:hAnsi="Calibri" w:cs="Calibri"/>
        </w:rPr>
        <w:t xml:space="preserve">The responses generated by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were entered into an Excel table to validate a</w:t>
      </w:r>
      <w:r>
        <w:br/>
      </w:r>
      <w:r w:rsidRPr="2B77190F">
        <w:rPr>
          <w:rFonts w:ascii="Calibri" w:eastAsia="Calibri" w:hAnsi="Calibri" w:cs="Calibri"/>
        </w:rPr>
        <w:t>random sample of approximately 60% of the articles manually. This validation process</w:t>
      </w:r>
      <w:r>
        <w:br/>
      </w:r>
      <w:r w:rsidRPr="2B77190F">
        <w:rPr>
          <w:rFonts w:ascii="Calibri" w:eastAsia="Calibri" w:hAnsi="Calibri" w:cs="Calibri"/>
        </w:rPr>
        <w:t>aimed to verify the accuracy of the results and to select those articles that received</w:t>
      </w:r>
      <w:r>
        <w:br/>
      </w:r>
      <w:r w:rsidRPr="2B77190F">
        <w:rPr>
          <w:rFonts w:ascii="Calibri" w:eastAsia="Calibri" w:hAnsi="Calibri" w:cs="Calibri"/>
        </w:rPr>
        <w:t>a positive response to all three questions. Only articles meeting these criteria were</w:t>
      </w:r>
      <w:r>
        <w:br/>
      </w:r>
      <w:r w:rsidRPr="2B77190F">
        <w:rPr>
          <w:rFonts w:ascii="Calibri" w:eastAsia="Calibri" w:hAnsi="Calibri" w:cs="Calibri"/>
        </w:rPr>
        <w:t>selected for further review.</w:t>
      </w:r>
      <w:r>
        <w:br/>
      </w:r>
      <w:r w:rsidRPr="2B77190F">
        <w:rPr>
          <w:rFonts w:ascii="Calibri" w:eastAsia="Calibri" w:hAnsi="Calibri" w:cs="Calibri"/>
        </w:rPr>
        <w:t>2.2.3 Full-Text Analysis</w:t>
      </w:r>
      <w:r>
        <w:br/>
      </w:r>
      <w:r w:rsidRPr="2B77190F">
        <w:rPr>
          <w:rFonts w:ascii="Calibri" w:eastAsia="Calibri" w:hAnsi="Calibri" w:cs="Calibri"/>
        </w:rPr>
        <w:t xml:space="preserve">For a deeper understanding,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examined the full text of pre-selected studies,</w:t>
      </w:r>
      <w:r>
        <w:br/>
      </w:r>
      <w:r w:rsidRPr="2B77190F">
        <w:rPr>
          <w:rFonts w:ascii="Calibri" w:eastAsia="Calibri" w:hAnsi="Calibri" w:cs="Calibri"/>
        </w:rPr>
        <w:t>focusing on the types of robots or AI algorithms, the ages of subjects, and the types</w:t>
      </w:r>
      <w:r>
        <w:br/>
      </w:r>
      <w:r w:rsidRPr="2B77190F">
        <w:rPr>
          <w:rFonts w:ascii="Calibri" w:eastAsia="Calibri" w:hAnsi="Calibri" w:cs="Calibri"/>
        </w:rPr>
        <w:t>of intellectual disabilities addressed. Each article was analyzed with the following</w:t>
      </w:r>
      <w:r>
        <w:br/>
      </w:r>
      <w:r w:rsidRPr="2B77190F">
        <w:rPr>
          <w:rFonts w:ascii="Calibri" w:eastAsia="Calibri" w:hAnsi="Calibri" w:cs="Calibri"/>
        </w:rPr>
        <w:t>questions:</w:t>
      </w:r>
      <w:r>
        <w:br/>
      </w:r>
      <w:r w:rsidRPr="2B77190F">
        <w:rPr>
          <w:rFonts w:ascii="Calibri" w:eastAsia="Calibri" w:hAnsi="Calibri" w:cs="Calibri"/>
        </w:rPr>
        <w:t>1. What was the type of robots or AI algorithms involved?</w:t>
      </w:r>
      <w:r>
        <w:br/>
      </w:r>
      <w:r w:rsidRPr="2B77190F">
        <w:rPr>
          <w:rFonts w:ascii="Calibri" w:eastAsia="Calibri" w:hAnsi="Calibri" w:cs="Calibri"/>
        </w:rPr>
        <w:lastRenderedPageBreak/>
        <w:t>2. What were the ages of the subjects involved in the study?</w:t>
      </w:r>
      <w:r>
        <w:br/>
      </w:r>
      <w:r w:rsidRPr="2B77190F">
        <w:rPr>
          <w:rFonts w:ascii="Calibri" w:eastAsia="Calibri" w:hAnsi="Calibri" w:cs="Calibri"/>
        </w:rPr>
        <w:t>3. What were the types of intellectual disabilities of the subjects involved in the study?</w:t>
      </w:r>
    </w:p>
    <w:p w14:paraId="03ADA0BF" w14:textId="43EEE654"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In this case, a manual validation of 60% of the articles was also conducted. Excel</w:t>
      </w:r>
      <w:r>
        <w:br/>
      </w:r>
      <w:r w:rsidRPr="2B77190F">
        <w:rPr>
          <w:rFonts w:ascii="Calibri" w:eastAsia="Calibri" w:hAnsi="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br/>
      </w:r>
      <w:r w:rsidRPr="2B77190F">
        <w:rPr>
          <w:rFonts w:ascii="Calibri" w:eastAsia="Calibri" w:hAnsi="Calibri" w:cs="Calibri"/>
        </w:rPr>
        <w:t>Robot with AI. In the next column, the age of the participants was classified as Chil-</w:t>
      </w:r>
      <w:r>
        <w:br/>
      </w:r>
      <w:proofErr w:type="spellStart"/>
      <w:r w:rsidRPr="2B77190F">
        <w:rPr>
          <w:rFonts w:ascii="Calibri" w:eastAsia="Calibri" w:hAnsi="Calibri" w:cs="Calibri"/>
        </w:rPr>
        <w:t>dren</w:t>
      </w:r>
      <w:proofErr w:type="spellEnd"/>
      <w:r w:rsidRPr="2B77190F">
        <w:rPr>
          <w:rFonts w:ascii="Calibri" w:eastAsia="Calibri" w:hAnsi="Calibri" w:cs="Calibri"/>
        </w:rPr>
        <w:t>, Teenagers, Younger</w:t>
      </w:r>
      <w:r w:rsidR="2E57E7AC" w:rsidRPr="2B77190F">
        <w:rPr>
          <w:rFonts w:ascii="Calibri" w:eastAsia="Calibri" w:hAnsi="Calibri" w:cs="Calibri"/>
        </w:rPr>
        <w:t xml:space="preserve"> </w:t>
      </w:r>
      <w:r w:rsidRPr="2B77190F">
        <w:rPr>
          <w:rFonts w:ascii="Calibri" w:eastAsia="Calibri" w:hAnsi="Calibri" w:cs="Calibri"/>
        </w:rPr>
        <w:t>Adults, Adults, Older Adults, or Not Specified Age Range.</w:t>
      </w:r>
      <w:r>
        <w:br/>
      </w:r>
      <w:r w:rsidRPr="2B77190F">
        <w:rPr>
          <w:rFonts w:ascii="Calibri" w:eastAsia="Calibri" w:hAnsi="Calibri" w:cs="Calibri"/>
        </w:rPr>
        <w:t>In the last column referring to the type of intellectual disability, it was classified as</w:t>
      </w:r>
      <w:r>
        <w:br/>
      </w:r>
      <w:r w:rsidRPr="2B77190F">
        <w:rPr>
          <w:rFonts w:ascii="Calibri" w:eastAsia="Calibri" w:hAnsi="Calibri" w:cs="Calibri"/>
        </w:rPr>
        <w:t>Autism Spectrum Disorder (ASD), Intellectual Disability, Mild Cognitive Impairment,</w:t>
      </w:r>
      <w:r>
        <w:br/>
      </w:r>
      <w:r w:rsidRPr="2B77190F">
        <w:rPr>
          <w:rFonts w:ascii="Calibri" w:eastAsia="Calibri" w:hAnsi="Calibri" w:cs="Calibri"/>
        </w:rPr>
        <w:t>and Others.</w:t>
      </w:r>
      <w:r>
        <w:br/>
      </w:r>
      <w:r w:rsidRPr="2B77190F">
        <w:rPr>
          <w:rFonts w:ascii="Calibri" w:eastAsia="Calibri" w:hAnsi="Calibri" w:cs="Calibri"/>
        </w:rPr>
        <w:t>Based on this classification, articles related to Adults, Older Adults, and No Spe-</w:t>
      </w:r>
      <w:r>
        <w:br/>
      </w:r>
      <w:proofErr w:type="spellStart"/>
      <w:r w:rsidRPr="2B77190F">
        <w:rPr>
          <w:rFonts w:ascii="Calibri" w:eastAsia="Calibri" w:hAnsi="Calibri" w:cs="Calibri"/>
        </w:rPr>
        <w:t>cific</w:t>
      </w:r>
      <w:proofErr w:type="spellEnd"/>
      <w:r w:rsidRPr="2B77190F">
        <w:rPr>
          <w:rFonts w:ascii="Calibri" w:eastAsia="Calibri" w:hAnsi="Calibri" w:cs="Calibri"/>
        </w:rPr>
        <w:t xml:space="preserve"> Age Range were eliminated. This process resulted in a final selection of 97 articles</w:t>
      </w:r>
      <w:r>
        <w:br/>
      </w:r>
      <w:r w:rsidRPr="2B77190F">
        <w:rPr>
          <w:rFonts w:ascii="Calibri" w:eastAsia="Calibri" w:hAnsi="Calibri" w:cs="Calibri"/>
        </w:rPr>
        <w:t>for further analysis. A graphical representation of the applied filter is shown in the</w:t>
      </w:r>
      <w:r>
        <w:br/>
      </w:r>
      <w:r w:rsidRPr="2B77190F">
        <w:rPr>
          <w:rFonts w:ascii="Calibri" w:eastAsia="Calibri" w:hAnsi="Calibri" w:cs="Calibri"/>
        </w:rPr>
        <w:t>figure 3.</w:t>
      </w:r>
    </w:p>
    <w:p w14:paraId="4564AE2A" w14:textId="64E4B699" w:rsidR="00080B45" w:rsidRDefault="704AD576" w:rsidP="38E66F8A">
      <w:pPr>
        <w:jc w:val="both"/>
        <w:rPr>
          <w:rFonts w:ascii="Calibri" w:eastAsia="Calibri" w:hAnsi="Calibri" w:cs="Calibri"/>
          <w:color w:val="000000" w:themeColor="text1"/>
        </w:rPr>
      </w:pPr>
      <w:r>
        <w:rPr>
          <w:noProof/>
        </w:rPr>
        <w:drawing>
          <wp:inline distT="0" distB="0" distL="0" distR="0" wp14:anchorId="79F50448" wp14:editId="3FC6FEC9">
            <wp:extent cx="5715000" cy="3933825"/>
            <wp:effectExtent l="0" t="0" r="0" b="0"/>
            <wp:docPr id="881327300" name="Imagem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14:paraId="1E20DA57" w14:textId="66222561"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This structured and detailed methodology ensures a comprehensive and systematic</w:t>
      </w:r>
      <w:r w:rsidR="00C14F62">
        <w:br/>
      </w:r>
      <w:r w:rsidRPr="38E66F8A">
        <w:rPr>
          <w:rFonts w:ascii="Calibri" w:eastAsia="Calibri" w:hAnsi="Calibri" w:cs="Calibri"/>
        </w:rPr>
        <w:t>review of the existing literature in the field of study. By employing both manual</w:t>
      </w:r>
      <w:r w:rsidR="00C14F62">
        <w:br/>
      </w:r>
      <w:r w:rsidRPr="38E66F8A">
        <w:rPr>
          <w:rFonts w:ascii="Calibri" w:eastAsia="Calibri" w:hAnsi="Calibri" w:cs="Calibri"/>
        </w:rPr>
        <w:lastRenderedPageBreak/>
        <w:t>and artificial intelligence-assisted analysis, the precision and relevance of the selected</w:t>
      </w:r>
      <w:r w:rsidR="00C14F62">
        <w:br/>
      </w:r>
      <w:r w:rsidRPr="38E66F8A">
        <w:rPr>
          <w:rFonts w:ascii="Calibri" w:eastAsia="Calibri" w:hAnsi="Calibri" w:cs="Calibri"/>
        </w:rPr>
        <w:t>studies for this review were maximized.</w:t>
      </w:r>
    </w:p>
    <w:p w14:paraId="600904E7" w14:textId="4B69610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2.3 Extract Information</w:t>
      </w:r>
      <w:r w:rsidR="00C14F62">
        <w:br/>
      </w:r>
      <w:r w:rsidRPr="00EC369E">
        <w:rPr>
          <w:rFonts w:ascii="Calibri" w:eastAsia="Calibri" w:hAnsi="Calibri" w:cs="Calibri"/>
        </w:rPr>
        <w:t>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\ref{</w:t>
      </w:r>
      <w:proofErr w:type="spellStart"/>
      <w:r w:rsidRPr="00EC369E">
        <w:rPr>
          <w:rFonts w:ascii="Calibri" w:eastAsia="Calibri" w:hAnsi="Calibri" w:cs="Calibri"/>
        </w:rPr>
        <w:t>tab:my-table</w:t>
      </w:r>
      <w:proofErr w:type="spellEnd"/>
      <w:r w:rsidRPr="00EC369E">
        <w:rPr>
          <w:rFonts w:ascii="Calibri" w:eastAsia="Calibri" w:hAnsi="Calibri" w:cs="Calibri"/>
        </w:rPr>
        <w:t xml:space="preserve">}. After this,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used to analyze the complete text and provide answers to each of the questions posed. The answers were stored in an Excel file after two group members manually verified approximately 60\% of the responses against the original articles to ensure the information provided by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accurate.</w:t>
      </w:r>
    </w:p>
    <w:p w14:paraId="16ECCC52" w14:textId="6DD511F8"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 xml:space="preserve"> </w:t>
      </w:r>
    </w:p>
    <w:p w14:paraId="2FD305D5" w14:textId="67ED9497"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14:paraId="07D8337C" w14:textId="08C6B660" w:rsidR="00080B45" w:rsidRDefault="704AD576" w:rsidP="1F2AE0F4">
      <w:pPr>
        <w:jc w:val="both"/>
        <w:rPr>
          <w:rFonts w:ascii="Calibri" w:eastAsia="Calibri" w:hAnsi="Calibri" w:cs="Calibri"/>
          <w:color w:val="000000" w:themeColor="text1"/>
        </w:rPr>
      </w:pPr>
      <w:r w:rsidRPr="1F2AE0F4">
        <w:rPr>
          <w:rFonts w:ascii="Calibri" w:eastAsia="Calibri" w:hAnsi="Calibri" w:cs="Calibri"/>
        </w:rPr>
        <w:t xml:space="preserve">TABLA: </w:t>
      </w:r>
      <w:hyperlink r:id="rId13">
        <w:r w:rsidRPr="1F2AE0F4">
          <w:rPr>
            <w:rStyle w:val="Hyperlink"/>
            <w:rFonts w:ascii="Calibri" w:eastAsia="Calibri" w:hAnsi="Calibri" w:cs="Calibri"/>
          </w:rPr>
          <w:t>Review_FORTIVA_Tabla.docx</w:t>
        </w:r>
      </w:hyperlink>
    </w:p>
    <w:p w14:paraId="20B7F549" w14:textId="6FE29F00"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Results</w:t>
      </w:r>
    </w:p>
    <w:p w14:paraId="4205D88E" w14:textId="29977880" w:rsidR="00BB6963" w:rsidRPr="00BB6963" w:rsidRDefault="00BB6963" w:rsidP="00BB6963">
      <w:r>
        <w:t xml:space="preserve">We have organized our results around three main areas: </w:t>
      </w:r>
      <w:r w:rsidR="00147B8F">
        <w:t>targets (objectives and population)</w:t>
      </w:r>
      <w:r>
        <w:t>,</w:t>
      </w:r>
      <w:r w:rsidR="00147B8F">
        <w:t xml:space="preserve"> tools (strategies and technologies), and findings (information processing, outcomes, and barriers). Each one has also been subdivided in classes, according to the main aspects </w:t>
      </w:r>
      <w:r w:rsidR="00147B8F">
        <w:t>found during the review</w:t>
      </w:r>
      <w:r w:rsidR="00147B8F">
        <w:t xml:space="preserve"> within that area. </w:t>
      </w:r>
    </w:p>
    <w:p w14:paraId="6B40FB0A" w14:textId="3379E59F" w:rsidR="00080B45" w:rsidRDefault="00BB6963" w:rsidP="38E66F8A">
      <w:pPr>
        <w:pStyle w:val="Heading2"/>
        <w:spacing w:before="40" w:after="0"/>
        <w:rPr>
          <w:rFonts w:ascii="Calibri" w:eastAsia="Calibri" w:hAnsi="Calibri" w:cs="Calibri"/>
          <w:color w:val="2F5496"/>
          <w:sz w:val="24"/>
          <w:szCs w:val="24"/>
        </w:rPr>
      </w:pPr>
      <w:r>
        <w:rPr>
          <w:rFonts w:ascii="Calibri" w:eastAsia="Calibri" w:hAnsi="Calibri" w:cs="Calibri"/>
          <w:color w:val="2F5496"/>
          <w:sz w:val="24"/>
          <w:szCs w:val="24"/>
        </w:rPr>
        <w:t>Targets</w:t>
      </w:r>
    </w:p>
    <w:p w14:paraId="550BFC1C" w14:textId="351F7894" w:rsidR="00080B45" w:rsidRDefault="704AD576" w:rsidP="00147B8F">
      <w:pPr>
        <w:spacing w:after="0"/>
        <w:rPr>
          <w:rFonts w:ascii="Calibri" w:eastAsia="Calibri" w:hAnsi="Calibri" w:cs="Calibri"/>
          <w:color w:val="2F5496"/>
        </w:rPr>
      </w:pPr>
      <w:r w:rsidRPr="38E66F8A">
        <w:rPr>
          <w:rFonts w:ascii="Calibri" w:eastAsia="Calibri" w:hAnsi="Calibri" w:cs="Calibri"/>
          <w:color w:val="2F5496"/>
        </w:rPr>
        <w:t>Objectives</w:t>
      </w:r>
    </w:p>
    <w:p w14:paraId="7C7ADB9A" w14:textId="64630E99" w:rsidR="00257AE4" w:rsidRDefault="00147B8F" w:rsidP="00A80167">
      <w:r>
        <w:rPr>
          <w:rFonts w:eastAsia="Calibri"/>
        </w:rPr>
        <w:t>We decided to group our findings in this area in eight main categories: s</w:t>
      </w:r>
      <w:r w:rsidRPr="00147B8F">
        <w:rPr>
          <w:rFonts w:eastAsia="Calibri"/>
        </w:rPr>
        <w:t xml:space="preserve">ocial </w:t>
      </w:r>
      <w:r>
        <w:rPr>
          <w:rFonts w:eastAsia="Calibri"/>
        </w:rPr>
        <w:t>c</w:t>
      </w:r>
      <w:r w:rsidRPr="00147B8F">
        <w:rPr>
          <w:rFonts w:eastAsia="Calibri"/>
        </w:rPr>
        <w:t>ommunication skills</w:t>
      </w:r>
      <w:r>
        <w:rPr>
          <w:rFonts w:eastAsia="Calibri"/>
        </w:rPr>
        <w:t>, e</w:t>
      </w:r>
      <w:r w:rsidRPr="00147B8F">
        <w:rPr>
          <w:rFonts w:eastAsia="Calibri"/>
        </w:rPr>
        <w:t xml:space="preserve">motional </w:t>
      </w:r>
      <w:r w:rsidR="00A401C6">
        <w:rPr>
          <w:rFonts w:eastAsia="Calibri"/>
        </w:rPr>
        <w:t>i</w:t>
      </w:r>
      <w:r w:rsidRPr="00147B8F">
        <w:rPr>
          <w:rFonts w:eastAsia="Calibri"/>
        </w:rPr>
        <w:t>ntelligence skills</w:t>
      </w:r>
      <w:r>
        <w:rPr>
          <w:rFonts w:eastAsia="Calibri"/>
        </w:rPr>
        <w:t>,</w:t>
      </w:r>
      <w:r w:rsidRPr="00147B8F">
        <w:rPr>
          <w:rFonts w:eastAsia="Calibri"/>
        </w:rPr>
        <w:t xml:space="preserve"> </w:t>
      </w:r>
      <w:r>
        <w:rPr>
          <w:rFonts w:eastAsia="Calibri"/>
        </w:rPr>
        <w:t>l</w:t>
      </w:r>
      <w:r w:rsidRPr="00147B8F">
        <w:rPr>
          <w:rFonts w:eastAsia="Calibri"/>
        </w:rPr>
        <w:t xml:space="preserve">anguage and </w:t>
      </w:r>
      <w:r>
        <w:rPr>
          <w:rFonts w:eastAsia="Calibri"/>
        </w:rPr>
        <w:t>s</w:t>
      </w:r>
      <w:r w:rsidRPr="00147B8F">
        <w:rPr>
          <w:rFonts w:eastAsia="Calibri"/>
        </w:rPr>
        <w:t xml:space="preserve">peech skills </w:t>
      </w:r>
      <w:r>
        <w:rPr>
          <w:rFonts w:eastAsia="Calibri"/>
        </w:rPr>
        <w:t>, c</w:t>
      </w:r>
      <w:r w:rsidRPr="00147B8F">
        <w:rPr>
          <w:rFonts w:eastAsia="Calibri"/>
        </w:rPr>
        <w:t>ognitive</w:t>
      </w:r>
      <w:r>
        <w:rPr>
          <w:rFonts w:eastAsia="Calibri"/>
        </w:rPr>
        <w:t>, s</w:t>
      </w:r>
      <w:r w:rsidRPr="00147B8F">
        <w:rPr>
          <w:rFonts w:eastAsia="Calibri"/>
        </w:rPr>
        <w:t xml:space="preserve">ocial </w:t>
      </w:r>
      <w:r w:rsidR="00A401C6">
        <w:rPr>
          <w:rFonts w:eastAsia="Calibri"/>
        </w:rPr>
        <w:t>c</w:t>
      </w:r>
      <w:r w:rsidRPr="00147B8F">
        <w:rPr>
          <w:rFonts w:eastAsia="Calibri"/>
        </w:rPr>
        <w:t>ognition skills</w:t>
      </w:r>
      <w:r>
        <w:rPr>
          <w:rFonts w:eastAsia="Calibri"/>
        </w:rPr>
        <w:t>, p</w:t>
      </w:r>
      <w:r w:rsidRPr="00147B8F">
        <w:rPr>
          <w:rFonts w:eastAsia="Calibri"/>
        </w:rPr>
        <w:t xml:space="preserve">hysical and </w:t>
      </w:r>
      <w:r>
        <w:rPr>
          <w:rFonts w:eastAsia="Calibri"/>
        </w:rPr>
        <w:t>m</w:t>
      </w:r>
      <w:r w:rsidRPr="00147B8F">
        <w:rPr>
          <w:rFonts w:eastAsia="Calibri"/>
        </w:rPr>
        <w:t xml:space="preserve">otor </w:t>
      </w:r>
      <w:r>
        <w:rPr>
          <w:rFonts w:eastAsia="Calibri"/>
        </w:rPr>
        <w:t>d</w:t>
      </w:r>
      <w:r w:rsidRPr="00147B8F">
        <w:rPr>
          <w:rFonts w:eastAsia="Calibri"/>
        </w:rPr>
        <w:t>evelopment skills</w:t>
      </w:r>
      <w:r>
        <w:rPr>
          <w:rFonts w:eastAsia="Calibri"/>
        </w:rPr>
        <w:t>, and</w:t>
      </w:r>
      <w:r w:rsidRPr="00147B8F">
        <w:rPr>
          <w:rFonts w:eastAsia="Calibri"/>
        </w:rPr>
        <w:t xml:space="preserve"> </w:t>
      </w:r>
      <w:r>
        <w:rPr>
          <w:rFonts w:eastAsia="Calibri"/>
        </w:rPr>
        <w:t>s</w:t>
      </w:r>
      <w:r w:rsidRPr="00147B8F">
        <w:rPr>
          <w:rFonts w:eastAsia="Calibri"/>
        </w:rPr>
        <w:t>elf-</w:t>
      </w:r>
      <w:r>
        <w:rPr>
          <w:rFonts w:eastAsia="Calibri"/>
        </w:rPr>
        <w:t>m</w:t>
      </w:r>
      <w:r w:rsidRPr="00147B8F">
        <w:rPr>
          <w:rFonts w:eastAsia="Calibri"/>
        </w:rPr>
        <w:t xml:space="preserve">anagement and </w:t>
      </w:r>
      <w:r>
        <w:rPr>
          <w:rFonts w:eastAsia="Calibri"/>
        </w:rPr>
        <w:t>a</w:t>
      </w:r>
      <w:r w:rsidRPr="00147B8F">
        <w:rPr>
          <w:rFonts w:eastAsia="Calibri"/>
        </w:rPr>
        <w:t xml:space="preserve">daptive </w:t>
      </w:r>
      <w:r w:rsidR="00A401C6">
        <w:rPr>
          <w:rFonts w:eastAsia="Calibri"/>
        </w:rPr>
        <w:t>s</w:t>
      </w:r>
      <w:r w:rsidRPr="00147B8F">
        <w:rPr>
          <w:rFonts w:eastAsia="Calibri"/>
        </w:rPr>
        <w:t>kills</w:t>
      </w:r>
      <w:r w:rsidR="00A401C6">
        <w:rPr>
          <w:rFonts w:eastAsia="Calibri"/>
        </w:rPr>
        <w:t>. Some studies aimed simultaneously to several of these categories, while others focused only in one of them.</w:t>
      </w:r>
    </w:p>
    <w:p w14:paraId="6FCBF81D" w14:textId="4D3BBD96" w:rsidR="00257AE4" w:rsidRDefault="00257AE4" w:rsidP="00A80167">
      <w:r w:rsidRPr="00257AE4">
        <w:t xml:space="preserve">Eighty-three papers focused on developing or evaluating social communication. </w:t>
      </w:r>
      <w:r w:rsidR="009E4CC7">
        <w:t xml:space="preserve">Among these, we find </w:t>
      </w:r>
      <w:r w:rsidR="009E4CC7" w:rsidRPr="00257AE4">
        <w:t xml:space="preserve">Lee et al., 2013; Carlson et al., 2018; </w:t>
      </w:r>
      <w:proofErr w:type="spellStart"/>
      <w:r w:rsidR="009E4CC7" w:rsidRPr="00257AE4">
        <w:t>Kajopoulos</w:t>
      </w:r>
      <w:proofErr w:type="spellEnd"/>
      <w:r w:rsidR="009E4CC7" w:rsidRPr="00257AE4">
        <w:t xml:space="preserve"> et al., 2015</w:t>
      </w:r>
      <w:r w:rsidR="009E4CC7">
        <w:t xml:space="preserve">; </w:t>
      </w:r>
      <w:r w:rsidR="009E4CC7" w:rsidRPr="00257AE4">
        <w:t>Silvera-Tawil et al., 2018; Talaei-</w:t>
      </w:r>
      <w:proofErr w:type="spellStart"/>
      <w:r w:rsidR="009E4CC7" w:rsidRPr="00257AE4">
        <w:t>Khoeli</w:t>
      </w:r>
      <w:proofErr w:type="spellEnd"/>
      <w:r w:rsidR="009E4CC7" w:rsidRPr="00257AE4">
        <w:t xml:space="preserve"> et al., 2017; Tobar et al., 2021; Costa et al., 2014</w:t>
      </w:r>
      <w:r w:rsidR="009E4CC7">
        <w:t xml:space="preserve">; </w:t>
      </w:r>
      <w:r w:rsidR="009E4CC7" w:rsidRPr="00257AE4">
        <w:t xml:space="preserve">Taheri et al., </w:t>
      </w:r>
      <w:r w:rsidR="009E4CC7" w:rsidRPr="00257AE4">
        <w:lastRenderedPageBreak/>
        <w:t>2016, Taheri et al., 2019</w:t>
      </w:r>
      <w:r w:rsidR="009E4CC7">
        <w:t xml:space="preserve">; </w:t>
      </w:r>
      <w:r w:rsidR="009E4CC7" w:rsidRPr="00257AE4">
        <w:t>Silva et al., 2023</w:t>
      </w:r>
      <w:r w:rsidR="009E4CC7">
        <w:t xml:space="preserve">; </w:t>
      </w:r>
      <w:proofErr w:type="spellStart"/>
      <w:r w:rsidR="009E4CC7" w:rsidRPr="00257AE4">
        <w:t>Miskam</w:t>
      </w:r>
      <w:proofErr w:type="spellEnd"/>
      <w:r w:rsidR="009E4CC7" w:rsidRPr="00257AE4">
        <w:t xml:space="preserve"> et al., 2013; She &amp; Ren, 202</w:t>
      </w:r>
      <w:r w:rsidR="009E4CC7">
        <w:t xml:space="preserve">; </w:t>
      </w:r>
      <w:r w:rsidR="009E4CC7" w:rsidRPr="00257AE4">
        <w:t>Scassellati et al., 2018</w:t>
      </w:r>
      <w:r w:rsidR="009E4CC7">
        <w:t xml:space="preserve">; </w:t>
      </w:r>
      <w:proofErr w:type="spellStart"/>
      <w:r w:rsidR="009E4CC7" w:rsidRPr="00257AE4">
        <w:t>Zhanatkyzy</w:t>
      </w:r>
      <w:proofErr w:type="spellEnd"/>
      <w:r w:rsidR="009E4CC7" w:rsidRPr="00257AE4">
        <w:t xml:space="preserve"> et al., 2020</w:t>
      </w:r>
      <w:r w:rsidR="009E4CC7">
        <w:t xml:space="preserve">; </w:t>
      </w:r>
      <w:r w:rsidR="009E4CC7" w:rsidRPr="00257AE4">
        <w:t>Tobar et al., 2021</w:t>
      </w:r>
      <w:r w:rsidR="009E4CC7">
        <w:t xml:space="preserve">; and </w:t>
      </w:r>
      <w:proofErr w:type="spellStart"/>
      <w:r w:rsidR="009E4CC7" w:rsidRPr="00257AE4">
        <w:t>Marathaki</w:t>
      </w:r>
      <w:proofErr w:type="spellEnd"/>
      <w:r w:rsidR="009E4CC7" w:rsidRPr="00257AE4">
        <w:t xml:space="preserve"> et al. (2022)</w:t>
      </w:r>
      <w:r w:rsidR="009E4CC7">
        <w:t xml:space="preserve">.  </w:t>
      </w:r>
      <w:r w:rsidRPr="00257AE4">
        <w:t>These studies targeted fundamental social interaction skills such as eye contact</w:t>
      </w:r>
      <w:r w:rsidR="009E4CC7">
        <w:t xml:space="preserve">, </w:t>
      </w:r>
      <w:r w:rsidRPr="00257AE4">
        <w:t xml:space="preserve">joint attention, </w:t>
      </w:r>
      <w:r w:rsidR="009E4CC7">
        <w:t xml:space="preserve">and </w:t>
      </w:r>
      <w:r w:rsidR="009E4CC7" w:rsidRPr="00257AE4">
        <w:t>verbal</w:t>
      </w:r>
      <w:r w:rsidR="009E4CC7">
        <w:t xml:space="preserve"> or</w:t>
      </w:r>
      <w:r w:rsidRPr="00257AE4">
        <w:t xml:space="preserve"> non-verbal communication skills</w:t>
      </w:r>
      <w:r w:rsidR="009E4CC7">
        <w:t>.</w:t>
      </w:r>
      <w:r w:rsidRPr="00257AE4">
        <w:t xml:space="preserve"> </w:t>
      </w:r>
      <w:r w:rsidR="009E4CC7" w:rsidRPr="00257AE4">
        <w:t>Many studies</w:t>
      </w:r>
      <w:r w:rsidRPr="00257AE4">
        <w:t xml:space="preserve"> adopted a comprehensive approach targeting multiple aspects of social communication simultaneously.</w:t>
      </w:r>
    </w:p>
    <w:p w14:paraId="1217AD28" w14:textId="77777777" w:rsidR="00A401C6" w:rsidRDefault="00A401C6" w:rsidP="00A401C6">
      <w:r w:rsidRPr="009E4CC7">
        <w:t xml:space="preserve">Fifty papers focused </w:t>
      </w:r>
      <w:r w:rsidRPr="00466DC4">
        <w:t xml:space="preserve">on developing or evaluating social cognition skills in individuals with intellectual disabilities. Studies targeted joint attention (Scassellati, 2018; Alnajjar et al., 2021; Carlson et al., 2018; Charron et al., 2017; </w:t>
      </w:r>
      <w:proofErr w:type="spellStart"/>
      <w:r w:rsidRPr="00466DC4">
        <w:t>Kajopoulos</w:t>
      </w:r>
      <w:proofErr w:type="spellEnd"/>
      <w:r w:rsidRPr="00466DC4">
        <w:t xml:space="preserve"> et al., 2015), facial expression recognition and emotional understanding (Costa et al., 2014; </w:t>
      </w:r>
      <w:proofErr w:type="spellStart"/>
      <w:r w:rsidRPr="00466DC4">
        <w:t>Lebersfeld</w:t>
      </w:r>
      <w:proofErr w:type="spellEnd"/>
      <w:r w:rsidRPr="00466DC4">
        <w:t xml:space="preserve"> et al., 2018; Li et al., 2020; </w:t>
      </w:r>
      <w:proofErr w:type="spellStart"/>
      <w:r w:rsidRPr="00466DC4">
        <w:t>Tartarisco</w:t>
      </w:r>
      <w:proofErr w:type="spellEnd"/>
      <w:r w:rsidRPr="00466DC4">
        <w:t xml:space="preserve"> et al., 2022), imitation skills (Valadao et al., 2016; </w:t>
      </w:r>
      <w:proofErr w:type="spellStart"/>
      <w:r w:rsidRPr="00466DC4">
        <w:t>Bonarini</w:t>
      </w:r>
      <w:proofErr w:type="spellEnd"/>
      <w:r w:rsidRPr="00466DC4">
        <w:t xml:space="preserve"> et al., 2014; Conti et al., 2020; </w:t>
      </w:r>
      <w:proofErr w:type="spellStart"/>
      <w:r w:rsidRPr="00466DC4">
        <w:t>Marathaki</w:t>
      </w:r>
      <w:proofErr w:type="spellEnd"/>
      <w:r w:rsidRPr="00466DC4">
        <w:t xml:space="preserve"> et al., 2022; </w:t>
      </w:r>
      <w:proofErr w:type="spellStart"/>
      <w:r w:rsidRPr="00466DC4">
        <w:t>Simlesa</w:t>
      </w:r>
      <w:proofErr w:type="spellEnd"/>
      <w:r w:rsidRPr="00466DC4">
        <w:t xml:space="preserve"> et al., 2022), visual perspective-taking and mentalizing skills (Marino et al., 2020; Wood et al., 2017; Wood et al., 2019), and gesture recognition and body language interpretation (Abdelmohsen &amp; Arafa, 2021; Tobar et al., 2021; </w:t>
      </w:r>
      <w:proofErr w:type="spellStart"/>
      <w:r w:rsidRPr="00466DC4">
        <w:t>Rakhymbayeva</w:t>
      </w:r>
      <w:proofErr w:type="spellEnd"/>
      <w:r w:rsidRPr="00466DC4">
        <w:t xml:space="preserve"> &amp; </w:t>
      </w:r>
      <w:proofErr w:type="spellStart"/>
      <w:r w:rsidRPr="00466DC4">
        <w:t>Sandygulova</w:t>
      </w:r>
      <w:proofErr w:type="spellEnd"/>
      <w:r w:rsidRPr="00466DC4">
        <w:t>, 2021) using robot-assisted interventions and interactive scenarios.</w:t>
      </w:r>
    </w:p>
    <w:p w14:paraId="57AA0051" w14:textId="7F865316" w:rsidR="00A401C6" w:rsidRDefault="00A401C6" w:rsidP="00A401C6">
      <w:r w:rsidRPr="00466DC4">
        <w:t xml:space="preserve">Forty-three papers focused on developing or evaluating cognitive skills in individuals with intellectual disabilities. Studies targeted attention-related skills (Alnajjar et al., 2021; </w:t>
      </w:r>
      <w:proofErr w:type="spellStart"/>
      <w:r w:rsidRPr="00466DC4">
        <w:t>Wanglavan</w:t>
      </w:r>
      <w:proofErr w:type="spellEnd"/>
      <w:r w:rsidRPr="00466DC4">
        <w:t xml:space="preserve"> et al., 2019; Welch et al., 2023), problem-solving and executive functions (Pérez-Vazquez et al., 2022; Sakka &amp; Gaboriau, 2017), and integrated cognitive skill development within specific learning domains (Papadopoulou et al., 2022; Zamin et al., 2019; Shahriar et al., 2021). Researchers employed multimodal approaches (</w:t>
      </w:r>
      <w:proofErr w:type="spellStart"/>
      <w:r w:rsidRPr="00466DC4">
        <w:t>Bonarini</w:t>
      </w:r>
      <w:proofErr w:type="spellEnd"/>
      <w:r w:rsidRPr="00466DC4">
        <w:t xml:space="preserve"> et al., 2014; Robles-</w:t>
      </w:r>
      <w:proofErr w:type="spellStart"/>
      <w:r w:rsidRPr="00466DC4">
        <w:t>Bykbaev</w:t>
      </w:r>
      <w:proofErr w:type="spellEnd"/>
      <w:r w:rsidRPr="00466DC4">
        <w:t xml:space="preserve"> et al., 2018) and music-based interventions (Taheri et al., 2016, 2019) to promote various cognitive functions simultaneously, including attention, body awareness, working memory, and other cognitive skills through robot-assisted activities.</w:t>
      </w:r>
    </w:p>
    <w:p w14:paraId="77B66F3E" w14:textId="3C576964" w:rsidR="00A401C6" w:rsidRDefault="00A401C6" w:rsidP="00A401C6">
      <w:r w:rsidRPr="00466DC4">
        <w:t>Thirty-eight papers focused on developing or evaluating language and speech skills through robotic interventions. Studies targeted verbal communication abilities (Alnajjar et al., 2021; Brivio et al., 2021; Che Hamid et al., 2013), speech production and articulation (Hong et al., 2022; Shah et al., 2023), and various aspects of language development, including fundamental elements (</w:t>
      </w:r>
      <w:proofErr w:type="spellStart"/>
      <w:r w:rsidRPr="00466DC4">
        <w:t>Bharatharaj</w:t>
      </w:r>
      <w:proofErr w:type="spellEnd"/>
      <w:r w:rsidRPr="00466DC4">
        <w:t xml:space="preserve"> et al., 2016; Cervera et al., n.d.), complex skills (Papadopoulou et al., 2022), and written expression (Pennington et al., 2014). Researchers integrated language development with music-based activities (Taheri et al., 2016, 2018, 2019), multi-sensory stimulation (Robles-</w:t>
      </w:r>
      <w:proofErr w:type="spellStart"/>
      <w:r w:rsidRPr="00466DC4">
        <w:t>Bykbaev</w:t>
      </w:r>
      <w:proofErr w:type="spellEnd"/>
      <w:r w:rsidRPr="00466DC4">
        <w:t xml:space="preserve"> et al., 2018), and advanced technologies like deep learning (She &amp; Ren, 2021), while also addressing specific populations and contexts (Zamin et al., 2019; </w:t>
      </w:r>
      <w:proofErr w:type="spellStart"/>
      <w:r w:rsidRPr="00466DC4">
        <w:t>Zhanatkyzy</w:t>
      </w:r>
      <w:proofErr w:type="spellEnd"/>
      <w:r w:rsidRPr="00466DC4">
        <w:t xml:space="preserve"> et al., 2020).</w:t>
      </w:r>
    </w:p>
    <w:p w14:paraId="522F4279" w14:textId="77777777" w:rsidR="00466DC4" w:rsidRDefault="00466DC4" w:rsidP="00A80167">
      <w:r w:rsidRPr="00466DC4">
        <w:t xml:space="preserve">Twenty-nine papers focused on developing or evaluating Emotional Intelligence skills in individuals with intellectual disabilities, particularly those with Autism Spectrum Disorder </w:t>
      </w:r>
      <w:r w:rsidRPr="00466DC4">
        <w:lastRenderedPageBreak/>
        <w:t xml:space="preserve">(ASD). Researchers concentrated on emotion recognition training (Abdelmohsen &amp; Arafa, 2021; Costa et al., 2014; </w:t>
      </w:r>
      <w:proofErr w:type="spellStart"/>
      <w:r w:rsidRPr="00466DC4">
        <w:t>Lebersfeld</w:t>
      </w:r>
      <w:proofErr w:type="spellEnd"/>
      <w:r w:rsidRPr="00466DC4">
        <w:t xml:space="preserve"> et al., 2018), comprehensive emotional intelligence development protocols (Marino et al., 2020; </w:t>
      </w:r>
      <w:proofErr w:type="spellStart"/>
      <w:r w:rsidRPr="00466DC4">
        <w:t>Tartarisco</w:t>
      </w:r>
      <w:proofErr w:type="spellEnd"/>
      <w:r w:rsidRPr="00466DC4">
        <w:t xml:space="preserve"> et al., 2022), and storytelling-based approaches (Silva et al., 2023; Sakka &amp; Gaboriau, 2017). Studies utilized robots designed to express emotions (Brivio et al., 2021; </w:t>
      </w:r>
      <w:proofErr w:type="spellStart"/>
      <w:r w:rsidRPr="00466DC4">
        <w:t>Bonarini</w:t>
      </w:r>
      <w:proofErr w:type="spellEnd"/>
      <w:r w:rsidRPr="00466DC4">
        <w:t xml:space="preserve"> et al., 2016), quantitative measurements (Kim et al., 2021; </w:t>
      </w:r>
      <w:proofErr w:type="spellStart"/>
      <w:r w:rsidRPr="00466DC4">
        <w:t>Zhanatkyzy</w:t>
      </w:r>
      <w:proofErr w:type="spellEnd"/>
      <w:r w:rsidRPr="00466DC4">
        <w:t xml:space="preserve"> et al., 2020), interactive elements (</w:t>
      </w:r>
      <w:proofErr w:type="spellStart"/>
      <w:r w:rsidRPr="00466DC4">
        <w:t>Sandygulova</w:t>
      </w:r>
      <w:proofErr w:type="spellEnd"/>
      <w:r w:rsidRPr="00466DC4">
        <w:t xml:space="preserve"> et al., 2019), and multimodal interactions (</w:t>
      </w:r>
      <w:proofErr w:type="spellStart"/>
      <w:r w:rsidRPr="00466DC4">
        <w:t>Giannopulu</w:t>
      </w:r>
      <w:proofErr w:type="spellEnd"/>
      <w:r w:rsidRPr="00466DC4">
        <w:t>, 2013; Robles-</w:t>
      </w:r>
      <w:proofErr w:type="spellStart"/>
      <w:r w:rsidRPr="00466DC4">
        <w:t>Bykbaev</w:t>
      </w:r>
      <w:proofErr w:type="spellEnd"/>
      <w:r w:rsidRPr="00466DC4">
        <w:t xml:space="preserve"> et al., 2018) to support emotional </w:t>
      </w:r>
      <w:proofErr w:type="spellStart"/>
      <w:r w:rsidRPr="00466DC4">
        <w:t>development.</w:t>
      </w:r>
      <w:proofErr w:type="spellEnd"/>
    </w:p>
    <w:p w14:paraId="4CE9E5CA" w14:textId="77777777" w:rsidR="00466DC4" w:rsidRDefault="00466DC4" w:rsidP="00A80167">
      <w:r w:rsidRPr="00466DC4">
        <w:t>Twenty-seven papers focused on developing or evaluating physical and motor development skills using robotic technologies. Studies targeted basic motor skills (Alnajjar et al., 2021; Brivio et al., 2021), hand-eye coordination (</w:t>
      </w:r>
      <w:proofErr w:type="spellStart"/>
      <w:r w:rsidRPr="00466DC4">
        <w:t>Casellato</w:t>
      </w:r>
      <w:proofErr w:type="spellEnd"/>
      <w:r w:rsidRPr="00466DC4">
        <w:t xml:space="preserve"> et al., 2017), motor imitation (</w:t>
      </w:r>
      <w:proofErr w:type="spellStart"/>
      <w:r w:rsidRPr="00466DC4">
        <w:t>Bugnariu</w:t>
      </w:r>
      <w:proofErr w:type="spellEnd"/>
      <w:r w:rsidRPr="00466DC4">
        <w:t xml:space="preserve"> et al., 2013; Chevalier et al., n.d.; Conti et al., 2020), and psychomotor skills (Moorthy &amp; Pugazhenthi, 2016, 2017). Innovative approaches included music-based interventions (Taheri et al., 2016, 2018, 2019), motion-based touchless interaction (</w:t>
      </w:r>
      <w:proofErr w:type="spellStart"/>
      <w:r w:rsidRPr="00466DC4">
        <w:t>Bonarini</w:t>
      </w:r>
      <w:proofErr w:type="spellEnd"/>
      <w:r w:rsidRPr="00466DC4">
        <w:t xml:space="preserve"> et al., 2014, 2016), and multi-sensory stimulation (Robles-</w:t>
      </w:r>
      <w:proofErr w:type="spellStart"/>
      <w:r w:rsidRPr="00466DC4">
        <w:t>Bykbaev</w:t>
      </w:r>
      <w:proofErr w:type="spellEnd"/>
      <w:r w:rsidRPr="00466DC4">
        <w:t xml:space="preserve"> et al., 2018; </w:t>
      </w:r>
      <w:proofErr w:type="spellStart"/>
      <w:r w:rsidRPr="00466DC4">
        <w:t>Sandygulova</w:t>
      </w:r>
      <w:proofErr w:type="spellEnd"/>
      <w:r w:rsidRPr="00466DC4">
        <w:t xml:space="preserve"> et al., 2019). Comprehensive approaches combined robot-assisted therapy with virtual reality for motor rehabilitation (Zanatta et al., 2023).</w:t>
      </w:r>
    </w:p>
    <w:p w14:paraId="1ADFFFD0" w14:textId="02E5F1AD" w:rsidR="00257AE4" w:rsidRDefault="00466DC4" w:rsidP="00A80167">
      <w:r w:rsidRPr="00466DC4">
        <w:t>Thirteen papers out of 97 focused on developing or evaluating self-management and adaptive skills in individuals with intellectual disabilities. Studies targeted daily living skills (</w:t>
      </w:r>
      <w:proofErr w:type="spellStart"/>
      <w:r w:rsidRPr="00466DC4">
        <w:t>Attawibulkul</w:t>
      </w:r>
      <w:proofErr w:type="spellEnd"/>
      <w:r w:rsidRPr="00466DC4">
        <w:t xml:space="preserve"> et al., 2019; Park &amp; Kwon, 2016; Moorthy &amp; Pugazhenthi, 2017), body awareness and self-regulation (Costa et al., 2013; Sakka &amp; Gaboriau, 2017; Brivio et al., 2021; </w:t>
      </w:r>
      <w:proofErr w:type="spellStart"/>
      <w:r w:rsidRPr="00466DC4">
        <w:t>Filiou</w:t>
      </w:r>
      <w:proofErr w:type="spellEnd"/>
      <w:r w:rsidRPr="00466DC4">
        <w:t>, 2022), adaptive behaviors and practical skills (</w:t>
      </w:r>
      <w:proofErr w:type="spellStart"/>
      <w:r w:rsidRPr="00466DC4">
        <w:t>Bonarini</w:t>
      </w:r>
      <w:proofErr w:type="spellEnd"/>
      <w:r w:rsidRPr="00466DC4">
        <w:t xml:space="preserve"> et al., 2014, 2016; </w:t>
      </w:r>
      <w:proofErr w:type="spellStart"/>
      <w:r w:rsidRPr="00466DC4">
        <w:t>Lemaignan</w:t>
      </w:r>
      <w:proofErr w:type="spellEnd"/>
      <w:r w:rsidRPr="00466DC4">
        <w:t xml:space="preserve"> et al., 2022), social and organizational skills (Nanou et al., 2021; Lindsay, 2020), and comprehensive life skills and vocational training (Reardon et al., 2018) using various robot-mediated interactions and interactive approaches.</w:t>
      </w:r>
    </w:p>
    <w:p w14:paraId="191CF966" w14:textId="666AC785" w:rsidR="00080B45" w:rsidRDefault="704AD576" w:rsidP="00BB6963">
      <w:pPr>
        <w:pStyle w:val="Heading3"/>
        <w:rPr>
          <w:rFonts w:ascii="Calibri" w:eastAsia="Calibri" w:hAnsi="Calibri" w:cs="Calibri"/>
          <w:color w:val="2F5496"/>
        </w:rPr>
      </w:pPr>
      <w:r w:rsidRPr="38E66F8A">
        <w:rPr>
          <w:rFonts w:ascii="Calibri" w:eastAsia="Calibri" w:hAnsi="Calibri" w:cs="Calibri"/>
          <w:color w:val="2F5496"/>
        </w:rPr>
        <w:t>Population</w:t>
      </w:r>
    </w:p>
    <w:p w14:paraId="3EF25262" w14:textId="48A466F4" w:rsidR="00466DC4" w:rsidRDefault="00466DC4" w:rsidP="00466DC4">
      <w:r w:rsidRPr="00466DC4">
        <w:t xml:space="preserve">Seventy-two papers focused on studying children with autism spectrum disorder (ASD), primarily aged 4-12 years. Research objectives included developing social skills (Scassellati, 2018; Abdelmohsen &amp; Arafa, 2021; Valadao et al., 2016), joint attention (Carlson et al., 2018; </w:t>
      </w:r>
      <w:proofErr w:type="spellStart"/>
      <w:r w:rsidRPr="00466DC4">
        <w:t>Kajopoulos</w:t>
      </w:r>
      <w:proofErr w:type="spellEnd"/>
      <w:r w:rsidRPr="00466DC4">
        <w:t xml:space="preserve"> et al., 2015), communication (Che Hamid et al., 2013; She &amp; Ren, 2021), and emotional understanding (Marino et al., 2020). Studies employed various robotic platforms, including humanoid robots (</w:t>
      </w:r>
      <w:proofErr w:type="spellStart"/>
      <w:r w:rsidRPr="00466DC4">
        <w:t>Miskam</w:t>
      </w:r>
      <w:proofErr w:type="spellEnd"/>
      <w:r w:rsidRPr="00466DC4">
        <w:t xml:space="preserve"> et al., 2013), specialized therapeutic robots (</w:t>
      </w:r>
      <w:proofErr w:type="spellStart"/>
      <w:r w:rsidRPr="00466DC4">
        <w:t>Lebersfeld</w:t>
      </w:r>
      <w:proofErr w:type="spellEnd"/>
      <w:r w:rsidRPr="00466DC4">
        <w:t xml:space="preserve"> et al., 2018), and custom-designed platforms (Brivio et al., 2021). Methodologies ranged from long-term, in-home interventions (Scassellati et al., 2018) to controlled laboratory settings, covering both individual and group-based </w:t>
      </w:r>
      <w:r w:rsidRPr="00466DC4">
        <w:lastRenderedPageBreak/>
        <w:t>approaches. Participants included children with high-functioning autism (</w:t>
      </w:r>
      <w:proofErr w:type="spellStart"/>
      <w:r w:rsidRPr="00466DC4">
        <w:t>Mavadati</w:t>
      </w:r>
      <w:proofErr w:type="spellEnd"/>
      <w:r w:rsidRPr="00466DC4">
        <w:t xml:space="preserve"> et al., 2014; Yin &amp; Tung, 2013) and those across the spectrum (</w:t>
      </w:r>
      <w:proofErr w:type="spellStart"/>
      <w:r w:rsidRPr="00466DC4">
        <w:t>Sandygulova</w:t>
      </w:r>
      <w:proofErr w:type="spellEnd"/>
      <w:r w:rsidRPr="00466DC4">
        <w:t xml:space="preserve"> et al., 2019).</w:t>
      </w:r>
    </w:p>
    <w:p w14:paraId="55CEC5BB" w14:textId="599F496C" w:rsidR="00466DC4" w:rsidRDefault="00466DC4" w:rsidP="00466DC4">
      <w:r w:rsidRPr="00466DC4">
        <w:t>Twelve out of 97 papers (12.37%) focused on studying adolescents with Autism Spectrum Disorder (ASD). Studies explored robot-assisted therapy for developing social and learning skills (</w:t>
      </w:r>
      <w:proofErr w:type="spellStart"/>
      <w:r w:rsidRPr="00466DC4">
        <w:t>Bharatharaj</w:t>
      </w:r>
      <w:proofErr w:type="spellEnd"/>
      <w:r w:rsidRPr="00466DC4">
        <w:t xml:space="preserve"> et al., 2017; Brivio et al., 2021; </w:t>
      </w:r>
      <w:proofErr w:type="spellStart"/>
      <w:r w:rsidRPr="00466DC4">
        <w:t>Lebersfeld</w:t>
      </w:r>
      <w:proofErr w:type="spellEnd"/>
      <w:r w:rsidRPr="00466DC4">
        <w:t xml:space="preserve"> et al., 2018; Marzano et al., 2021), gaze responses during human-robot interactions (</w:t>
      </w:r>
      <w:proofErr w:type="spellStart"/>
      <w:r w:rsidRPr="00466DC4">
        <w:t>Mavadati</w:t>
      </w:r>
      <w:proofErr w:type="spellEnd"/>
      <w:r w:rsidRPr="00466DC4">
        <w:t xml:space="preserve"> et al., 2014), indirect conversation through robots (Shimaya et al., 2016, 2019), specialized interventions using teacher-teleoperated robots (Li et al., 2020), humanoid robots for visual perspective-taking skills (Wood et al., 2019), and a robotic 'Puppet Master' application (Sakka &amp; Gaboriau, 2017). Comprehensive reviews (Santos et al., 2023; </w:t>
      </w:r>
      <w:proofErr w:type="spellStart"/>
      <w:r w:rsidRPr="00466DC4">
        <w:t>Sartorato</w:t>
      </w:r>
      <w:proofErr w:type="spellEnd"/>
      <w:r w:rsidRPr="00466DC4">
        <w:t xml:space="preserve"> et al., 2017) highlighted the growing interest and therapeutic potential of robotic applications for ASD intervention in adolescents.</w:t>
      </w:r>
    </w:p>
    <w:p w14:paraId="32E43532" w14:textId="14A44591" w:rsidR="00466DC4" w:rsidRDefault="00466DC4" w:rsidP="00466DC4">
      <w:r w:rsidRPr="00466DC4">
        <w:t xml:space="preserve">Thirteen papers out of 97 included participants with Autism Spectrum Disorder (ASD) across various age ranges. Studies involving adults or older adolescents included Conti et al. </w:t>
      </w:r>
      <w:r w:rsidRPr="00466DC4">
        <w:rPr>
          <w:lang w:val="es-CO"/>
        </w:rPr>
        <w:t>(2020), Costa et al. (2014) (</w:t>
      </w:r>
      <w:proofErr w:type="spellStart"/>
      <w:r w:rsidRPr="00466DC4">
        <w:rPr>
          <w:lang w:val="es-CO"/>
        </w:rPr>
        <w:t>ages</w:t>
      </w:r>
      <w:proofErr w:type="spellEnd"/>
      <w:r w:rsidRPr="00466DC4">
        <w:rPr>
          <w:lang w:val="es-CO"/>
        </w:rPr>
        <w:t xml:space="preserve"> 14-16), Pennington et al. (2014) (</w:t>
      </w:r>
      <w:proofErr w:type="spellStart"/>
      <w:r w:rsidRPr="00466DC4">
        <w:rPr>
          <w:lang w:val="es-CO"/>
        </w:rPr>
        <w:t>ages</w:t>
      </w:r>
      <w:proofErr w:type="spellEnd"/>
      <w:r w:rsidRPr="00466DC4">
        <w:rPr>
          <w:lang w:val="es-CO"/>
        </w:rPr>
        <w:t xml:space="preserve"> 19-21), Silvera-</w:t>
      </w:r>
      <w:proofErr w:type="spellStart"/>
      <w:r w:rsidRPr="00466DC4">
        <w:rPr>
          <w:lang w:val="es-CO"/>
        </w:rPr>
        <w:t>Tawil</w:t>
      </w:r>
      <w:proofErr w:type="spellEnd"/>
      <w:r w:rsidRPr="00466DC4">
        <w:rPr>
          <w:lang w:val="es-CO"/>
        </w:rPr>
        <w:t xml:space="preserve"> et al. </w:t>
      </w:r>
      <w:r w:rsidRPr="00466DC4">
        <w:t xml:space="preserve">(2018) (ages 13-19), and </w:t>
      </w:r>
      <w:proofErr w:type="spellStart"/>
      <w:r w:rsidRPr="00466DC4">
        <w:t>Lemaignan</w:t>
      </w:r>
      <w:proofErr w:type="spellEnd"/>
      <w:r w:rsidRPr="00466DC4">
        <w:t xml:space="preserve"> et al. (2022) (ages 12-16). Other studies focused on younger participants or mixed age groups, such as Kim et al. (2021) (ages 6-16), Taheri et al. (2018) (ages 6-15), Charron et al. (2017) (8-year-old), and Nanou et al. (2021) (ages 10-11). Review papers (Santos et al., 2023; </w:t>
      </w:r>
      <w:proofErr w:type="spellStart"/>
      <w:r w:rsidRPr="00466DC4">
        <w:t>Sartorato</w:t>
      </w:r>
      <w:proofErr w:type="spellEnd"/>
      <w:r w:rsidRPr="00466DC4">
        <w:t xml:space="preserve"> et al., 2017) analyzed studies involving adults with ASD, highlighting the growing interest in robotic technologies across the lifespan.</w:t>
      </w:r>
    </w:p>
    <w:p w14:paraId="7D6C99BD" w14:textId="6FD70B67" w:rsidR="00A50D70" w:rsidRDefault="00A50D70" w:rsidP="00466DC4">
      <w:r w:rsidRPr="00A50D70">
        <w:t>Twelve papers out of 97 focused on studying children with neurodevelopmental disabilities beyond Autism Spectrum Disorder (ASD). Studies covered intellectual disabilities, specific learning disorders, cognitive disabilities, ADHD, and delayed speech development. Some research included multiple conditions (</w:t>
      </w:r>
      <w:proofErr w:type="spellStart"/>
      <w:r w:rsidRPr="00A50D70">
        <w:t>Attawibulkul</w:t>
      </w:r>
      <w:proofErr w:type="spellEnd"/>
      <w:r w:rsidRPr="00A50D70">
        <w:t xml:space="preserve"> et al., 2019; Brivio et al., 2021; </w:t>
      </w:r>
      <w:proofErr w:type="spellStart"/>
      <w:r w:rsidRPr="00A50D70">
        <w:t>Bonarini</w:t>
      </w:r>
      <w:proofErr w:type="spellEnd"/>
      <w:r w:rsidRPr="00A50D70">
        <w:t xml:space="preserve"> et al., 2014, 2016), while others targeted specific disorders (Papadopoulou et al., 2022; Park &amp; Kwon, 2016). ADHD was examined in several studies (</w:t>
      </w:r>
      <w:proofErr w:type="spellStart"/>
      <w:r w:rsidRPr="00A50D70">
        <w:t>Sandygulova</w:t>
      </w:r>
      <w:proofErr w:type="spellEnd"/>
      <w:r w:rsidRPr="00A50D70">
        <w:t xml:space="preserve"> et al., 2019; </w:t>
      </w:r>
      <w:proofErr w:type="spellStart"/>
      <w:r w:rsidRPr="00A50D70">
        <w:t>Zhanatkyzy</w:t>
      </w:r>
      <w:proofErr w:type="spellEnd"/>
      <w:r w:rsidRPr="00A50D70">
        <w:t xml:space="preserve"> et al., 2020), and some included non-ASD children as control groups (Yun et al., 2014). Methodologies ranged from case studies (</w:t>
      </w:r>
      <w:proofErr w:type="spellStart"/>
      <w:r w:rsidRPr="00A50D70">
        <w:t>Casellato</w:t>
      </w:r>
      <w:proofErr w:type="spellEnd"/>
      <w:r w:rsidRPr="00A50D70">
        <w:t xml:space="preserve"> et al., 2017; </w:t>
      </w:r>
      <w:proofErr w:type="spellStart"/>
      <w:r w:rsidRPr="00A50D70">
        <w:t>Chaldi</w:t>
      </w:r>
      <w:proofErr w:type="spellEnd"/>
      <w:r w:rsidRPr="00A50D70">
        <w:t xml:space="preserve"> &amp; </w:t>
      </w:r>
      <w:proofErr w:type="spellStart"/>
      <w:r w:rsidRPr="00A50D70">
        <w:t>Mantzanidou</w:t>
      </w:r>
      <w:proofErr w:type="spellEnd"/>
      <w:r w:rsidRPr="00A50D70">
        <w:t>, 2021) to broader investigations with multiple participants and conditions.</w:t>
      </w:r>
    </w:p>
    <w:p w14:paraId="75B89232" w14:textId="41E7529A" w:rsidR="00A50D70" w:rsidRDefault="00A50D70" w:rsidP="00466DC4">
      <w:r w:rsidRPr="00A50D70">
        <w:t xml:space="preserve">There were 3 papers out of 96 total papers that focused on studying adolescents with other neurodevelopmental disabilities beyond autism spectrum disorder (ASD). This represents approximately 3.1% of the analyzed papers, indicating this is a relatively understudied population in the context of robotic and AI interventions. The studies that included adolescents with other neurodevelopmental disabilities were conducted by Brivio et al. (2021), Park &amp; Kwon (2016), and Wood et al. (2019). Park &amp; Kwon (2016) specifically </w:t>
      </w:r>
      <w:r w:rsidRPr="00A50D70">
        <w:lastRenderedPageBreak/>
        <w:t>focused on adolescents aged 10-18 with cognitive disabilities, implementing robotic instructors as educational tools. Wood et al. (2019) included a participant with global developmental delay with ASD traits in their study examining visual perspective taking skills development using humanoid robots. Similarly, Brivio et al. (2021) incorporated adolescents with various neurodevelopmental conditions beyond ASD in their investigation of skill development through robotic play-based interventions.</w:t>
      </w:r>
    </w:p>
    <w:p w14:paraId="5DF191A4" w14:textId="0D97D1F2" w:rsidR="00A50D70" w:rsidRPr="00466DC4" w:rsidRDefault="00A50D70" w:rsidP="00466DC4">
      <w:r w:rsidRPr="00A50D70">
        <w:t>Six papers out of 97 (6.2%) focused on studying adults with neurodevelopmental disabilities beyond Autism Spectrum Disorder (ASD). Pennington et al. (2014) examined robot-assisted instruction for personal narrative skills in adults with intellectual disabilities. Reardon et al. (2018) explored educational benefits of robotic and augmented reality applications for college-age students with intellectual and developmental disabilities. Silvera-Tawil et al. (2018) investigated verbal communication skills development in secondary school students with intellectual disabilities. Zanatta et al. (2023) conducted a systematic review on robot-assisted therapy for adults with various neurological conditions. Lindsay (2020) and Conti et al. (2020) investigated skill development and humanoid robot integration in therapy settings for individuals with disabilities.</w:t>
      </w:r>
    </w:p>
    <w:p w14:paraId="1FD9D465" w14:textId="77777777" w:rsidR="00BB6963" w:rsidRDefault="00BB6963" w:rsidP="00A50D70">
      <w:pPr>
        <w:spacing w:after="0"/>
        <w:rPr>
          <w:rFonts w:ascii="Calibri" w:eastAsia="Calibri" w:hAnsi="Calibri" w:cs="Calibri"/>
          <w:color w:val="2F5496"/>
        </w:rPr>
      </w:pPr>
    </w:p>
    <w:p w14:paraId="5DB7405E" w14:textId="4C205EEC" w:rsidR="00080B45" w:rsidRDefault="00147B8F" w:rsidP="00BB6963">
      <w:pPr>
        <w:pStyle w:val="Heading2"/>
        <w:rPr>
          <w:rFonts w:eastAsia="Calibri"/>
        </w:rPr>
      </w:pPr>
      <w:r>
        <w:rPr>
          <w:rFonts w:eastAsia="Calibri"/>
        </w:rPr>
        <w:t>Tools</w:t>
      </w:r>
    </w:p>
    <w:p w14:paraId="2070D2F4" w14:textId="1D347498"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38373362" w14:textId="0821B31C" w:rsidR="00080B45" w:rsidRDefault="704AD576" w:rsidP="38E66F8A">
      <w:pPr>
        <w:pStyle w:val="Heading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t>Strategies</w:t>
      </w:r>
    </w:p>
    <w:p w14:paraId="4DE832BC" w14:textId="77777777" w:rsidR="006B028F" w:rsidRDefault="006B028F" w:rsidP="006B028F"/>
    <w:p w14:paraId="6292D4BE" w14:textId="77777777" w:rsidR="006B028F" w:rsidRDefault="006B028F" w:rsidP="006B028F">
      <w:r>
        <w:t>83 papers implemented social interaction activities with robots, representing 86.5% of the studies. These activities primarily involved interactive scenarios, one-on-one interactions, and group-based sessions. Researchers like Scassellati et al. (2018) and Marino et al. (2020) utilized robots for social skills games and enhancing social-emotional understanding. Valadao et al. (2016) and Conti et al. (2020) employed humanoid robots for direct skill improvement. Some studies, such as Nanou et al. (2021), focused on collaborative scenarios. Role-playing exercises and structured dialogues were implemented by researchers like Shimaya et al. (2016) and Silva et al. (2023). The activities targeted specific skills including joint attention (</w:t>
      </w:r>
      <w:proofErr w:type="spellStart"/>
      <w:r>
        <w:t>Kajopoulos</w:t>
      </w:r>
      <w:proofErr w:type="spellEnd"/>
      <w:r>
        <w:t xml:space="preserve"> et al., 2015), communication (Silvera-Tawil et al., 2018), and emotional recognition (Costa et al., 2014). While most interventions followed structured protocols, some, like </w:t>
      </w:r>
      <w:proofErr w:type="spellStart"/>
      <w:r>
        <w:t>Giannopulu</w:t>
      </w:r>
      <w:proofErr w:type="spellEnd"/>
      <w:r>
        <w:t xml:space="preserve"> (2013), incorporated spontaneous interactions. These diverse approaches demonstrate the versatility of robots in facilitating social interaction for individuals with intellectual disabilities.</w:t>
      </w:r>
    </w:p>
    <w:p w14:paraId="35F8567D" w14:textId="77777777" w:rsidR="006B028F" w:rsidRDefault="006B028F" w:rsidP="006B028F"/>
    <w:p w14:paraId="131ACE9B" w14:textId="77777777" w:rsidR="006B028F" w:rsidRDefault="006B028F" w:rsidP="006B028F">
      <w:r>
        <w:t xml:space="preserve">22 papers implemented storytelling and play-based activities with robots. These interventions showcased a wide range of approaches and objectives. Many studies utilized humanoid robots, particularly NAO, for interactive storytelling and play. Che Hamid et al. (2013) and </w:t>
      </w:r>
      <w:proofErr w:type="spellStart"/>
      <w:r>
        <w:t>Miskam</w:t>
      </w:r>
      <w:proofErr w:type="spellEnd"/>
      <w:r>
        <w:t xml:space="preserve"> et al. (2013) developed specific storytelling modules, while </w:t>
      </w:r>
      <w:proofErr w:type="spellStart"/>
      <w:r>
        <w:t>Marathaki</w:t>
      </w:r>
      <w:proofErr w:type="spellEnd"/>
      <w:r>
        <w:t xml:space="preserve"> et al. (2022) incorporated symbolic play activities. The storytelling methods varied, from structured social stories (Silva et al., 2023) to interactive story creation (</w:t>
      </w:r>
      <w:proofErr w:type="spellStart"/>
      <w:r>
        <w:t>Lemaignan</w:t>
      </w:r>
      <w:proofErr w:type="spellEnd"/>
      <w:r>
        <w:t xml:space="preserve"> et al., 2022). Some researchers combined storytelling with other elements, such as music (Hamzah et al., 2014) or programming (Sakka &amp; Gaboriau, 2017). The objectives of these activities were diverse, targeting social communication skills (Silva et al., 2023), symbolic play, and imitation skills (</w:t>
      </w:r>
      <w:proofErr w:type="spellStart"/>
      <w:r>
        <w:t>Marathaki</w:t>
      </w:r>
      <w:proofErr w:type="spellEnd"/>
      <w:r>
        <w:t xml:space="preserve"> et al., 2022). Some studies, like Brivio et al. (2021) and </w:t>
      </w:r>
      <w:proofErr w:type="spellStart"/>
      <w:r>
        <w:t>Bonarini</w:t>
      </w:r>
      <w:proofErr w:type="spellEnd"/>
      <w:r>
        <w:t xml:space="preserve"> et al. (2016), explored the use of soft, mobile robots for more engaging play-based interactions, demonstrating the adaptability of robotic interventions in this domain.</w:t>
      </w:r>
    </w:p>
    <w:p w14:paraId="0674D7F2" w14:textId="77777777" w:rsidR="006B028F" w:rsidRDefault="006B028F" w:rsidP="006B028F"/>
    <w:p w14:paraId="4B8D04E7" w14:textId="77777777" w:rsidR="006B028F" w:rsidRDefault="006B028F" w:rsidP="006B028F">
      <w:r>
        <w:t>36 papers implemented imitation and movement activities with robots, representing 37.5% of the analyzed studies. These interventions typically used humanoid robots, especially NAO, to demonstrate and guide physical movements (</w:t>
      </w:r>
      <w:proofErr w:type="spellStart"/>
      <w:r>
        <w:t>Miskam</w:t>
      </w:r>
      <w:proofErr w:type="spellEnd"/>
      <w:r>
        <w:t xml:space="preserve"> et al., 2013; </w:t>
      </w:r>
      <w:proofErr w:type="spellStart"/>
      <w:r>
        <w:t>Marathaki</w:t>
      </w:r>
      <w:proofErr w:type="spellEnd"/>
      <w:r>
        <w:t xml:space="preserve"> et al., 2022). Activities ranged from basic gestures to complex sequences involving dance and coordinated actions (</w:t>
      </w:r>
      <w:proofErr w:type="spellStart"/>
      <w:r>
        <w:t>Lemaignan</w:t>
      </w:r>
      <w:proofErr w:type="spellEnd"/>
      <w:r>
        <w:t xml:space="preserve"> et al., 2022; </w:t>
      </w:r>
      <w:proofErr w:type="spellStart"/>
      <w:r>
        <w:t>Zhanatkyzy</w:t>
      </w:r>
      <w:proofErr w:type="spellEnd"/>
      <w:r>
        <w:t xml:space="preserve"> et al., 2020). Many studies focused on improving motor skills through structured imitation exercises, such as Moorthy &amp; Pugazhenthi (2016) using a Snatcher robot, and Subramani et al. (2017) developing a specialized system for assessing and improving motor skills. Some researchers incorporated musical elements into movement-based interventions (Taheri et al., 2016, 2019; Peng et al., 2018). The complexity of activities varied widely, from simple body awareness exercises (Costa et al., 2013) to sophisticated interactive scenarios (Hamzah et al., 2014). Some studies, like Robles-</w:t>
      </w:r>
      <w:proofErr w:type="spellStart"/>
      <w:r>
        <w:t>Bykbaev</w:t>
      </w:r>
      <w:proofErr w:type="spellEnd"/>
      <w:r>
        <w:t xml:space="preserve"> et al. (2018), developed comprehensive systems integrating multiple types of movement activities within broader therapeutic frameworks.</w:t>
      </w:r>
    </w:p>
    <w:p w14:paraId="7C01EF46" w14:textId="77777777" w:rsidR="006B028F" w:rsidRDefault="006B028F" w:rsidP="006B028F"/>
    <w:p w14:paraId="71455D11" w14:textId="77777777" w:rsidR="006B028F" w:rsidRDefault="006B028F" w:rsidP="006B028F">
      <w:r>
        <w:t>25 papers out of 97 (25.8%) implemented emotion and expression recognition activities with robots. These studies primarily focused on teaching emotional recognition skills through interactive exercises with social robots. Many used humanoid robots like NAO to display and teach facial expressions and emotional states (</w:t>
      </w:r>
      <w:proofErr w:type="spellStart"/>
      <w:r>
        <w:t>Miskam</w:t>
      </w:r>
      <w:proofErr w:type="spellEnd"/>
      <w:r>
        <w:t xml:space="preserve"> et al., 2013; </w:t>
      </w:r>
      <w:proofErr w:type="spellStart"/>
      <w:r>
        <w:t>Sandygulova</w:t>
      </w:r>
      <w:proofErr w:type="spellEnd"/>
      <w:r>
        <w:t xml:space="preserve"> et al., 2019; </w:t>
      </w:r>
      <w:proofErr w:type="spellStart"/>
      <w:r>
        <w:t>Zhanatkyzy</w:t>
      </w:r>
      <w:proofErr w:type="spellEnd"/>
      <w:r>
        <w:t xml:space="preserve"> et al., 2020). Some researchers incorporated emotion recognition into storytelling and interactive gameplay (Silva et al., 2023; Scassellati et al., </w:t>
      </w:r>
      <w:r>
        <w:lastRenderedPageBreak/>
        <w:t xml:space="preserve">2018). Others took a more technological approach, developing systems with advanced recognition algorithms (Li et al., 2020; Alnajjar et al., 2021). The interventions often combined multiple modalities of emotional expression, such as gesture recognition alongside facial expressions (Tobar et al., 2021). Some studies, like </w:t>
      </w:r>
      <w:proofErr w:type="spellStart"/>
      <w:r>
        <w:t>Lemaignan</w:t>
      </w:r>
      <w:proofErr w:type="spellEnd"/>
      <w:r>
        <w:t xml:space="preserve"> et al. (2022), implemented mood reporting systems to reinforce emotional awareness. These diverse approaches demonstrate the potential of robotic interventions in enhancing emotional recognition skills for individuals with intellectual disabilities.</w:t>
      </w:r>
    </w:p>
    <w:p w14:paraId="0D105322" w14:textId="77777777" w:rsidR="006B028F" w:rsidRDefault="006B028F" w:rsidP="006B028F"/>
    <w:p w14:paraId="4651FFDD" w14:textId="77777777" w:rsidR="006B028F" w:rsidRDefault="006B028F" w:rsidP="006B028F">
      <w:r>
        <w:t xml:space="preserve">20 papers out of 96 (20.8%) incorporated music and rhythm activities with robots. These interventions included various forms of musical engagement, such as singing, dancing, instrument playing, and rhythm-based exercises. Many studies utilized humanoid robots, particularly NAO, for music-based interventions (Che Hamid et al., 2013; </w:t>
      </w:r>
      <w:proofErr w:type="spellStart"/>
      <w:r>
        <w:t>Miskam</w:t>
      </w:r>
      <w:proofErr w:type="spellEnd"/>
      <w:r>
        <w:t xml:space="preserve"> et al., 2013; Hamzah et al., 2014). Some researchers explored more specialized musical applications, like Peng et al. (2018) using a vibraphone and Taheri et al. (2016) incorporating xylophone and drum activities. The musical activities served various therapeutic and educational purposes, from enhancing social engagement (</w:t>
      </w:r>
      <w:proofErr w:type="spellStart"/>
      <w:r>
        <w:t>Bharatharaj</w:t>
      </w:r>
      <w:proofErr w:type="spellEnd"/>
      <w:r>
        <w:t xml:space="preserve"> et al., 2018; Brivio et al., 2021) to developing symbolic play and imitation skills (</w:t>
      </w:r>
      <w:proofErr w:type="spellStart"/>
      <w:r>
        <w:t>Marathaki</w:t>
      </w:r>
      <w:proofErr w:type="spellEnd"/>
      <w:r>
        <w:t xml:space="preserve"> et al., 2022; </w:t>
      </w:r>
      <w:proofErr w:type="spellStart"/>
      <w:r>
        <w:t>Sandygulova</w:t>
      </w:r>
      <w:proofErr w:type="spellEnd"/>
      <w:r>
        <w:t xml:space="preserve"> et al., 2019). Many studies integrated music as a reinforcement strategy or engagement tool (Yun et al., 2016; </w:t>
      </w:r>
      <w:proofErr w:type="spellStart"/>
      <w:r>
        <w:t>Lemaignan</w:t>
      </w:r>
      <w:proofErr w:type="spellEnd"/>
      <w:r>
        <w:t xml:space="preserve"> et al., 2022). The implementation of these musical activities varied in complexity and purpose, ranging from simple song playback to structured musical instruction.</w:t>
      </w:r>
    </w:p>
    <w:p w14:paraId="52D1AA2F" w14:textId="77777777" w:rsidR="006B028F" w:rsidRDefault="006B028F" w:rsidP="006B028F"/>
    <w:p w14:paraId="507AB24D" w14:textId="77777777" w:rsidR="006B028F" w:rsidRDefault="006B028F" w:rsidP="006B028F">
      <w:r>
        <w:t>16 papers out of 97 (16.5%) incorporated executive function and cognitive activities using robots. These interventions focused on developing cognitive skills through various robotic platforms and programming tasks. Some studies used specialized robots, like Pérez-Vazquez et al. (2022) employing Bee-Bot for enhancing executive functions, and Nanou et al. (2021) using LEGO Mindstorms for programming exercises. Many interventions integrated multiple approaches, such as Robles-</w:t>
      </w:r>
      <w:proofErr w:type="spellStart"/>
      <w:r>
        <w:t>Bykbaev</w:t>
      </w:r>
      <w:proofErr w:type="spellEnd"/>
      <w:r>
        <w:t xml:space="preserve"> et al. (2018) developing a hybrid system with multi-sensory stimulation rooms and robotic assistants. Mathematical and computational thinking were prominent focuses, with studies like Shahriar et al. (2021) and Reardon et al. (2018) incorporating mathematical exercises and geometric reasoning tasks. Programming activities were frequently used as cognitive development tools (Lindsay, 2020; Sakka &amp; Gaboriau, 2017). Some researchers implemented game-based approaches, like Chevalier et al. (n.d.) using "Simon says" to evaluate executive function skills. These diverse methods highlight the potential of robotic interventions in enhancing cognitive abilities for individuals with intellectual disabilities.</w:t>
      </w:r>
    </w:p>
    <w:p w14:paraId="0E171D07" w14:textId="77777777" w:rsidR="006B028F" w:rsidRDefault="006B028F" w:rsidP="006B028F"/>
    <w:p w14:paraId="27C13BFC" w14:textId="77777777" w:rsidR="006B028F" w:rsidRDefault="006B028F" w:rsidP="006B028F">
      <w:r>
        <w:t>58 papers out of 96 (60%) implemented communication and language activities with robots. These interventions encompassed various approaches, including verbal interaction protocols, joint attention tasks, and structured language learning activities. Many studies utilized direct conversation with robots through greetings, questions, and responses (Alnajjar et al., 2021; Agel et al., 2020; Hossain et al., 2020). Joint attention tasks were frequently implemented to direct participants' attention to specific objects or activities (Brivio et al., 2021; Carlson et al., 2018). Several studies incorporated structured language learning, including alphabets, numbers, and phonological awareness exercises (</w:t>
      </w:r>
      <w:proofErr w:type="spellStart"/>
      <w:r>
        <w:t>Bharatharaj</w:t>
      </w:r>
      <w:proofErr w:type="spellEnd"/>
      <w:r>
        <w:t xml:space="preserve"> et al., 2016; Papadopoulou et al., 2022). Digital communication interfaces and specialized approaches like music-based communication activities were also utilized. The interventions often integrated multiple modalities, combining verbal interactions with visual supports and gestures. Recent studies have begun incorporating advanced technologies such as voice recognition and machine learning algorithms to enhance the communication experience (She &amp; Ren, 2021; Welch et al., 2023).</w:t>
      </w:r>
    </w:p>
    <w:p w14:paraId="3B26ECFE" w14:textId="77777777" w:rsidR="006B028F" w:rsidRDefault="006B028F" w:rsidP="006B028F"/>
    <w:p w14:paraId="4FE36B29" w14:textId="77777777" w:rsidR="006B028F" w:rsidRDefault="006B028F" w:rsidP="006B028F"/>
    <w:p w14:paraId="75952634" w14:textId="77777777" w:rsidR="006B028F" w:rsidRPr="006B028F" w:rsidRDefault="006B028F" w:rsidP="006B028F"/>
    <w:p w14:paraId="72D7AC71" w14:textId="5D5B59D0" w:rsidR="00080B45" w:rsidRDefault="704AD576" w:rsidP="38E66F8A">
      <w:pPr>
        <w:pStyle w:val="Heading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t xml:space="preserve">Technologies </w:t>
      </w:r>
    </w:p>
    <w:p w14:paraId="745014B7" w14:textId="5346AD60"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0DA54F1F" w14:textId="471E284D"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Commercial vs custom systems</w:t>
      </w:r>
    </w:p>
    <w:p w14:paraId="190CBB0E" w14:textId="1870DA49" w:rsidR="008F2D01" w:rsidRDefault="704AD576" w:rsidP="38E66F8A">
      <w:pPr>
        <w:spacing w:after="0"/>
        <w:jc w:val="both"/>
        <w:rPr>
          <w:rFonts w:ascii="Calibri" w:eastAsia="Calibri" w:hAnsi="Calibri" w:cs="Calibri"/>
        </w:rPr>
      </w:pPr>
      <w:r w:rsidRPr="38E66F8A">
        <w:rPr>
          <w:rFonts w:ascii="Calibri" w:eastAsia="Calibri" w:hAnsi="Calibri" w:cs="Calibri"/>
        </w:rPr>
        <w:t xml:space="preserve"> </w:t>
      </w:r>
    </w:p>
    <w:p w14:paraId="02D1D88D" w14:textId="77777777" w:rsidR="008F2D01" w:rsidRDefault="008F2D01" w:rsidP="008F2D01">
      <w:r>
        <w:t>69 out of 96 papers (71.9%) reported using commercially available robots in their studies. The most frequently used commercial robot was the NAO humanoid robot by SoftBank Robotics, employed in 25 studies (Alnajjar et al., 2021; Cervera et al., n.d.; Charron et al., 2017; Conti et al., 2020; De Korte et al., 2020; among others). Other popular robots included the KASPAR robot (Costa et al., 2013; Wood et al., 2017, 2019), the Zeno/ZECA robot (</w:t>
      </w:r>
      <w:proofErr w:type="spellStart"/>
      <w:r>
        <w:t>Bugnariu</w:t>
      </w:r>
      <w:proofErr w:type="spellEnd"/>
      <w:r>
        <w:t xml:space="preserve"> et al., 2013; Costa et al., 2014; Li et al., 2020), LEGO robotics platforms (Lindsay, 2020; Marzano et al., 2021; Zamin et al., 2019), and specialized educational and therapeutic robots like the Bee-Bot (</w:t>
      </w:r>
      <w:proofErr w:type="spellStart"/>
      <w:r>
        <w:t>Chaldi</w:t>
      </w:r>
      <w:proofErr w:type="spellEnd"/>
      <w:r>
        <w:t xml:space="preserve"> &amp; </w:t>
      </w:r>
      <w:proofErr w:type="spellStart"/>
      <w:r>
        <w:t>Mantzanidou</w:t>
      </w:r>
      <w:proofErr w:type="spellEnd"/>
      <w:r>
        <w:t>, 2021; Pérez-Vazquez et al., 2022), POL (</w:t>
      </w:r>
      <w:proofErr w:type="spellStart"/>
      <w:r>
        <w:t>Giannopulu</w:t>
      </w:r>
      <w:proofErr w:type="spellEnd"/>
      <w:r>
        <w:t xml:space="preserve">, 2013; </w:t>
      </w:r>
      <w:proofErr w:type="spellStart"/>
      <w:r>
        <w:t>Puyon</w:t>
      </w:r>
      <w:proofErr w:type="spellEnd"/>
      <w:r>
        <w:t xml:space="preserve"> &amp; </w:t>
      </w:r>
      <w:proofErr w:type="spellStart"/>
      <w:r>
        <w:t>Giannopulu</w:t>
      </w:r>
      <w:proofErr w:type="spellEnd"/>
      <w:r>
        <w:t xml:space="preserve">, 2013), and </w:t>
      </w:r>
      <w:proofErr w:type="spellStart"/>
      <w:r>
        <w:t>iRobiQ</w:t>
      </w:r>
      <w:proofErr w:type="spellEnd"/>
      <w:r>
        <w:t xml:space="preserve"> (Lee et al., 2013; Yun et al., 2014, 2016). Some studies used robotic arms and manipulation platforms, such as the OWI-535 Robotic Arm Edge kit (Moorthy &amp; Pugazhenthi, 2017) and the Phantom Omni haptic device (</w:t>
      </w:r>
      <w:proofErr w:type="spellStart"/>
      <w:r>
        <w:t>Casellato</w:t>
      </w:r>
      <w:proofErr w:type="spellEnd"/>
      <w:r>
        <w:t xml:space="preserve"> et al., 2017).</w:t>
      </w:r>
    </w:p>
    <w:p w14:paraId="476D4C8C" w14:textId="77777777" w:rsidR="008F2D01" w:rsidRDefault="008F2D01" w:rsidP="008F2D01"/>
    <w:p w14:paraId="471E80F6" w14:textId="77777777" w:rsidR="008F2D01" w:rsidRDefault="008F2D01" w:rsidP="008F2D01">
      <w:r>
        <w:lastRenderedPageBreak/>
        <w:t>39 out of 96 papers (40.6%) reported using commercially available non-robotic hardware. The most common category was vision and recording equipment, with Microsoft Kinect being particularly prevalent (</w:t>
      </w:r>
      <w:proofErr w:type="spellStart"/>
      <w:r>
        <w:t>Bonarini</w:t>
      </w:r>
      <w:proofErr w:type="spellEnd"/>
      <w:r>
        <w:t xml:space="preserve"> et al., 2014; </w:t>
      </w:r>
      <w:proofErr w:type="spellStart"/>
      <w:r>
        <w:t>Bonarini</w:t>
      </w:r>
      <w:proofErr w:type="spellEnd"/>
      <w:r>
        <w:t xml:space="preserve"> et al., 2016; Taheri et al., 2016; Taheri et al., 2019; Taheri et al., 2018; Yun et al., 2014; Yun et al., 2016). Various cameras were also used, including webcams (</w:t>
      </w:r>
      <w:proofErr w:type="spellStart"/>
      <w:r>
        <w:t>Sandygulova</w:t>
      </w:r>
      <w:proofErr w:type="spellEnd"/>
      <w:r>
        <w:t xml:space="preserve"> et al., 2019; Soleiman et al., 2014), HD cameras (</w:t>
      </w:r>
      <w:proofErr w:type="spellStart"/>
      <w:r>
        <w:t>Mavadati</w:t>
      </w:r>
      <w:proofErr w:type="spellEnd"/>
      <w:r>
        <w:t xml:space="preserve"> et al., 2014), and specialized cameras like the ASUS </w:t>
      </w:r>
      <w:proofErr w:type="spellStart"/>
      <w:r>
        <w:t>XtionPro</w:t>
      </w:r>
      <w:proofErr w:type="spellEnd"/>
      <w:r>
        <w:t xml:space="preserve"> (Lee et al., 2013). Motion capture and tracking systems were employed, such as PTI Phoenix Technologies Motion Capture Equipment (Subramani et al., 2017) and 12-camera motion analysis systems (</w:t>
      </w:r>
      <w:proofErr w:type="spellStart"/>
      <w:r>
        <w:t>Bugnariu</w:t>
      </w:r>
      <w:proofErr w:type="spellEnd"/>
      <w:r>
        <w:t xml:space="preserve"> et al., 2013). Eye tracking technology like the </w:t>
      </w:r>
      <w:proofErr w:type="spellStart"/>
      <w:r>
        <w:t>Tobii</w:t>
      </w:r>
      <w:proofErr w:type="spellEnd"/>
      <w:r>
        <w:t xml:space="preserve"> Eye Tracker T60 (</w:t>
      </w:r>
      <w:proofErr w:type="spellStart"/>
      <w:r>
        <w:t>Casellato</w:t>
      </w:r>
      <w:proofErr w:type="spellEnd"/>
      <w:r>
        <w:t xml:space="preserve"> et al., 2017), physiological monitoring devices like the </w:t>
      </w:r>
      <w:proofErr w:type="spellStart"/>
      <w:r>
        <w:t>Empatica</w:t>
      </w:r>
      <w:proofErr w:type="spellEnd"/>
      <w:r>
        <w:t xml:space="preserve"> E4 wristband (Welch et al., 2023) and Zephyr heart rate variability chest belt (</w:t>
      </w:r>
      <w:proofErr w:type="spellStart"/>
      <w:r>
        <w:t>Tartarisco</w:t>
      </w:r>
      <w:proofErr w:type="spellEnd"/>
      <w:r>
        <w:t xml:space="preserve"> et al., 2022), mobile devices, and other specialized equipment were also utilized.</w:t>
      </w:r>
    </w:p>
    <w:p w14:paraId="78462FA3" w14:textId="77777777" w:rsidR="008F2D01" w:rsidRDefault="008F2D01" w:rsidP="008F2D01"/>
    <w:p w14:paraId="379E6AFD" w14:textId="77777777" w:rsidR="008F2D01" w:rsidRDefault="008F2D01" w:rsidP="008F2D01">
      <w:r>
        <w:t xml:space="preserve">37 out of 96 papers (38.5%) reported using commercially available software. The most frequently employed was </w:t>
      </w:r>
      <w:proofErr w:type="spellStart"/>
      <w:r>
        <w:t>Choregraphe</w:t>
      </w:r>
      <w:proofErr w:type="spellEnd"/>
      <w:r>
        <w:t xml:space="preserve">, a robot programming platform for humanoid robots, used in multiple studies (Conti et al., 2020; Che Hamid et al., 2013; Hamzah et al., 2014; </w:t>
      </w:r>
      <w:proofErr w:type="spellStart"/>
      <w:r>
        <w:t>Marathaki</w:t>
      </w:r>
      <w:proofErr w:type="spellEnd"/>
      <w:r>
        <w:t xml:space="preserve"> et al., 2022; Park &amp; Kwon, 2016; Sakka &amp; Gaboriau, 2017; </w:t>
      </w:r>
      <w:proofErr w:type="spellStart"/>
      <w:r>
        <w:t>Sandygulova</w:t>
      </w:r>
      <w:proofErr w:type="spellEnd"/>
      <w:r>
        <w:t xml:space="preserve"> et al., 2019; Shah et al., 2023; She &amp; Ren, 2021; Silvera-Tawil et al., 2018; Taheri et al., 2016, 2018, 2019; Tuna, 2022; Shahriar et al., 2021). Robotics frameworks and computer vision libraries like ROS (Reardon et al., 2018; Scassellati et al., 2018) and OpenCV (Agel et al., 2020; Reardon et al., 2018) were also used. Specialized software solutions included </w:t>
      </w:r>
      <w:proofErr w:type="spellStart"/>
      <w:r>
        <w:t>AITalk</w:t>
      </w:r>
      <w:proofErr w:type="spellEnd"/>
      <w:r>
        <w:t xml:space="preserve"> for text-to-speech (Shimaya et al., 2016, 2019), The Observer XT for video analysis (Costa et al., 2014), development environments like Unity 3D (Abdelmohsen &amp; Arafa, 2021), LabVIEW (</w:t>
      </w:r>
      <w:proofErr w:type="spellStart"/>
      <w:r>
        <w:t>Bugnariu</w:t>
      </w:r>
      <w:proofErr w:type="spellEnd"/>
      <w:r>
        <w:t xml:space="preserve"> et al., 2013; Subramani et al., 2017), </w:t>
      </w:r>
      <w:proofErr w:type="spellStart"/>
      <w:r>
        <w:t>TiViPE</w:t>
      </w:r>
      <w:proofErr w:type="spellEnd"/>
      <w:r>
        <w:t xml:space="preserve"> (Kim et al., 2014), and educational robotics platforms (Nanou et al., 2021; Marzano et al., 2021).</w:t>
      </w:r>
    </w:p>
    <w:p w14:paraId="537B3F9B" w14:textId="77777777" w:rsidR="008F2D01" w:rsidRDefault="008F2D01" w:rsidP="008F2D01"/>
    <w:p w14:paraId="3A43F307" w14:textId="77777777" w:rsidR="008F2D01" w:rsidRDefault="008F2D01" w:rsidP="008F2D01">
      <w:r>
        <w:t xml:space="preserve">30 out of 96 papers (31.3%) reported using custom developed robots. These varied significantly in design, functionality, and therapeutic purposes. Specialized therapeutic robots included </w:t>
      </w:r>
      <w:proofErr w:type="spellStart"/>
      <w:r>
        <w:t>KiliRo</w:t>
      </w:r>
      <w:proofErr w:type="spellEnd"/>
      <w:r>
        <w:t xml:space="preserve"> (</w:t>
      </w:r>
      <w:proofErr w:type="spellStart"/>
      <w:r>
        <w:t>Bharatharaj</w:t>
      </w:r>
      <w:proofErr w:type="spellEnd"/>
      <w:r>
        <w:t xml:space="preserve"> et al., 2017, 2016, 2018) and </w:t>
      </w:r>
      <w:proofErr w:type="spellStart"/>
      <w:r>
        <w:t>RoboParrot</w:t>
      </w:r>
      <w:proofErr w:type="spellEnd"/>
      <w:r>
        <w:t xml:space="preserve"> (Soleiman et al., 2014) for improving learning and social interaction in children with autism, </w:t>
      </w:r>
      <w:proofErr w:type="spellStart"/>
      <w:r>
        <w:t>TeoG</w:t>
      </w:r>
      <w:proofErr w:type="spellEnd"/>
      <w:r>
        <w:t xml:space="preserve"> (Brivio et al., 2021) and Teo (</w:t>
      </w:r>
      <w:proofErr w:type="spellStart"/>
      <w:r>
        <w:t>Bonarini</w:t>
      </w:r>
      <w:proofErr w:type="spellEnd"/>
      <w:r>
        <w:t xml:space="preserve"> et al., 2016) for children with neurodevelopmental disorders. Humanoid or anthropomorphic platforms were developed, such as </w:t>
      </w:r>
      <w:proofErr w:type="spellStart"/>
      <w:r>
        <w:t>CommU</w:t>
      </w:r>
      <w:proofErr w:type="spellEnd"/>
      <w:r>
        <w:t xml:space="preserve"> (Shimaya et al., 2016, 2019), a custom humanoid robot by Hossain et al. (2020), and a 3D printed anthropomorphic robot (Robles-</w:t>
      </w:r>
      <w:proofErr w:type="spellStart"/>
      <w:r>
        <w:t>Bykbaev</w:t>
      </w:r>
      <w:proofErr w:type="spellEnd"/>
      <w:r>
        <w:t xml:space="preserve"> et al., 2018). Modular or adaptable platforms included KERO and a portable modular kit (Tobar et al., 2021), a modified robotic arm (Moorthy &amp; Pugazhenthi, 2017), and </w:t>
      </w:r>
      <w:proofErr w:type="spellStart"/>
      <w:r>
        <w:t>Jawi</w:t>
      </w:r>
      <w:proofErr w:type="spellEnd"/>
      <w:r>
        <w:t xml:space="preserve"> </w:t>
      </w:r>
      <w:proofErr w:type="spellStart"/>
      <w:r>
        <w:t>Alphabot</w:t>
      </w:r>
      <w:proofErr w:type="spellEnd"/>
      <w:r>
        <w:t xml:space="preserve"> using LEGO EV3 (Zamin et al., 2019). </w:t>
      </w:r>
      <w:r>
        <w:lastRenderedPageBreak/>
        <w:t>Mobile robots were also prevalent, such as MARIA (Valadao et al., 2016), N-MARIA (</w:t>
      </w:r>
      <w:proofErr w:type="spellStart"/>
      <w:r>
        <w:t>Binotte</w:t>
      </w:r>
      <w:proofErr w:type="spellEnd"/>
      <w:r>
        <w:t xml:space="preserve"> et al., 2017), BLISS (</w:t>
      </w:r>
      <w:proofErr w:type="spellStart"/>
      <w:r>
        <w:t>Wanglavan</w:t>
      </w:r>
      <w:proofErr w:type="spellEnd"/>
      <w:r>
        <w:t xml:space="preserve"> et al., 2019), and GIPY 1 and POL (</w:t>
      </w:r>
      <w:proofErr w:type="spellStart"/>
      <w:r>
        <w:t>Giannopulu</w:t>
      </w:r>
      <w:proofErr w:type="spellEnd"/>
      <w:r>
        <w:t>, 2013).</w:t>
      </w:r>
    </w:p>
    <w:p w14:paraId="5BCF2597" w14:textId="77777777" w:rsidR="008F2D01" w:rsidRDefault="008F2D01" w:rsidP="008F2D01"/>
    <w:p w14:paraId="34E1E7B9" w14:textId="77777777" w:rsidR="008F2D01" w:rsidRDefault="008F2D01" w:rsidP="008F2D01">
      <w:r>
        <w:t>11 out of 97 papers (11.3%) reported using custom developed non-robotic hardware. The implementations varied significantly, ranging from specialized interfaces to complete intervention systems. Custom hardware was developed for specific therapeutic purposes, such as a robot server and client system for eye contact training (Lee et al., 2013), a "Touch Ball" interface for touch and color feedback (Lee et al., 2014), and a portable robotic modular kit for teaching gestures to children with autism (Tobar et al., 2021). Comprehensive intervention systems with custom hardware components were created, including computer subsystems for in-home interventions (Scassellati, 2018), a hybrid system with specialized equipment for multi-sensory stimulation rooms (Robles-</w:t>
      </w:r>
      <w:proofErr w:type="spellStart"/>
      <w:r>
        <w:t>Bykbaev</w:t>
      </w:r>
      <w:proofErr w:type="spellEnd"/>
      <w:r>
        <w:t xml:space="preserve"> et al., 2018), and a custom workstation for motor skills assessment (Subramani et al., 2017). Existing robotic platforms were enhanced with custom hardware additions, such as a chest mount for a NAO robot (Alnajjar et al., 2021), ultrasonic sensors (Hossain et al., 2020), and components for a soft, mobile autonomous robot (Brivio et al., 2021). Specialized systems were developed for specific goals, like a robot-mediated system for joint attention training (Nie et al., 2018).</w:t>
      </w:r>
    </w:p>
    <w:p w14:paraId="59838430" w14:textId="77777777" w:rsidR="008F2D01" w:rsidRDefault="008F2D01" w:rsidP="008F2D01"/>
    <w:p w14:paraId="2573196E" w14:textId="77777777" w:rsidR="008F2D01" w:rsidRDefault="008F2D01" w:rsidP="008F2D01">
      <w:r>
        <w:t xml:space="preserve">81 out of 96 papers (84.4%) reported using custom developed software. The most common type was custom robot behavior control software, implemented in studies like Scassellati (2018), Valadao et al. (2016), and </w:t>
      </w:r>
      <w:proofErr w:type="spellStart"/>
      <w:r>
        <w:t>Bharatharaj</w:t>
      </w:r>
      <w:proofErr w:type="spellEnd"/>
      <w:r>
        <w:t xml:space="preserve"> et al. (2017) to program specific robot movements, responses, and interactions. Many studies developed custom interactive games and activities tailored to their therapeutic goals, such as a daily routine game (</w:t>
      </w:r>
      <w:proofErr w:type="spellStart"/>
      <w:r>
        <w:t>Attawibulkul</w:t>
      </w:r>
      <w:proofErr w:type="spellEnd"/>
      <w:r>
        <w:t xml:space="preserve"> et al., 2019) and motion-based touchless interactions (</w:t>
      </w:r>
      <w:proofErr w:type="spellStart"/>
      <w:r>
        <w:t>Bonarini</w:t>
      </w:r>
      <w:proofErr w:type="spellEnd"/>
      <w:r>
        <w:t xml:space="preserve"> et al., 2014). Custom algorithms were created for various analytical purposes, including machine learning for processing physiological signals (Welch et al., 2023), attention detection (</w:t>
      </w:r>
      <w:proofErr w:type="spellStart"/>
      <w:r>
        <w:t>Wanglavan</w:t>
      </w:r>
      <w:proofErr w:type="spellEnd"/>
      <w:r>
        <w:t xml:space="preserve"> et al., 2019), facial recognition (</w:t>
      </w:r>
      <w:proofErr w:type="spellStart"/>
      <w:r>
        <w:t>Bharatharaj</w:t>
      </w:r>
      <w:proofErr w:type="spellEnd"/>
      <w:r>
        <w:t xml:space="preserve"> et al., 2016), and specialized assessment systems (Subramani et al., 2017). Comprehensive software platforms were developed, like the OMNIACARE platform for exercise delivery and system management (Pistoia et al., 2017). Others focused on specific educational applications, such as custom software for teaching </w:t>
      </w:r>
      <w:proofErr w:type="spellStart"/>
      <w:r>
        <w:t>Jawi</w:t>
      </w:r>
      <w:proofErr w:type="spellEnd"/>
      <w:r>
        <w:t xml:space="preserve"> letters to children with autism (Zamin et al., 2019).</w:t>
      </w:r>
    </w:p>
    <w:p w14:paraId="1E06B81C" w14:textId="77777777" w:rsidR="008F2D01" w:rsidRDefault="008F2D01" w:rsidP="38E66F8A">
      <w:pPr>
        <w:spacing w:after="0"/>
        <w:jc w:val="both"/>
        <w:rPr>
          <w:rFonts w:ascii="Calibri" w:eastAsia="Calibri" w:hAnsi="Calibri" w:cs="Calibri"/>
        </w:rPr>
      </w:pPr>
    </w:p>
    <w:p w14:paraId="23812DA1" w14:textId="0B98DDCB" w:rsidR="00080B45" w:rsidRDefault="00080B45" w:rsidP="38E66F8A">
      <w:pPr>
        <w:spacing w:after="0"/>
        <w:jc w:val="both"/>
        <w:rPr>
          <w:rFonts w:ascii="Calibri" w:eastAsia="Calibri" w:hAnsi="Calibri" w:cs="Calibri"/>
        </w:rPr>
      </w:pPr>
    </w:p>
    <w:p w14:paraId="7F0DA61F" w14:textId="078FC3C4"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lastRenderedPageBreak/>
        <w:t>Interfaces</w:t>
      </w:r>
    </w:p>
    <w:p w14:paraId="0DE9C468" w14:textId="77777777" w:rsidR="008F2D01" w:rsidRDefault="008F2D01" w:rsidP="008F2D01"/>
    <w:p w14:paraId="178F980A" w14:textId="77777777" w:rsidR="00DB3A5A" w:rsidRDefault="00DB3A5A" w:rsidP="00DB3A5A"/>
    <w:p w14:paraId="7873C3CD" w14:textId="77777777" w:rsidR="00DB3A5A" w:rsidRDefault="00DB3A5A" w:rsidP="00DB3A5A">
      <w:r>
        <w:t xml:space="preserve">63 out of the 97 papers (64.9%) reported using humanoid robots in their studies. The most frequently used humanoid robot was NAO, appearing in 25 studies (Alnajjar et al., 2021; Cervera et al., n.d.; Charron et al., 2017; Conti et al., 2020; De Korte et al., 2020; </w:t>
      </w:r>
      <w:proofErr w:type="spellStart"/>
      <w:r>
        <w:t>Filiou</w:t>
      </w:r>
      <w:proofErr w:type="spellEnd"/>
      <w:r>
        <w:t xml:space="preserve">, 2022; Che Hamid et al., 2013; Hamzah et al., 2014; Kim et al., 2014, 2021; </w:t>
      </w:r>
      <w:proofErr w:type="spellStart"/>
      <w:r>
        <w:t>Marathaki</w:t>
      </w:r>
      <w:proofErr w:type="spellEnd"/>
      <w:r>
        <w:t xml:space="preserve"> et al., 2022; Marino et al., 2020; </w:t>
      </w:r>
      <w:proofErr w:type="spellStart"/>
      <w:r>
        <w:t>Mavadati</w:t>
      </w:r>
      <w:proofErr w:type="spellEnd"/>
      <w:r>
        <w:t xml:space="preserve"> et al., 2014; </w:t>
      </w:r>
      <w:proofErr w:type="spellStart"/>
      <w:r>
        <w:t>Miskam</w:t>
      </w:r>
      <w:proofErr w:type="spellEnd"/>
      <w:r>
        <w:t xml:space="preserve"> et al., 2013; Nie et al., 2018; Papadopoulou et al., 2022; Park &amp; Kwon, 2016; Pennington et al., 2014; Pistoia et al., 2017; </w:t>
      </w:r>
      <w:proofErr w:type="spellStart"/>
      <w:r>
        <w:t>Qidwai</w:t>
      </w:r>
      <w:proofErr w:type="spellEnd"/>
      <w:r>
        <w:t xml:space="preserve"> et al., 2019; Sakka &amp; Gaboriau, 2017; </w:t>
      </w:r>
      <w:proofErr w:type="spellStart"/>
      <w:r>
        <w:t>Sandygulova</w:t>
      </w:r>
      <w:proofErr w:type="spellEnd"/>
      <w:r>
        <w:t xml:space="preserve"> et al., 2019; Shah et al., 2023; She &amp; Ren, 2021; Silvera-Tawil et al., 2018; Taheri et al., 2016, 2018, 2019; Talaei-</w:t>
      </w:r>
      <w:proofErr w:type="spellStart"/>
      <w:r>
        <w:t>Khoeli</w:t>
      </w:r>
      <w:proofErr w:type="spellEnd"/>
      <w:r>
        <w:t xml:space="preserve"> et al., 2017; Tuna, 2022; Welch et al., 2023; </w:t>
      </w:r>
      <w:proofErr w:type="spellStart"/>
      <w:r>
        <w:t>Zhanatkyzy</w:t>
      </w:r>
      <w:proofErr w:type="spellEnd"/>
      <w:r>
        <w:t xml:space="preserve"> et al., 2020; </w:t>
      </w:r>
      <w:proofErr w:type="spellStart"/>
      <w:r>
        <w:t>Simlesa</w:t>
      </w:r>
      <w:proofErr w:type="spellEnd"/>
      <w:r>
        <w:t xml:space="preserve"> et al., 2022). Other humanoid robots used included KASPAR (Costa et al., 2013; Wood et al., 2017, 2019), Zeno (</w:t>
      </w:r>
      <w:proofErr w:type="spellStart"/>
      <w:r>
        <w:t>Bugnariu</w:t>
      </w:r>
      <w:proofErr w:type="spellEnd"/>
      <w:r>
        <w:t xml:space="preserve"> et al., 2013; Li et al., 2020), ZECA (Costa et al., 2014; Silva et al., 2023), and Pepper (</w:t>
      </w:r>
      <w:proofErr w:type="spellStart"/>
      <w:r>
        <w:t>Lemaignan</w:t>
      </w:r>
      <w:proofErr w:type="spellEnd"/>
      <w:r>
        <w:t xml:space="preserve"> et al., 2022). Some studies used specialized humanoid robots like </w:t>
      </w:r>
      <w:proofErr w:type="spellStart"/>
      <w:r>
        <w:t>iCub</w:t>
      </w:r>
      <w:proofErr w:type="spellEnd"/>
      <w:r>
        <w:t xml:space="preserve"> (Chevalier et al., n.d.), </w:t>
      </w:r>
      <w:proofErr w:type="spellStart"/>
      <w:r>
        <w:t>CommU</w:t>
      </w:r>
      <w:proofErr w:type="spellEnd"/>
      <w:r>
        <w:t xml:space="preserve"> (Shimaya et al., 2016, 2019), </w:t>
      </w:r>
      <w:proofErr w:type="spellStart"/>
      <w:r>
        <w:t>QTrobot</w:t>
      </w:r>
      <w:proofErr w:type="spellEnd"/>
      <w:r>
        <w:t xml:space="preserve"> (</w:t>
      </w:r>
      <w:proofErr w:type="spellStart"/>
      <w:r>
        <w:t>Tartarisco</w:t>
      </w:r>
      <w:proofErr w:type="spellEnd"/>
      <w:r>
        <w:t xml:space="preserve"> et al., 2022), and </w:t>
      </w:r>
      <w:proofErr w:type="spellStart"/>
      <w:r>
        <w:t>DARwIn</w:t>
      </w:r>
      <w:proofErr w:type="spellEnd"/>
      <w:r>
        <w:t xml:space="preserve">-OP (Peng et al., 2018). Additionally, some researchers developed custom humanoid robots like KERO (Tobar et al., 2021), </w:t>
      </w:r>
      <w:proofErr w:type="spellStart"/>
      <w:r>
        <w:t>TeoG</w:t>
      </w:r>
      <w:proofErr w:type="spellEnd"/>
      <w:r>
        <w:t xml:space="preserve"> (Brivio et al., 2021), and </w:t>
      </w:r>
      <w:proofErr w:type="spellStart"/>
      <w:r>
        <w:t>Jammo</w:t>
      </w:r>
      <w:proofErr w:type="spellEnd"/>
      <w:r>
        <w:t xml:space="preserve"> (Abdelmohsen &amp; Arafa, 2021).</w:t>
      </w:r>
    </w:p>
    <w:p w14:paraId="0C2B97C5" w14:textId="77777777" w:rsidR="00DB3A5A" w:rsidRDefault="00DB3A5A" w:rsidP="00DB3A5A"/>
    <w:p w14:paraId="25E5A0C5" w14:textId="77777777" w:rsidR="00DB3A5A" w:rsidRDefault="00DB3A5A" w:rsidP="00DB3A5A">
      <w:r>
        <w:t>41 out of the 97 papers (42.3%) reported using control systems in their studies. The control systems identified can be categorized into autonomous navigation systems, mobile platforms, programmable robots, and teleoperated/remote-controlled systems. Autonomous navigation systems were implemented in multiple studies, with robots capable of independent movement and interaction (</w:t>
      </w:r>
      <w:proofErr w:type="spellStart"/>
      <w:r>
        <w:t>Bharatharaj</w:t>
      </w:r>
      <w:proofErr w:type="spellEnd"/>
      <w:r>
        <w:t xml:space="preserve"> et al., 2017; </w:t>
      </w:r>
      <w:proofErr w:type="spellStart"/>
      <w:r>
        <w:t>Bonarini</w:t>
      </w:r>
      <w:proofErr w:type="spellEnd"/>
      <w:r>
        <w:t xml:space="preserve"> et al., 2016; Brivio et al., 2021). Mobile platforms were another common implementation (Agel et al., 2020; </w:t>
      </w:r>
      <w:proofErr w:type="spellStart"/>
      <w:r>
        <w:t>Attawibulkul</w:t>
      </w:r>
      <w:proofErr w:type="spellEnd"/>
      <w:r>
        <w:t xml:space="preserve"> et al., 2019). Programmable robots, such as the Bee-Bot, were employed in several studies (</w:t>
      </w:r>
      <w:proofErr w:type="spellStart"/>
      <w:r>
        <w:t>Chaldi</w:t>
      </w:r>
      <w:proofErr w:type="spellEnd"/>
      <w:r>
        <w:t xml:space="preserve"> &amp; </w:t>
      </w:r>
      <w:proofErr w:type="spellStart"/>
      <w:r>
        <w:t>Mantzanidou</w:t>
      </w:r>
      <w:proofErr w:type="spellEnd"/>
      <w:r>
        <w:t xml:space="preserve">, 2021; Pérez-Vazquez et al., 2022). Teleoperation and remote control systems were frequently utilized, allowing therapists or researchers to control the robots during interventions (Li et al., 2020; </w:t>
      </w:r>
      <w:proofErr w:type="spellStart"/>
      <w:r>
        <w:t>Bharatharaj</w:t>
      </w:r>
      <w:proofErr w:type="spellEnd"/>
      <w:r>
        <w:t xml:space="preserve"> et al., 2016; </w:t>
      </w:r>
      <w:proofErr w:type="spellStart"/>
      <w:r>
        <w:t>Tartarisco</w:t>
      </w:r>
      <w:proofErr w:type="spellEnd"/>
      <w:r>
        <w:t xml:space="preserve"> et al., 2022).</w:t>
      </w:r>
    </w:p>
    <w:p w14:paraId="755571EA" w14:textId="77777777" w:rsidR="00DB3A5A" w:rsidRDefault="00DB3A5A" w:rsidP="00DB3A5A"/>
    <w:p w14:paraId="221AE95D" w14:textId="77777777" w:rsidR="00DB3A5A" w:rsidRDefault="00DB3A5A" w:rsidP="00DB3A5A">
      <w:r>
        <w:t xml:space="preserve">55 out of the 97 papers (56.7%) incorporated visual sensors in their studies. The most commonly employed visual sensors were standard video cameras and webcams, used for behavior monitoring, interaction recording, and analysis (Valadao et al., 2016; </w:t>
      </w:r>
      <w:proofErr w:type="spellStart"/>
      <w:r>
        <w:t>Bharatharaj</w:t>
      </w:r>
      <w:proofErr w:type="spellEnd"/>
      <w:r>
        <w:t xml:space="preserve"> </w:t>
      </w:r>
      <w:r>
        <w:lastRenderedPageBreak/>
        <w:t>et al., 2017; Boccanfuso et al., 2016). More sophisticated applications included facial recognition, emotion detection, and gaze tracking (Brivio et al., 2021; Kim et al., 2021). Specialized visual sensing equipment like the Microsoft Kinect sensor was frequently employed for motion and gesture recognition (</w:t>
      </w:r>
      <w:proofErr w:type="spellStart"/>
      <w:r>
        <w:t>Bonarini</w:t>
      </w:r>
      <w:proofErr w:type="spellEnd"/>
      <w:r>
        <w:t xml:space="preserve"> et al., 2014, 2016; Taheri et al., 2019). Advanced robotic platforms like the NAO robot, featuring built-in cameras, were utilized in multiple studies (Alnajjar et al., 2021; Conti et al., 2020). Eye tracking technologies were specifically implemented in studies focusing on gaze behavior and attention (</w:t>
      </w:r>
      <w:proofErr w:type="spellStart"/>
      <w:r>
        <w:t>Casellato</w:t>
      </w:r>
      <w:proofErr w:type="spellEnd"/>
      <w:r>
        <w:t xml:space="preserve"> et al., 2017; </w:t>
      </w:r>
      <w:proofErr w:type="spellStart"/>
      <w:r>
        <w:t>Mavadati</w:t>
      </w:r>
      <w:proofErr w:type="spellEnd"/>
      <w:r>
        <w:t xml:space="preserve"> et al., 2014). RGB-D sensors and depth cameras were also prominent, particularly in studies requiring precise motion tracking or gesture recognition (</w:t>
      </w:r>
      <w:proofErr w:type="spellStart"/>
      <w:r>
        <w:t>Tartarisco</w:t>
      </w:r>
      <w:proofErr w:type="spellEnd"/>
      <w:r>
        <w:t xml:space="preserve"> et al., 2022).</w:t>
      </w:r>
    </w:p>
    <w:p w14:paraId="7D7753DF" w14:textId="77777777" w:rsidR="00DB3A5A" w:rsidRDefault="00DB3A5A" w:rsidP="00DB3A5A"/>
    <w:p w14:paraId="6674DD9B" w14:textId="77777777" w:rsidR="00DB3A5A" w:rsidRDefault="00DB3A5A" w:rsidP="00DB3A5A">
      <w:r>
        <w:t>18 out of the 97 papers (18.6%) reported using physical sensors in their studies. The physical sensors implemented can be categorized into tactile/touch sensors, motion sensors, physiological sensors, and other specialized sensors. Tactile and touch sensors were the most commonly implemented (</w:t>
      </w:r>
      <w:proofErr w:type="spellStart"/>
      <w:r>
        <w:t>Bharatharaj</w:t>
      </w:r>
      <w:proofErr w:type="spellEnd"/>
      <w:r>
        <w:t xml:space="preserve"> et al., 2018; </w:t>
      </w:r>
      <w:proofErr w:type="spellStart"/>
      <w:r>
        <w:t>Bonarini</w:t>
      </w:r>
      <w:proofErr w:type="spellEnd"/>
      <w:r>
        <w:t xml:space="preserve"> et al., 2016; Costa et al., 2013; </w:t>
      </w:r>
      <w:proofErr w:type="spellStart"/>
      <w:r>
        <w:t>Sandygulova</w:t>
      </w:r>
      <w:proofErr w:type="spellEnd"/>
      <w:r>
        <w:t xml:space="preserve"> et al., 2019; Lee et al., 2014). Motion-related sensors, including accelerometers and gyroscopes, were also frequently utilized (Boccanfuso et al., 2016; Brivio et al., 2021). Several studies incorporated physiological sensors for monitoring participant responses, such as heart rate variability monitoring (</w:t>
      </w:r>
      <w:proofErr w:type="spellStart"/>
      <w:r>
        <w:t>Tartarisco</w:t>
      </w:r>
      <w:proofErr w:type="spellEnd"/>
      <w:r>
        <w:t xml:space="preserve"> et al., 2022), electrodermal activity, skin temperature, and blood volume pulse (Welch et al., 2023), and EMG sensors for detecting facial muscle activity (Kim et al., 2021). Other specialized sensors included ultrasonic sensors (</w:t>
      </w:r>
      <w:proofErr w:type="spellStart"/>
      <w:r>
        <w:t>Bharatharaj</w:t>
      </w:r>
      <w:proofErr w:type="spellEnd"/>
      <w:r>
        <w:t xml:space="preserve"> et al., 2018; Pistoia et al., 2017), infrared sensors (Soleiman et al., 2014), microphones for sound recording (Peng et al., 2018; She &amp; Ren, 2021), and force-torque sensors and motion capture markers for detailed movement analysis (Subramani et al., 2017).</w:t>
      </w:r>
    </w:p>
    <w:p w14:paraId="2C666C36" w14:textId="77777777" w:rsidR="00DB3A5A" w:rsidRDefault="00DB3A5A" w:rsidP="00DB3A5A"/>
    <w:p w14:paraId="179BE1BC" w14:textId="77777777" w:rsidR="00DB3A5A" w:rsidRDefault="00DB3A5A" w:rsidP="00DB3A5A">
      <w:r>
        <w:t xml:space="preserve">37 out of the 97 papers (38.5%) reported using display interfaces such as touchscreens, interactive displays, and graphical user interfaces (GUIs). Touchscreen interfaces, particularly through tablets and mobile devices, were prominently featured in multiple studies (Brivio et al., 2021; Li et al., 2020; Marino et al., 2020; </w:t>
      </w:r>
      <w:proofErr w:type="spellStart"/>
      <w:r>
        <w:t>Pliasa</w:t>
      </w:r>
      <w:proofErr w:type="spellEnd"/>
      <w:r>
        <w:t xml:space="preserve"> &amp; </w:t>
      </w:r>
      <w:proofErr w:type="spellStart"/>
      <w:r>
        <w:t>Fachantidis</w:t>
      </w:r>
      <w:proofErr w:type="spellEnd"/>
      <w:r>
        <w:t>, 2021). Desktop and larger display systems were also common (Abdelmohsen &amp; Arafa, 2021; Subramani et al., 2017). Several robotic platforms incorporated built-in display interfaces, such as the BLISS robot version 3 featuring an interactive touch screen (</w:t>
      </w:r>
      <w:proofErr w:type="spellStart"/>
      <w:r>
        <w:t>Attawibulkul</w:t>
      </w:r>
      <w:proofErr w:type="spellEnd"/>
      <w:r>
        <w:t xml:space="preserve"> et al., 2019) and </w:t>
      </w:r>
      <w:proofErr w:type="spellStart"/>
      <w:r>
        <w:t>QTrobot</w:t>
      </w:r>
      <w:proofErr w:type="spellEnd"/>
      <w:r>
        <w:t xml:space="preserve"> including a screen for presenting animated faces (</w:t>
      </w:r>
      <w:proofErr w:type="spellStart"/>
      <w:r>
        <w:t>Tartarisco</w:t>
      </w:r>
      <w:proofErr w:type="spellEnd"/>
      <w:r>
        <w:t xml:space="preserve"> et al., 2022). The purposes of these interfaces varied significantly across studies, including displaying visual stimuli (Carlson et al., 2018), providing color feedback (Lee et al., 2014), </w:t>
      </w:r>
      <w:r>
        <w:lastRenderedPageBreak/>
        <w:t>enabling robot control through graphical interfaces (Silvera-Tawil et al., 2018), and facilitating educational games (Tobar et al., 2021).</w:t>
      </w:r>
    </w:p>
    <w:p w14:paraId="522FB63F" w14:textId="77777777" w:rsidR="00DB3A5A" w:rsidRDefault="00DB3A5A" w:rsidP="00DB3A5A"/>
    <w:p w14:paraId="4F337529" w14:textId="77777777" w:rsidR="00DB3A5A" w:rsidRDefault="00DB3A5A" w:rsidP="00DB3A5A">
      <w:r>
        <w:t>Only 2 out of the 97 papers (2.1%) reported the use of immersive interfaces such as Virtual Reality (VR) or Augmented Reality (AR) in their studies. Reardon et al. (2018) implemented AR interfaces through Google Glass in their research on educational applications for students with intellectual disabilities. Zanatta et al. (2023) examined the integration of virtual reality interfaces in combination with robot-assisted therapy, specifically analyzing their impact on health-related quality of life in neurological patients.</w:t>
      </w:r>
    </w:p>
    <w:p w14:paraId="04228069" w14:textId="77777777" w:rsidR="00DB3A5A" w:rsidRDefault="00DB3A5A" w:rsidP="00DB3A5A"/>
    <w:p w14:paraId="66F65C7F" w14:textId="77777777" w:rsidR="00DB3A5A" w:rsidRDefault="00DB3A5A" w:rsidP="00DB3A5A">
      <w:r>
        <w:t xml:space="preserve">6 out of the 97 papers (6.2%) incorporated physical feedback mechanisms such as haptic interfaces or force-feedback systems. </w:t>
      </w:r>
      <w:proofErr w:type="spellStart"/>
      <w:r>
        <w:t>Casellato</w:t>
      </w:r>
      <w:proofErr w:type="spellEnd"/>
      <w:r>
        <w:t xml:space="preserve"> et al. (2017) utilized a robotic manipulandum that provided haptic force feedback for motor execution assessment. </w:t>
      </w:r>
      <w:proofErr w:type="spellStart"/>
      <w:r>
        <w:t>Lemaignan</w:t>
      </w:r>
      <w:proofErr w:type="spellEnd"/>
      <w:r>
        <w:t xml:space="preserve"> et al. (2022) implemented physical interaction through the social robot Pepper, specifically incorporating hugging activities as a form of physical feedback. </w:t>
      </w:r>
      <w:proofErr w:type="spellStart"/>
      <w:r>
        <w:t>Sartorato</w:t>
      </w:r>
      <w:proofErr w:type="spellEnd"/>
      <w:r>
        <w:t xml:space="preserve"> et al. (2017) developed touch-reactive response systems to enhance sensory processing capabilities. More sophisticated haptic implementations were observed in several studies, such as Silva et al. (2023) incorporating haptic feedback through an OPT device, Subramani et al. (2017) implementing force feedback mechanisms using force-torque sensors, and Taheri et al. (2018) employing the Phantom Omni device as a haptic interface.</w:t>
      </w:r>
    </w:p>
    <w:p w14:paraId="14476C1A" w14:textId="77777777" w:rsidR="00DB3A5A" w:rsidRDefault="00DB3A5A" w:rsidP="00DB3A5A"/>
    <w:p w14:paraId="207AA036" w14:textId="77777777" w:rsidR="00DB3A5A" w:rsidRDefault="00DB3A5A" w:rsidP="00DB3A5A">
      <w:r>
        <w:t>59 out of the 97 papers (61%) incorporated communication feedback systems such as voice recognition and speech synthesis. The implementation of communication feedback systems was predominantly achieved through speech synthesis capabilities, which were integrated into various robotic platforms like NAO (Charron et al., 2017; Conti et al., 2020; Papadopoulou et al., 2022; Pennington et al., 2014), MARIA (Valadao et al., 2016), Teo (</w:t>
      </w:r>
      <w:proofErr w:type="spellStart"/>
      <w:r>
        <w:t>Bonarini</w:t>
      </w:r>
      <w:proofErr w:type="spellEnd"/>
      <w:r>
        <w:t xml:space="preserve"> et al., 2016), and </w:t>
      </w:r>
      <w:proofErr w:type="spellStart"/>
      <w:r>
        <w:t>QTrobot</w:t>
      </w:r>
      <w:proofErr w:type="spellEnd"/>
      <w:r>
        <w:t xml:space="preserve"> (</w:t>
      </w:r>
      <w:proofErr w:type="spellStart"/>
      <w:r>
        <w:t>Tartarisco</w:t>
      </w:r>
      <w:proofErr w:type="spellEnd"/>
      <w:r>
        <w:t xml:space="preserve"> et al., 2022). The communication feedback systems served various purposes, such as providing instructions or verbal feedback during therapeutic interventions (</w:t>
      </w:r>
      <w:proofErr w:type="spellStart"/>
      <w:r>
        <w:t>Bugnariu</w:t>
      </w:r>
      <w:proofErr w:type="spellEnd"/>
      <w:r>
        <w:t xml:space="preserve"> et al., 2013; Marino et al., 2020), facilitating emotional expression through sound effects (Boccanfuso et al., 2016), and enabling language development (She &amp; Ren, 2021). Several studies implemented more complex communication systems that combined both speech synthesis and voice recognition capabilities (Lee et al., 2013; Papadopoulou et al., 2022). Some researchers opted for alternative approaches to voice communication, such as using pre-recorded human voice </w:t>
      </w:r>
      <w:r>
        <w:lastRenderedPageBreak/>
        <w:t>files (Park &amp; Kwon, 2016) or incorporating MP3 modules for sound playback (Yin &amp; Tung, 2013).</w:t>
      </w:r>
    </w:p>
    <w:p w14:paraId="19E1145A" w14:textId="77777777" w:rsidR="008F2D01" w:rsidRDefault="008F2D01" w:rsidP="008F2D01"/>
    <w:p w14:paraId="415020DA" w14:textId="77777777" w:rsidR="008F2D01" w:rsidRPr="008F2D01" w:rsidRDefault="008F2D01" w:rsidP="008F2D01"/>
    <w:p w14:paraId="6D18881D" w14:textId="02817C88" w:rsidR="00080B45" w:rsidRDefault="00080B45" w:rsidP="38E66F8A">
      <w:pPr>
        <w:spacing w:after="0"/>
        <w:jc w:val="both"/>
        <w:rPr>
          <w:rFonts w:ascii="Calibri" w:eastAsia="Calibri" w:hAnsi="Calibri" w:cs="Calibri"/>
        </w:rPr>
      </w:pPr>
    </w:p>
    <w:p w14:paraId="4D427196" w14:textId="60E179F0"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 xml:space="preserve">Robotic platforms and other uses of artificial intelligence </w:t>
      </w:r>
    </w:p>
    <w:p w14:paraId="3190B521" w14:textId="75B26A0C" w:rsidR="00080B45" w:rsidRDefault="00080B45" w:rsidP="38E66F8A">
      <w:pPr>
        <w:spacing w:after="0"/>
        <w:jc w:val="both"/>
        <w:rPr>
          <w:rFonts w:ascii="Calibri" w:eastAsia="Calibri" w:hAnsi="Calibri" w:cs="Calibri"/>
        </w:rPr>
      </w:pPr>
    </w:p>
    <w:p w14:paraId="40A25610" w14:textId="77777777" w:rsidR="0032190A" w:rsidRDefault="0032190A" w:rsidP="0032190A">
      <w:r>
        <w:t xml:space="preserve">81 out of 96 papers (84.4%) incorporated robot control systems in their studies. The most commonly implemented control systems were expressive body movement control and movement capability control, often utilizing humanoid robots like the NAO robot (Alnajjar et al., 2021; Conti et al., 2020; Santos et al., 2023). Sophisticated control mechanisms for facial expressions and eye movements were also prevalent (Wood et al., 2017; Yun et al., 2016; Abdelmohsen &amp; Arafa, 2021), along with LED-based expression systems (Silvera-Tawil et al., 2018; Yin &amp; Tung, 2013) and touch-reactive response systems (Brivio et al., 2021; </w:t>
      </w:r>
      <w:proofErr w:type="spellStart"/>
      <w:r>
        <w:t>Bonarini</w:t>
      </w:r>
      <w:proofErr w:type="spellEnd"/>
      <w:r>
        <w:t xml:space="preserve"> et al., 2016). Life-like expression generation was achieved through combinations of movement, sound, and visual feedback systems (Sakka &amp; Gaboriau, 2017; </w:t>
      </w:r>
      <w:proofErr w:type="spellStart"/>
      <w:r>
        <w:t>Tartarisco</w:t>
      </w:r>
      <w:proofErr w:type="spellEnd"/>
      <w:r>
        <w:t xml:space="preserve"> et al., 2022). The sophistication of control systems varied significantly, from basic movement controls in simpler robots like the Bee-Bot (</w:t>
      </w:r>
      <w:proofErr w:type="spellStart"/>
      <w:r>
        <w:t>Chaldi</w:t>
      </w:r>
      <w:proofErr w:type="spellEnd"/>
      <w:r>
        <w:t xml:space="preserve"> &amp; </w:t>
      </w:r>
      <w:proofErr w:type="spellStart"/>
      <w:r>
        <w:t>Mantzanidou</w:t>
      </w:r>
      <w:proofErr w:type="spellEnd"/>
      <w:r>
        <w:t>, 2021) to complex, multi-modal systems in advanced humanoid robots.</w:t>
      </w:r>
    </w:p>
    <w:p w14:paraId="2ECC8CDD" w14:textId="77777777" w:rsidR="0032190A" w:rsidRDefault="0032190A" w:rsidP="0032190A"/>
    <w:p w14:paraId="7844C715" w14:textId="77777777" w:rsidR="0032190A" w:rsidRDefault="0032190A" w:rsidP="0032190A">
      <w:r>
        <w:t xml:space="preserve">86 out of 96 papers (89.6%) implemented Interactive AI Systems. Human-robot communication systems were the most common, facilitating both verbal and non-verbal interactions (Scassellati et al., 2018; </w:t>
      </w:r>
      <w:proofErr w:type="spellStart"/>
      <w:r>
        <w:t>Bharatharaj</w:t>
      </w:r>
      <w:proofErr w:type="spellEnd"/>
      <w:r>
        <w:t xml:space="preserve"> et al., 2017). Social behavior promotion systems were designed to enhance social skills and interactions through structured activities and games (Marino et al., 2020; Wood et al., 2019). Dyadic interaction systems focused on one-on-one interactions for personalized interventions (</w:t>
      </w:r>
      <w:proofErr w:type="spellStart"/>
      <w:r>
        <w:t>Giannopulu</w:t>
      </w:r>
      <w:proofErr w:type="spellEnd"/>
      <w:r>
        <w:t>, 2013; Nie et al., 2018). Verbal interaction systems incorporated speech recognition and generation capabilities (She &amp; Ren, 2021; Silvera-Tawil et al., 2018), while non-verbal interaction systems focused on gesture recognition and emotional expression through robotic movements (Kim et al., 2021; Tobar et al., 2021).</w:t>
      </w:r>
    </w:p>
    <w:p w14:paraId="019677CE" w14:textId="77777777" w:rsidR="0032190A" w:rsidRDefault="0032190A" w:rsidP="0032190A"/>
    <w:p w14:paraId="047EC107" w14:textId="77777777" w:rsidR="0032190A" w:rsidRDefault="0032190A" w:rsidP="0032190A">
      <w:r>
        <w:t xml:space="preserve">14 out of 97 papers (14.4%) implemented Adaptive Learning Systems. Difficulty adaptation algorithms were used to personalize interactions based on performance (Scassellati, 2018; Scassellati et al., 2018; Alnajjar et al., 2021; De Korte et al., 2020; Marino et al., </w:t>
      </w:r>
      <w:r>
        <w:lastRenderedPageBreak/>
        <w:t>2020). Prompting hierarchies, such as least-to-most prompting (Kim et al., 2014), System of Least Prompts, System of Most Prompts, and Constant Time Delay (Reardon et al., 2018), and hierarchies ranging from most to least moderate support (Tuna, 2022) were employed. Some studies combined multiple adaptive learning strategies, such as adaptive difficulty and prompting systems (Brivio et al., 2021), prompting systems with adaptive difficulty levels (Charron et al., 2017), and the SAS strategy incorporating visual prompts and scaffolding techniques (Nanou et al., 2021). Santos et al. (2023) provided a comprehensive review of various adaptive learning systems used across multiple studies.</w:t>
      </w:r>
    </w:p>
    <w:p w14:paraId="0DBFDCF3" w14:textId="77777777" w:rsidR="0032190A" w:rsidRDefault="0032190A" w:rsidP="0032190A"/>
    <w:p w14:paraId="148C061E" w14:textId="77777777" w:rsidR="0032190A" w:rsidRDefault="0032190A" w:rsidP="0032190A">
      <w:r>
        <w:t>13 out of 96 papers (13.5%) incorporated machine learning applications. Behavioral and interaction analysis utilized classification algorithms like K-nearest neighbors, Support Vector Machines, decision trees, and random forest classifiers (</w:t>
      </w:r>
      <w:proofErr w:type="spellStart"/>
      <w:r>
        <w:t>Wanglavan</w:t>
      </w:r>
      <w:proofErr w:type="spellEnd"/>
      <w:r>
        <w:t xml:space="preserve"> et al., 2019; Welch et al., 2023; Nie et al., 2018). Computer vision and recognition systems employed Haar-cascade classifiers for face detection (Yun et al., 2016), face recognition techniques (</w:t>
      </w:r>
      <w:proofErr w:type="spellStart"/>
      <w:r>
        <w:t>Bharatharaj</w:t>
      </w:r>
      <w:proofErr w:type="spellEnd"/>
      <w:r>
        <w:t xml:space="preserve"> et al., 2016), color detection and object tracking algorithms (Agel et al., 2020), and support vector machines for image classification (Reardon et al., 2018). Advanced interaction capabilities were achieved through neural networks for dialogue generation (She &amp; Ren, 2021), Variable-order Markov Models for gaze pattern analysis (</w:t>
      </w:r>
      <w:proofErr w:type="spellStart"/>
      <w:r>
        <w:t>Mavadati</w:t>
      </w:r>
      <w:proofErr w:type="spellEnd"/>
      <w:r>
        <w:t xml:space="preserve"> et al., 2014), engagement classification models (</w:t>
      </w:r>
      <w:proofErr w:type="spellStart"/>
      <w:r>
        <w:t>Rakhymbayeva</w:t>
      </w:r>
      <w:proofErr w:type="spellEnd"/>
      <w:r>
        <w:t xml:space="preserve"> &amp; </w:t>
      </w:r>
      <w:proofErr w:type="spellStart"/>
      <w:r>
        <w:t>Sandygulova</w:t>
      </w:r>
      <w:proofErr w:type="spellEnd"/>
      <w:r>
        <w:t>, 2021), and EMG sensor data analysis for physiological response assessment (Kim et al., 2021). Santos et al. (2023) provided a comprehensive overview of machine learning techniques implemented across multiple studies.</w:t>
      </w:r>
    </w:p>
    <w:p w14:paraId="5AD36B12" w14:textId="77777777" w:rsidR="0032190A" w:rsidRDefault="0032190A" w:rsidP="0032190A"/>
    <w:p w14:paraId="7BBF6A15" w14:textId="77777777" w:rsidR="0032190A" w:rsidRDefault="0032190A" w:rsidP="0032190A">
      <w:r>
        <w:t>30 out of 96 papers (31.3%) incorporated signal processing systems. Facial feature recognition systems were used to analyze participants' expressions and responses (Alnajjar et al., 2021; Kim et al., 2021; Marino et al., 2020) and for eye contact training (Lee et al., 2013). Gesture and movement recognition systems were implemented for motion-based interaction (</w:t>
      </w:r>
      <w:proofErr w:type="spellStart"/>
      <w:r>
        <w:t>Bonarini</w:t>
      </w:r>
      <w:proofErr w:type="spellEnd"/>
      <w:r>
        <w:t xml:space="preserve"> et al., 2014, 2016) and motor imitation behavior analysis (</w:t>
      </w:r>
      <w:proofErr w:type="spellStart"/>
      <w:r>
        <w:t>Bugnariu</w:t>
      </w:r>
      <w:proofErr w:type="spellEnd"/>
      <w:r>
        <w:t xml:space="preserve"> et al., 2013; Conti et al., 2020). Some studies combined multiple signal processing systems, such as facial feature recognition with non-verbal cue interpretation (Marino et al., 2020) or movement recognition (Yun et al., 2014, 2016). Specialized applications included sound analysis for music-based interaction (Peng et al., 2018), physiological signal processing (</w:t>
      </w:r>
      <w:proofErr w:type="spellStart"/>
      <w:r>
        <w:t>Tartarisco</w:t>
      </w:r>
      <w:proofErr w:type="spellEnd"/>
      <w:r>
        <w:t xml:space="preserve"> et al., 2022), and head pose recognition for joint attention analysis (Nie et al., 2018).</w:t>
      </w:r>
    </w:p>
    <w:p w14:paraId="31BE4453" w14:textId="3C932155" w:rsidR="00080B45" w:rsidRDefault="00080B45" w:rsidP="38E66F8A">
      <w:pPr>
        <w:spacing w:after="0"/>
        <w:jc w:val="both"/>
        <w:rPr>
          <w:rFonts w:ascii="Calibri" w:eastAsia="Calibri" w:hAnsi="Calibri" w:cs="Calibri"/>
        </w:rPr>
      </w:pPr>
    </w:p>
    <w:p w14:paraId="5FE9C128" w14:textId="4ACF93C1" w:rsidR="00080B45" w:rsidRDefault="00BB6963" w:rsidP="38E66F8A">
      <w:pPr>
        <w:pStyle w:val="Heading2"/>
        <w:spacing w:before="40" w:after="0"/>
        <w:rPr>
          <w:rFonts w:ascii="Calibri" w:eastAsia="Calibri" w:hAnsi="Calibri" w:cs="Calibri"/>
          <w:color w:val="2F5496"/>
          <w:sz w:val="24"/>
          <w:szCs w:val="24"/>
        </w:rPr>
      </w:pPr>
      <w:r>
        <w:rPr>
          <w:rFonts w:ascii="Calibri" w:eastAsia="Calibri" w:hAnsi="Calibri" w:cs="Calibri"/>
          <w:color w:val="2F5496"/>
          <w:sz w:val="24"/>
          <w:szCs w:val="24"/>
        </w:rPr>
        <w:lastRenderedPageBreak/>
        <w:t>Findings</w:t>
      </w:r>
    </w:p>
    <w:p w14:paraId="44710FB1" w14:textId="77777777" w:rsidR="0032190A" w:rsidRPr="0032190A" w:rsidRDefault="0032190A" w:rsidP="0032190A"/>
    <w:p w14:paraId="2FA4C52B" w14:textId="0003181F" w:rsidR="0032190A" w:rsidRDefault="00BB6963" w:rsidP="0032190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Information processing</w:t>
      </w:r>
      <w:r w:rsidR="002A6515">
        <w:rPr>
          <w:rFonts w:ascii="Calibri" w:eastAsia="Calibri" w:hAnsi="Calibri" w:cs="Calibri"/>
          <w:color w:val="1F3763"/>
          <w:sz w:val="24"/>
          <w:szCs w:val="24"/>
        </w:rPr>
        <w:t xml:space="preserve"> </w:t>
      </w:r>
    </w:p>
    <w:p w14:paraId="4D634352" w14:textId="77777777" w:rsidR="00874342" w:rsidRDefault="00874342" w:rsidP="00874342"/>
    <w:p w14:paraId="4C5B01A9" w14:textId="77777777" w:rsidR="00874342" w:rsidRDefault="00874342" w:rsidP="00874342">
      <w:r>
        <w:t>83 papers used direct observation methods to gather results, while 13 papers did not employ such methods, indicating that direct observation was the predominant methodology used across the reviewed studies (approximately 86.5% of the total papers). The most commonly used methods were video recording analysis (</w:t>
      </w:r>
      <w:proofErr w:type="spellStart"/>
      <w:r>
        <w:t>Puyon</w:t>
      </w:r>
      <w:proofErr w:type="spellEnd"/>
      <w:r>
        <w:t xml:space="preserve"> &amp; </w:t>
      </w:r>
      <w:proofErr w:type="spellStart"/>
      <w:r>
        <w:t>Giannopulu</w:t>
      </w:r>
      <w:proofErr w:type="spellEnd"/>
      <w:r>
        <w:t xml:space="preserve">, 2013; </w:t>
      </w:r>
      <w:proofErr w:type="spellStart"/>
      <w:r>
        <w:t>Zhanatkyzy</w:t>
      </w:r>
      <w:proofErr w:type="spellEnd"/>
      <w:r>
        <w:t xml:space="preserve"> et al., 2020), audio recording analysis (Hong et al., 2022), structured protocols with observation sheets and trial-by-trial data collection forms (</w:t>
      </w:r>
      <w:proofErr w:type="spellStart"/>
      <w:r>
        <w:t>Chaldi</w:t>
      </w:r>
      <w:proofErr w:type="spellEnd"/>
      <w:r>
        <w:t xml:space="preserve"> &amp; </w:t>
      </w:r>
      <w:proofErr w:type="spellStart"/>
      <w:r>
        <w:t>Mantzanidou</w:t>
      </w:r>
      <w:proofErr w:type="spellEnd"/>
      <w:r>
        <w:t>, 2021; Pérez-Vazquez et al., 2022), multiple camera angles (Silva et al., 2023), and quantitative measurements like interaction logs or performance metrics (Subramani et al., 2017). Some studies also used focus groups and interviews (Silvera-Tawil et al., 2018), position and force data analysis from robotic systems (Subramani et al., 2017), and behavioral observation protocols designed for autism intervention research. The combination of multiple observation methods within single studies was common, suggesting a trend toward comprehensive data collection approaches.</w:t>
      </w:r>
    </w:p>
    <w:p w14:paraId="5A5B8510" w14:textId="77777777" w:rsidR="00874342" w:rsidRDefault="00874342" w:rsidP="00874342"/>
    <w:p w14:paraId="79D830C7" w14:textId="77777777" w:rsidR="00874342" w:rsidRDefault="00874342" w:rsidP="00874342">
      <w:r>
        <w:t xml:space="preserve">44 papers (approximately 46%) incorporated stakeholder feedback methods in their research methodology, while 52 papers did not include such methods. The stakeholder feedback was primarily collected through parent/caregiver surveys and questionnaires (Scassellati, 2018; Abdelmohsen &amp; Arafa, 2021; </w:t>
      </w:r>
      <w:proofErr w:type="spellStart"/>
      <w:r>
        <w:t>Attawibulkul</w:t>
      </w:r>
      <w:proofErr w:type="spellEnd"/>
      <w:r>
        <w:t xml:space="preserve"> et al., 2019), professional clinical feedback from therapists, psychologists, and medical professionals (</w:t>
      </w:r>
      <w:proofErr w:type="spellStart"/>
      <w:r>
        <w:t>Bharatharaj</w:t>
      </w:r>
      <w:proofErr w:type="spellEnd"/>
      <w:r>
        <w:t xml:space="preserve"> et al., 2017; </w:t>
      </w:r>
      <w:proofErr w:type="spellStart"/>
      <w:r>
        <w:t>Bonarini</w:t>
      </w:r>
      <w:proofErr w:type="spellEnd"/>
      <w:r>
        <w:t xml:space="preserve"> et al., 2016; Conti et al., 2020), and educational stakeholder feedback from teachers and special education professionals (Costa et al., 2013; Hamzah et al., 2014; </w:t>
      </w:r>
      <w:proofErr w:type="spellStart"/>
      <w:r>
        <w:t>Lemaignan</w:t>
      </w:r>
      <w:proofErr w:type="spellEnd"/>
      <w:r>
        <w:t xml:space="preserve"> et al., 2022). Some studies employed a comprehensive multi-stakeholder approach, gathering feedback from multiple sources simultaneously (</w:t>
      </w:r>
      <w:proofErr w:type="spellStart"/>
      <w:r>
        <w:t>Bharatharaj</w:t>
      </w:r>
      <w:proofErr w:type="spellEnd"/>
      <w:r>
        <w:t xml:space="preserve"> et al., 2017; Charron et al., 2017; De Korte et al., 2020). The feedback collection methods varied across studies, including structured interviews (</w:t>
      </w:r>
      <w:proofErr w:type="spellStart"/>
      <w:r>
        <w:t>Sandygulova</w:t>
      </w:r>
      <w:proofErr w:type="spellEnd"/>
      <w:r>
        <w:t xml:space="preserve"> et al., 2019), satisfaction questionnaires (Papadopoulou et al., 2022), observational assessments (Shimaya et al., 2016), and standardized evaluation forms.</w:t>
      </w:r>
    </w:p>
    <w:p w14:paraId="75D4414B" w14:textId="77777777" w:rsidR="00874342" w:rsidRDefault="00874342" w:rsidP="00874342"/>
    <w:p w14:paraId="737706AB" w14:textId="77777777" w:rsidR="00874342" w:rsidRDefault="00874342" w:rsidP="00874342">
      <w:r>
        <w:t xml:space="preserve">31 papers reported using standardized assessment tools in their studies, while 65 papers did not employ such tools. The standardized assessment tools utilized across these studies can be categorized into several primary domains: autism-specific assessments </w:t>
      </w:r>
      <w:r>
        <w:lastRenderedPageBreak/>
        <w:t xml:space="preserve">like the Childhood Autism Rating Scale (CARS/CARS2) (Alnajjar et al., 2021; </w:t>
      </w:r>
      <w:proofErr w:type="spellStart"/>
      <w:r>
        <w:t>Giannopulu</w:t>
      </w:r>
      <w:proofErr w:type="spellEnd"/>
      <w:r>
        <w:t xml:space="preserve">, 2013; </w:t>
      </w:r>
      <w:proofErr w:type="spellStart"/>
      <w:r>
        <w:t>Marathaki</w:t>
      </w:r>
      <w:proofErr w:type="spellEnd"/>
      <w:r>
        <w:t xml:space="preserve"> et al., 2022), the Childhood Autism Spectrum Test (CAST) (</w:t>
      </w:r>
      <w:proofErr w:type="spellStart"/>
      <w:r>
        <w:t>Bharatharaj</w:t>
      </w:r>
      <w:proofErr w:type="spellEnd"/>
      <w:r>
        <w:t xml:space="preserve"> et al., 2017, 2016, 2018), the Gilliam Autism Rating Scale (GARS-2) (Che Hamid et al., 2013; </w:t>
      </w:r>
      <w:proofErr w:type="spellStart"/>
      <w:r>
        <w:t>Miskam</w:t>
      </w:r>
      <w:proofErr w:type="spellEnd"/>
      <w:r>
        <w:t xml:space="preserve"> et al., 2013; Taheri et al., 2016, 2018, 2019), and the Autism Diagnostic Observation Schedule (ADOS-2) (Boccanfuso et al., 2016; Wood et al., 2019; </w:t>
      </w:r>
      <w:proofErr w:type="spellStart"/>
      <w:r>
        <w:t>Zhanatkyzy</w:t>
      </w:r>
      <w:proofErr w:type="spellEnd"/>
      <w:r>
        <w:t xml:space="preserve"> et al., 2020); social-emotional evaluations like the Social Responsiveness Scale (SRS) (De Korte et al., 2020; Lee et al., 2014; Santos et al., 2023), the Test of Emotional Comprehension (TEC), the Emotional Lexicon Test (ELT) (Marino et al., 2020; </w:t>
      </w:r>
      <w:proofErr w:type="spellStart"/>
      <w:r>
        <w:t>Tartarisco</w:t>
      </w:r>
      <w:proofErr w:type="spellEnd"/>
      <w:r>
        <w:t xml:space="preserve"> et al., 2022), and the Early Social Communication Scale (ESCS) (Carlson et al., 2018; </w:t>
      </w:r>
      <w:proofErr w:type="spellStart"/>
      <w:r>
        <w:t>Kajopoulos</w:t>
      </w:r>
      <w:proofErr w:type="spellEnd"/>
      <w:r>
        <w:t xml:space="preserve"> et al., 2015; Nie et al., 2018); developmental scales like the Mullen Scales of Early Learning (Boccanfuso et al., 2016) and the Battelle Developmental Inventory (Cervera et al., n.d.); and learning assessments like the VB-MAPP assessment tool (Conti et al., 2020).</w:t>
      </w:r>
    </w:p>
    <w:p w14:paraId="3847D571" w14:textId="77777777" w:rsidR="00874342" w:rsidRDefault="00874342" w:rsidP="00874342"/>
    <w:p w14:paraId="110CB245" w14:textId="77777777" w:rsidR="00874342" w:rsidRDefault="00874342" w:rsidP="00874342">
      <w:r>
        <w:t>87 papers incorporated behavioral indicators in their methodology to measure and evaluate participant responses and interactions, while 9 papers did not include such measurements. The most commonly measured indicators were eye contact and gaze behavior (Scassellati, 2018; Alnajjar et al., 2021; Lee et al., 2013), touch interaction and manipulation skills (</w:t>
      </w:r>
      <w:proofErr w:type="spellStart"/>
      <w:r>
        <w:t>Bharatharaj</w:t>
      </w:r>
      <w:proofErr w:type="spellEnd"/>
      <w:r>
        <w:t xml:space="preserve"> et al., 2017; Lee et al., 2014; </w:t>
      </w:r>
      <w:proofErr w:type="spellStart"/>
      <w:r>
        <w:t>Giannopulu</w:t>
      </w:r>
      <w:proofErr w:type="spellEnd"/>
      <w:r>
        <w:t xml:space="preserve">, 2013), verbal output measurements like Mean Length of Utterance (MLU) and Type-Token Ratio (TTR) (Shah et al., 2023; Silvera-Tawil et al., 2018; Shimaya et al., 2019), task completion rates and accuracy (Subramani et al., 2017; </w:t>
      </w:r>
      <w:proofErr w:type="spellStart"/>
      <w:r>
        <w:t>Tartarisco</w:t>
      </w:r>
      <w:proofErr w:type="spellEnd"/>
      <w:r>
        <w:t xml:space="preserve"> et al., 2022), imitation skills assessment (</w:t>
      </w:r>
      <w:proofErr w:type="spellStart"/>
      <w:r>
        <w:t>Bugnariu</w:t>
      </w:r>
      <w:proofErr w:type="spellEnd"/>
      <w:r>
        <w:t xml:space="preserve"> et al., 2013; </w:t>
      </w:r>
      <w:proofErr w:type="spellStart"/>
      <w:r>
        <w:t>Marathaki</w:t>
      </w:r>
      <w:proofErr w:type="spellEnd"/>
      <w:r>
        <w:t xml:space="preserve"> et al., 2022), and posture analysis and body language (</w:t>
      </w:r>
      <w:proofErr w:type="spellStart"/>
      <w:r>
        <w:t>Rakhymbayeva</w:t>
      </w:r>
      <w:proofErr w:type="spellEnd"/>
      <w:r>
        <w:t xml:space="preserve"> &amp; </w:t>
      </w:r>
      <w:proofErr w:type="spellStart"/>
      <w:r>
        <w:t>Sandygulova</w:t>
      </w:r>
      <w:proofErr w:type="spellEnd"/>
      <w:r>
        <w:t>, 2021). Several studies incorporated multiple behavioral indicators simultaneously to obtain a more comprehensive understanding of participant responses and progress.</w:t>
      </w:r>
    </w:p>
    <w:p w14:paraId="2F1FB1EC" w14:textId="77777777" w:rsidR="00874342" w:rsidRDefault="00874342" w:rsidP="00874342"/>
    <w:p w14:paraId="65FA635E" w14:textId="77777777" w:rsidR="00874342" w:rsidRDefault="00874342" w:rsidP="00874342">
      <w:r>
        <w:t xml:space="preserve">6 out of 96 papers (6.25%) incorporated physiological measurements in their research methodologies. The implementation of these measurements varied across studies, encompassing different physiological parameters and measurement techniques. </w:t>
      </w:r>
      <w:proofErr w:type="spellStart"/>
      <w:r>
        <w:t>Tartarisco</w:t>
      </w:r>
      <w:proofErr w:type="spellEnd"/>
      <w:r>
        <w:t xml:space="preserve"> et al. (2022) and Welch et al. (2023) focused on cardiovascular measurements, specifically utilizing heart rate variability monitoring to assess participant responses during robot-assisted interventions. Subramani et al. (2017) employed force measurements and motion capture analysis to evaluate motor skills in children with autism. Boccanfuso et al. (2016) utilized accelerometer and gyroscope data from the robot to quantify interaction patterns. Kim et al. (2021) implemented EMG sensors for measuring physiological </w:t>
      </w:r>
      <w:r>
        <w:lastRenderedPageBreak/>
        <w:t>responses during therapeutic interactions. Santos et al. (2023), in their scoping review, documented various physiological measurement approaches, including heart rate monitoring, that have been employed in robotics applications for autism spectrum disorder.</w:t>
      </w:r>
    </w:p>
    <w:p w14:paraId="51C2EF01" w14:textId="77777777" w:rsidR="00874342" w:rsidRDefault="00874342" w:rsidP="00874342"/>
    <w:p w14:paraId="52DDEC3D" w14:textId="77777777" w:rsidR="00874342" w:rsidRDefault="00874342" w:rsidP="00874342">
      <w:r>
        <w:t>43 papers (approximately 45%) reported using statistical analysis in their methodology, while 53 papers did not include statistical analysis in their results. The most commonly used statistical tests included t-tests (both paired and independent samples), ANOVA, and non-parametric tests such as Wilcoxon signed-rank tests. Papadopoulou et al. (2022) employed both Wilcoxon signed-rank tests and Mann-Whitney U tests, while Hong et al. (2022) utilized linear mixed effect models and repeated measures ANOVA. Some studies implemented more sophisticated statistical approaches, such as linear mixed-effects models (De Korte et al., 2020), leave-one-out cross-validation (Kim et al., 2021), and correlation analyses like Spearman's correlation coefficient (</w:t>
      </w:r>
      <w:proofErr w:type="spellStart"/>
      <w:r>
        <w:t>Giannopulu</w:t>
      </w:r>
      <w:proofErr w:type="spellEnd"/>
      <w:r>
        <w:t>, 2013). Classification accuracy metrics were reported in studies focusing on machine learning applications, such as AUC and F1-scores (</w:t>
      </w:r>
      <w:proofErr w:type="spellStart"/>
      <w:r>
        <w:t>Wanglavan</w:t>
      </w:r>
      <w:proofErr w:type="spellEnd"/>
      <w:r>
        <w:t xml:space="preserve"> et al., 2019; Welch et al., 2023). The statistical analyses were primarily used to evaluate intervention effectiveness, compare pre-post intervention outcomes, analyze behavioral changes, and assess the reliability of technological implementations.</w:t>
      </w:r>
    </w:p>
    <w:p w14:paraId="26BCB2BC" w14:textId="77777777" w:rsidR="00874342" w:rsidRDefault="00874342" w:rsidP="00874342"/>
    <w:p w14:paraId="454BF964" w14:textId="090F1D1B" w:rsidR="00080B45" w:rsidRDefault="00BB6963" w:rsidP="38E66F8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Outcomes</w:t>
      </w:r>
    </w:p>
    <w:p w14:paraId="05721FBD" w14:textId="77777777" w:rsidR="002A6515" w:rsidRDefault="002A6515" w:rsidP="002A6515">
      <w:r>
        <w:t xml:space="preserve">Out of the reviewed studies, 72 papers documented positive outcomes in social interaction improvements, while 24 papers did not report such improvements. The findings demonstrate a significant trend in the effectiveness of robotic interventions for enhancing social interaction capabilities in individuals with intellectual disabilities. Key improvements were observed in several domains, including increased eye contact and more frequent social interactions (Scassellati, 2018; Valadao et al., 2016; Alnajjar et al., 2021). Joint attention skills, fundamental to social development, showed notable enhancement (Carlson et al., 2018; </w:t>
      </w:r>
      <w:proofErr w:type="spellStart"/>
      <w:r>
        <w:t>Kajopoulos</w:t>
      </w:r>
      <w:proofErr w:type="spellEnd"/>
      <w:r>
        <w:t xml:space="preserve"> et al., 2015; Wood et al., 2019), with Charron et al. (2017) specifically demonstrating improvements in both joint attention and social engagement. Enhanced social engagement was consistently reported, with studies by </w:t>
      </w:r>
      <w:proofErr w:type="spellStart"/>
      <w:r>
        <w:t>Bharatharaj</w:t>
      </w:r>
      <w:proofErr w:type="spellEnd"/>
      <w:r>
        <w:t xml:space="preserve"> et al. (2018), Brivio et al. (2021), and </w:t>
      </w:r>
      <w:proofErr w:type="spellStart"/>
      <w:r>
        <w:t>Bonarini</w:t>
      </w:r>
      <w:proofErr w:type="spellEnd"/>
      <w:r>
        <w:t xml:space="preserve"> et al. (2016) documenting increased social engagement behaviors and extended interaction times. Conti et al. (2020) noted improvements in imitation behaviors. Increased interaction duration was reported by </w:t>
      </w:r>
      <w:proofErr w:type="spellStart"/>
      <w:r>
        <w:t>Giannopulu</w:t>
      </w:r>
      <w:proofErr w:type="spellEnd"/>
      <w:r>
        <w:t xml:space="preserve"> (2013) and De Korte et al. (2020), suggesting enhanced social interest and reduced social anxiety. Improvements were observed in various contexts, including </w:t>
      </w:r>
      <w:r>
        <w:lastRenderedPageBreak/>
        <w:t>parent-rated social skills (</w:t>
      </w:r>
      <w:proofErr w:type="spellStart"/>
      <w:r>
        <w:t>Lebersfeld</w:t>
      </w:r>
      <w:proofErr w:type="spellEnd"/>
      <w:r>
        <w:t xml:space="preserve"> et al., 2018) and increased interactions between students who typically would not interact (</w:t>
      </w:r>
      <w:proofErr w:type="spellStart"/>
      <w:r>
        <w:t>Lemaignan</w:t>
      </w:r>
      <w:proofErr w:type="spellEnd"/>
      <w:r>
        <w:t xml:space="preserve"> et al., 2022). Notably, several studies (Marzano et al., 2021; </w:t>
      </w:r>
      <w:proofErr w:type="spellStart"/>
      <w:r>
        <w:t>Pliasa</w:t>
      </w:r>
      <w:proofErr w:type="spellEnd"/>
      <w:r>
        <w:t xml:space="preserve"> &amp; </w:t>
      </w:r>
      <w:proofErr w:type="spellStart"/>
      <w:r>
        <w:t>Fachantidis</w:t>
      </w:r>
      <w:proofErr w:type="spellEnd"/>
      <w:r>
        <w:t>, 2021) reported improvements not only in human-robot interactions but also in subsequent human-human interactions, indicating potential generalization of acquired social skills.</w:t>
      </w:r>
    </w:p>
    <w:p w14:paraId="06385C3F" w14:textId="77777777" w:rsidR="002A6515" w:rsidRDefault="002A6515" w:rsidP="002A6515"/>
    <w:p w14:paraId="3B379469" w14:textId="77777777" w:rsidR="002A6515" w:rsidRDefault="002A6515" w:rsidP="002A6515">
      <w:r>
        <w:t xml:space="preserve">Among the reviewed papers, 46 reported communication improvements, while 50 did not report such improvements. The reported enhancements encompassed various aspects of verbal and non-verbal communication skills. Significant improvements in verbal communication effectiveness were documented by several studies, including Valadao et al. (2016) and </w:t>
      </w:r>
      <w:proofErr w:type="spellStart"/>
      <w:r>
        <w:t>Bharatharaj</w:t>
      </w:r>
      <w:proofErr w:type="spellEnd"/>
      <w:r>
        <w:t xml:space="preserve"> et al. (2017), who reported enhanced verbal communication abilities in children with ASD following robot-assisted interventions. </w:t>
      </w:r>
      <w:proofErr w:type="spellStart"/>
      <w:r>
        <w:t>Giannopulu</w:t>
      </w:r>
      <w:proofErr w:type="spellEnd"/>
      <w:r>
        <w:t xml:space="preserve"> (2013) and Hong et al. (2022) observed specific improvements in expressive language use and phonetic convergence, with Hong et al. (2022) documenting improvements in both vowel formants and speech rate for children with and without ASD. Non-verbal communication improvements were also frequently reported, with Tobar et al. (2021) and Sakka &amp; Gaboriau (2017) observing enhanced non-verbal communication skills and more organized interactions. </w:t>
      </w:r>
      <w:proofErr w:type="spellStart"/>
      <w:r>
        <w:t>Miskam</w:t>
      </w:r>
      <w:proofErr w:type="spellEnd"/>
      <w:r>
        <w:t xml:space="preserve"> et al. (2013) and Shimaya et al. (2019) noted improvements in two-way communication and longer conversation durations during robot interactions. Specific communication domains showed improvement, such as enhanced ability to compose text messages (Pennington et al., 2014) and improvements in reading speed, word production, and written expression (Papadopoulou et al., 2022). Silvera-Tawil et al. (2018) noted advancements in articulation, verbal participation, and spontaneous conversation initiation. These communication improvements were often accompanied by other social-emotional gains, with </w:t>
      </w:r>
      <w:proofErr w:type="spellStart"/>
      <w:r>
        <w:t>Lemaignan</w:t>
      </w:r>
      <w:proofErr w:type="spellEnd"/>
      <w:r>
        <w:t xml:space="preserve"> et al. (2022) reporting that some students used robots to express feelings they wouldn't normally share, and Scassellati et al. (2018) receiving positive caregiver reports regarding improved communication effectiveness.</w:t>
      </w:r>
    </w:p>
    <w:p w14:paraId="5E454A79" w14:textId="77777777" w:rsidR="002A6515" w:rsidRDefault="002A6515" w:rsidP="002A6515"/>
    <w:p w14:paraId="2346E4FE" w14:textId="77777777" w:rsidR="002A6515" w:rsidRDefault="002A6515" w:rsidP="002A6515">
      <w:r>
        <w:t xml:space="preserve">Out of the reviewed studies, 30 papers reported emotional improvements in participants through robot-assisted interventions, while 66 papers did not report such outcomes. The documented emotional improvements can be categorized into three main areas: enhanced emotion comprehension, improved emotion recognition, and increased positive emotions during interactions. Several studies demonstrated significant improvements in emotion recognition capabilities, with </w:t>
      </w:r>
      <w:proofErr w:type="spellStart"/>
      <w:r>
        <w:t>Lebersfeld</w:t>
      </w:r>
      <w:proofErr w:type="spellEnd"/>
      <w:r>
        <w:t xml:space="preserve"> et al. (2018) reporting improved emotion identification accuracy across participant groups, and Marino et al. (2020) documenting enhanced emotion comprehension and recognition through their robot-assisted social-</w:t>
      </w:r>
      <w:r>
        <w:lastRenderedPageBreak/>
        <w:t xml:space="preserve">emotional understanding intervention. </w:t>
      </w:r>
      <w:proofErr w:type="spellStart"/>
      <w:r>
        <w:t>Tartarisco</w:t>
      </w:r>
      <w:proofErr w:type="spellEnd"/>
      <w:r>
        <w:t xml:space="preserve"> et al. (2022) observed improvements in both emotional comprehension and emotional language usage among participants. Regarding positive emotional responses, multiple studies reported increased positive affect during robot interactions. Valadao et al. (2016) noted increased positive emotions and excitement in children with ASD during robot interactions, while </w:t>
      </w:r>
      <w:proofErr w:type="spellStart"/>
      <w:r>
        <w:t>Bharatharaj</w:t>
      </w:r>
      <w:proofErr w:type="spellEnd"/>
      <w:r>
        <w:t xml:space="preserve"> et al. (2017) documented increased happiness in children throughout their study period. Marzano et al. (2021) observed that autistic adolescents demonstrated increased positive emotions and empathy towards the robots. Various interactive scenarios proved effective in facilitating emotional improvements, such as Costa et al. (2014) utilizing a humanoid robot to help children recognize and label emotions, and Silva et al. (2023) employing storytelling scenarios to enhance emotion recognition. Longitudinal studies provided evidence of sustained emotional improvements, with Scassellati et al. (2018) demonstrating improvements in emotion comprehension through long-term, in-home robot interactions, and </w:t>
      </w:r>
      <w:proofErr w:type="spellStart"/>
      <w:r>
        <w:t>Lemaignan</w:t>
      </w:r>
      <w:proofErr w:type="spellEnd"/>
      <w:r>
        <w:t xml:space="preserve"> et al. (2022) reporting self-reported mood improvements following robot interactions in educational settings.</w:t>
      </w:r>
    </w:p>
    <w:p w14:paraId="71CBA05D" w14:textId="77777777" w:rsidR="002A6515" w:rsidRDefault="002A6515" w:rsidP="002A6515"/>
    <w:p w14:paraId="2BD4038D" w14:textId="77777777" w:rsidR="002A6515" w:rsidRDefault="002A6515" w:rsidP="002A6515">
      <w:r>
        <w:t xml:space="preserve">Among the reviewed papers, 20 out of 96 (20.8%) reported improvements in motor and spatial skills through the use of robotic and AI technologies. The improvements documented encompassed various aspects of motor development, including hand-eye coordination, direction understanding, and geometric reasoning. Several studies focused specifically on hand-eye coordination and motor imitation abilities. </w:t>
      </w:r>
      <w:proofErr w:type="spellStart"/>
      <w:r>
        <w:t>Casellato</w:t>
      </w:r>
      <w:proofErr w:type="spellEnd"/>
      <w:r>
        <w:t xml:space="preserve"> et al. (2017) demonstrated improvements in motor learning and hand-eye coordination in children with ASD, albeit at a slower rate compared to typically developing peers. Moorthy &amp; Pugazhenthi (2016, 2017) documented enhanced hand-eye coordination and direction understanding through their robotic training kit interventions. Taheri et al. (2019) also reported improvements in hand-eye coordination and motor skills through music-based robotic interventions. In terms of spatial skills and geometric reasoning, Reardon et al. (2018) demonstrated improvements in geometric reasoning and object manipulation skills, while </w:t>
      </w:r>
      <w:proofErr w:type="spellStart"/>
      <w:r>
        <w:t>Bonarini</w:t>
      </w:r>
      <w:proofErr w:type="spellEnd"/>
      <w:r>
        <w:t xml:space="preserve"> et al. (2016) reported enhanced direction understanding through spatial activities with their mobile robot Teo. Brivio et al. (2021) documented improvements in both motor skills and spatial understanding using a soft, mobile autonomous robot. Several studies focused on movement imitation and coordination, with </w:t>
      </w:r>
      <w:proofErr w:type="spellStart"/>
      <w:r>
        <w:t>Bugnariu</w:t>
      </w:r>
      <w:proofErr w:type="spellEnd"/>
      <w:r>
        <w:t xml:space="preserve"> et al. (2013) developing quantitative methods to evaluate improvements in motor imitation skills, and </w:t>
      </w:r>
      <w:proofErr w:type="spellStart"/>
      <w:r>
        <w:t>Sandygulova</w:t>
      </w:r>
      <w:proofErr w:type="spellEnd"/>
      <w:r>
        <w:t xml:space="preserve"> et al. (2019) and Yin &amp; Tung (2013) reporting improvements in movement imitation abilities. Specialized applications were also explored, such as Taheri et al. (2016) reporting improvements in fine hand movements and rhythm perception, and Tobar et al. (2021) demonstrating improvements in assembly skills and motor </w:t>
      </w:r>
      <w:r>
        <w:lastRenderedPageBreak/>
        <w:t>coordination. Zanatta et al. (2023) conducted a comprehensive systematic review showing improvements in motor and functional outcomes related to both upper and lower limb impairment across neurological populations.</w:t>
      </w:r>
    </w:p>
    <w:p w14:paraId="7F99041F" w14:textId="77777777" w:rsidR="002A6515" w:rsidRDefault="002A6515" w:rsidP="002A6515"/>
    <w:p w14:paraId="2C40198A" w14:textId="77777777" w:rsidR="002A6515" w:rsidRDefault="002A6515" w:rsidP="002A6515">
      <w:r>
        <w:t xml:space="preserve">Out of the 97 analyzed papers, 8 (8.2%) reported improvements in daily living skills through the use of robotic and AI technologies. The improvements encompassed various aspects of daily functioning and practical life skills. Several studies focused on basic self-care and household management skills. Moorthy &amp; Pugazhenthi (2017) documented improvements in fundamental daily living activities such as holding plates/tumblers and manipulating remote controls through their robotic training kit intervention. Park &amp; Kwon (2016) reported enhanced house cleaning abilities among participants. Moorthy &amp; Pugazhenthi (2016) found that children were able to generalize picking and placing skills learned through their Snatcher robot to everyday life situations. Some research emphasized body awareness and personal development, with Costa et al. (2013) noting improvements in body part identification skills, and </w:t>
      </w:r>
      <w:proofErr w:type="spellStart"/>
      <w:r>
        <w:t>Attawibulkul</w:t>
      </w:r>
      <w:proofErr w:type="spellEnd"/>
      <w:r>
        <w:t xml:space="preserve"> et al. (2019) implementing a daily routine game using the BLISS robot that enhanced personal-social development. Brivio et al. (2021) also reported general improvements in life skills through their soft, mobile autonomous robot intervention. Social and vocational skills were addressed in several studies, with Nanou et al. (2021) demonstrating improved teamwork participation abilities through inclusive educational robotics activities. Reardon et al. (2018) documented enhancements in both vocational and life skills through their combined robotic and augmented reality applications. These findings suggest that robotic and AI technologies have the potential to significantly impact the development of daily living skills in individuals with intellectual disabilities, contributing to their overall independence and quality of life.</w:t>
      </w:r>
    </w:p>
    <w:p w14:paraId="235CDA5F" w14:textId="6063D844" w:rsidR="00080B45" w:rsidRDefault="00BB6963" w:rsidP="38E66F8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Barriers</w:t>
      </w:r>
    </w:p>
    <w:p w14:paraId="466D55BA" w14:textId="7AB861D9"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1F54842C" w14:textId="77777777" w:rsidR="00874342" w:rsidRPr="00874342" w:rsidRDefault="00874342" w:rsidP="00874342">
      <w:pPr>
        <w:spacing w:after="0"/>
        <w:rPr>
          <w:rFonts w:ascii="Calibri" w:eastAsia="Calibri" w:hAnsi="Calibri" w:cs="Calibri"/>
        </w:rPr>
      </w:pPr>
    </w:p>
    <w:p w14:paraId="4BD2A3DB"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73 out of 96 papers reported methodological limitations in their studies involving robotics and individuals with intellectual disabilities. The most common limitations included small sample sizes (Valadao et al., 2016; Alnajjar et al., 2021; </w:t>
      </w:r>
      <w:proofErr w:type="spellStart"/>
      <w:r w:rsidRPr="00874342">
        <w:rPr>
          <w:rFonts w:ascii="Calibri" w:eastAsia="Calibri" w:hAnsi="Calibri" w:cs="Calibri"/>
        </w:rPr>
        <w:t>Attawibulkul</w:t>
      </w:r>
      <w:proofErr w:type="spellEnd"/>
      <w:r w:rsidRPr="00874342">
        <w:rPr>
          <w:rFonts w:ascii="Calibri" w:eastAsia="Calibri" w:hAnsi="Calibri" w:cs="Calibri"/>
        </w:rPr>
        <w:t xml:space="preserve"> et al., 2019; </w:t>
      </w:r>
      <w:proofErr w:type="spellStart"/>
      <w:r w:rsidRPr="00874342">
        <w:rPr>
          <w:rFonts w:ascii="Calibri" w:eastAsia="Calibri" w:hAnsi="Calibri" w:cs="Calibri"/>
        </w:rPr>
        <w:t>Casellato</w:t>
      </w:r>
      <w:proofErr w:type="spellEnd"/>
      <w:r w:rsidRPr="00874342">
        <w:rPr>
          <w:rFonts w:ascii="Calibri" w:eastAsia="Calibri" w:hAnsi="Calibri" w:cs="Calibri"/>
        </w:rPr>
        <w:t xml:space="preserve"> et al., 2017; </w:t>
      </w:r>
      <w:proofErr w:type="spellStart"/>
      <w:r w:rsidRPr="00874342">
        <w:rPr>
          <w:rFonts w:ascii="Calibri" w:eastAsia="Calibri" w:hAnsi="Calibri" w:cs="Calibri"/>
        </w:rPr>
        <w:t>Chaldi</w:t>
      </w:r>
      <w:proofErr w:type="spellEnd"/>
      <w:r w:rsidRPr="00874342">
        <w:rPr>
          <w:rFonts w:ascii="Calibri" w:eastAsia="Calibri" w:hAnsi="Calibri" w:cs="Calibri"/>
        </w:rPr>
        <w:t xml:space="preserve"> &amp; </w:t>
      </w:r>
      <w:proofErr w:type="spellStart"/>
      <w:r w:rsidRPr="00874342">
        <w:rPr>
          <w:rFonts w:ascii="Calibri" w:eastAsia="Calibri" w:hAnsi="Calibri" w:cs="Calibri"/>
        </w:rPr>
        <w:t>Mantzanidou</w:t>
      </w:r>
      <w:proofErr w:type="spellEnd"/>
      <w:r w:rsidRPr="00874342">
        <w:rPr>
          <w:rFonts w:ascii="Calibri" w:eastAsia="Calibri" w:hAnsi="Calibri" w:cs="Calibri"/>
        </w:rPr>
        <w:t>, 2021; Kim et al., 2014), limited intervention duration and lack of long-term follow-up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2016;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absence of control groups (Charron et al., 2017; Conti et al., 2020; Costa et al., 2013), limited generalizability due to participant characteristics or contextual factors (Brivio et al., 2021; De Korte et al., 2020; Chevalier et al., n.d.), heterogeneity in assessment methods and intervention protocols (Zanatta et al., 2023), and challenges in accurately measuring social skills and potential </w:t>
      </w:r>
      <w:r w:rsidRPr="00874342">
        <w:rPr>
          <w:rFonts w:ascii="Calibri" w:eastAsia="Calibri" w:hAnsi="Calibri" w:cs="Calibri"/>
        </w:rPr>
        <w:lastRenderedPageBreak/>
        <w:t>assessment bias (</w:t>
      </w:r>
      <w:proofErr w:type="spellStart"/>
      <w:r w:rsidRPr="00874342">
        <w:rPr>
          <w:rFonts w:ascii="Calibri" w:eastAsia="Calibri" w:hAnsi="Calibri" w:cs="Calibri"/>
        </w:rPr>
        <w:t>Zhanatkyzy</w:t>
      </w:r>
      <w:proofErr w:type="spellEnd"/>
      <w:r w:rsidRPr="00874342">
        <w:rPr>
          <w:rFonts w:ascii="Calibri" w:eastAsia="Calibri" w:hAnsi="Calibri" w:cs="Calibri"/>
        </w:rPr>
        <w:t xml:space="preserve"> et al., 2020). These limitations significantly impact the statistical power, generalizability, and comparability of findings across studies.</w:t>
      </w:r>
    </w:p>
    <w:p w14:paraId="6AE4D5BC" w14:textId="77777777" w:rsidR="00874342" w:rsidRPr="00874342" w:rsidRDefault="00874342" w:rsidP="00874342">
      <w:pPr>
        <w:spacing w:after="0"/>
        <w:rPr>
          <w:rFonts w:ascii="Calibri" w:eastAsia="Calibri" w:hAnsi="Calibri" w:cs="Calibri"/>
        </w:rPr>
      </w:pPr>
    </w:p>
    <w:p w14:paraId="5A4DB583"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21 out of 96 papers (21.9%) reported technical limitations in their studies on technologies for enhancing autonomy in adults with intellectual disabilities. The most common technical challenges involved hardware failures (Brivio et al., 2021;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Sakka &amp; Gaboriau, 2017), speech recognition issues (Papadopoulou et al., 2022; Pennington et al., 2014; Reardon et al., 2018), system integration and operational stability problems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Subramani et al., 2017;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delayed feedback systems (Shimaya et al., 2019), sensor-related limitations such as eye contact detection misrecognition (Yun et al., 2016), QR code reading issues (Costa et al., 2014), and IR line-of-sight and sound volume control problems (</w:t>
      </w:r>
      <w:proofErr w:type="spellStart"/>
      <w:r w:rsidRPr="00874342">
        <w:rPr>
          <w:rFonts w:ascii="Calibri" w:eastAsia="Calibri" w:hAnsi="Calibri" w:cs="Calibri"/>
        </w:rPr>
        <w:t>Qidwai</w:t>
      </w:r>
      <w:proofErr w:type="spellEnd"/>
      <w:r w:rsidRPr="00874342">
        <w:rPr>
          <w:rFonts w:ascii="Calibri" w:eastAsia="Calibri" w:hAnsi="Calibri" w:cs="Calibri"/>
        </w:rPr>
        <w:t xml:space="preserve"> &amp; Shakir, 2013). The complexity of maintaining robust operation in real-world settings was also highlighted (Scassellati et al., 2018; Pistoia et al., 2017).</w:t>
      </w:r>
    </w:p>
    <w:p w14:paraId="72394531" w14:textId="77777777" w:rsidR="00874342" w:rsidRPr="00874342" w:rsidRDefault="00874342" w:rsidP="00874342">
      <w:pPr>
        <w:spacing w:after="0"/>
        <w:rPr>
          <w:rFonts w:ascii="Calibri" w:eastAsia="Calibri" w:hAnsi="Calibri" w:cs="Calibri"/>
        </w:rPr>
      </w:pPr>
    </w:p>
    <w:p w14:paraId="68A29A85"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15 out of 97 papers (15.5%) reported interaction-related limitations in their robotic interventions. The most common challenges included restricted complexity of robot interactions (Brivio et al., 2021;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Santos et al., 2023; Scassellati et al., 2018; Alnajjar et al., 2021; Li et al., 2020), difficulty in generalizing learned behaviors to real-world situations (Taheri et al., 2019;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physical interaction limitations due to robot containment requirements (Soleiman et al., 2014), difficulties in maintaining user attention and detecting idle states (Reardon et al., 2018), limitations in providing appropriate feedback (Pennington et al., 2014), and challenges related to handling unexpected responses and overall adaptability (Kim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w:t>
      </w:r>
    </w:p>
    <w:p w14:paraId="410EE158" w14:textId="77777777" w:rsidR="00874342" w:rsidRPr="00874342" w:rsidRDefault="00874342" w:rsidP="00874342">
      <w:pPr>
        <w:spacing w:after="0"/>
        <w:rPr>
          <w:rFonts w:ascii="Calibri" w:eastAsia="Calibri" w:hAnsi="Calibri" w:cs="Calibri"/>
        </w:rPr>
      </w:pPr>
    </w:p>
    <w:p w14:paraId="3F869319" w14:textId="59A36D44"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 out of 97 papers (5.2%) reported resource-related limitations, primarily focusing on financial constraints and accessibility barriers. The high cost associated with robotic technologies was the most frequently cited limitation (Pennington et al., 2014; Yin &amp; Tung, 2013;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Brivio et al., 2021).</w:t>
      </w:r>
    </w:p>
    <w:p w14:paraId="28C5F86E" w14:textId="77777777" w:rsidR="00874342" w:rsidRPr="00874342" w:rsidRDefault="00874342" w:rsidP="00874342">
      <w:pPr>
        <w:spacing w:after="0"/>
        <w:rPr>
          <w:rFonts w:ascii="Calibri" w:eastAsia="Calibri" w:hAnsi="Calibri" w:cs="Calibri"/>
        </w:rPr>
      </w:pPr>
    </w:p>
    <w:p w14:paraId="00CE5C1C"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16 out of 97 papers (16.5%) reported research design limitations. These limitations included concerns regarding artificial experimental settings (Alnajjar et al., 2021; Kim et al., 2021), limitations in screen-based robot interaction approaches (Chevalier et al., n.d.), focus on tool development rather than comprehensive outcome assessment (Charron et al., 2017; Costa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need for better understanding of intervention mechanisms (De Korte et al., 2020; Marzano et al., 2021), insufficient depth in examining socio-economic factors and external activities' influence (Talaei-</w:t>
      </w:r>
      <w:proofErr w:type="spellStart"/>
      <w:r w:rsidRPr="00874342">
        <w:rPr>
          <w:rFonts w:ascii="Calibri" w:eastAsia="Calibri" w:hAnsi="Calibri" w:cs="Calibri"/>
        </w:rPr>
        <w:t>Khoeli</w:t>
      </w:r>
      <w:proofErr w:type="spellEnd"/>
      <w:r w:rsidRPr="00874342">
        <w:rPr>
          <w:rFonts w:ascii="Calibri" w:eastAsia="Calibri" w:hAnsi="Calibri" w:cs="Calibri"/>
        </w:rPr>
        <w:t xml:space="preserve"> et al., 2017), issues with participant selection criteria (Wood et al., 2019), concerns about participants' ability to interact with robots </w:t>
      </w:r>
      <w:r w:rsidRPr="00874342">
        <w:rPr>
          <w:rFonts w:ascii="Calibri" w:eastAsia="Calibri" w:hAnsi="Calibri" w:cs="Calibri"/>
        </w:rPr>
        <w:lastRenderedPageBreak/>
        <w:t>independently (Yun et al., 2016), and the need for more comprehensive outcome evaluations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Zanatta et al., 2023; Reardon et al., 2018).</w:t>
      </w:r>
    </w:p>
    <w:p w14:paraId="07B046F0" w14:textId="77777777" w:rsidR="00874342" w:rsidRPr="00874342" w:rsidRDefault="00874342" w:rsidP="00874342">
      <w:pPr>
        <w:spacing w:after="0"/>
        <w:rPr>
          <w:rFonts w:ascii="Calibri" w:eastAsia="Calibri" w:hAnsi="Calibri" w:cs="Calibri"/>
        </w:rPr>
      </w:pPr>
    </w:p>
    <w:p w14:paraId="1B111B59"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31 out of 96 papers reported outcome limitations, while 65 papers did not report any significant limitations. The most common limitations included individual variability in responses (Brivio et al., 2021; Conti et al., 2020; Kim et al., 2021; Santos et al., 2023; Welch et al., 2023), limited skill transfer to non-robotic contexts (Alnajjar et al., 2021; Boccanfuso et al., 2016; </w:t>
      </w:r>
      <w:proofErr w:type="spellStart"/>
      <w:r w:rsidRPr="00874342">
        <w:rPr>
          <w:rFonts w:ascii="Calibri" w:eastAsia="Calibri" w:hAnsi="Calibri" w:cs="Calibri"/>
        </w:rPr>
        <w:t>Bonarini</w:t>
      </w:r>
      <w:proofErr w:type="spellEnd"/>
      <w:r w:rsidRPr="00874342">
        <w:rPr>
          <w:rFonts w:ascii="Calibri" w:eastAsia="Calibri" w:hAnsi="Calibri" w:cs="Calibri"/>
        </w:rPr>
        <w:t xml:space="preserve"> et al., 2016; Cervera et al., n.d.), uncertain long-term sustainability of improvements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Charron et al., 2017; Costa et al., 2014; Scassellati et al., 2018), and limited evidence of real-world effectiveness (Conti et al., 2020; De Korte et al., 2020; Marino et al., 2020; Zanatta et al., 2023). These limitations highlight the need for individualized approaches, extended follow-up periods, and more extensive field studies to validate the practical utility of robotic interventions.</w:t>
      </w:r>
    </w:p>
    <w:p w14:paraId="7A52F2FE" w14:textId="77777777" w:rsidR="00874342" w:rsidRPr="00874342" w:rsidRDefault="00874342" w:rsidP="00874342">
      <w:pPr>
        <w:spacing w:after="0"/>
        <w:rPr>
          <w:rFonts w:ascii="Calibri" w:eastAsia="Calibri" w:hAnsi="Calibri" w:cs="Calibri"/>
        </w:rPr>
      </w:pPr>
    </w:p>
    <w:p w14:paraId="65842B39"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23 out of 96 papers reported assessment limitations, while 73 papers did not mention any assessment-related constraints. The identified limitations focused on challenges in measuring complex social interactions and capturing behavioral nuances during robot-assisted interventions. Studies reported difficulty in capturing behavioral nuances and limited depth of assessment when evaluating social-emotional understanding interventions (Marino et al., 2020; De Korte et al., 2020), challenges in measuring complex social interactions between participants and robotic systems (Marzano et al., 2021; Nanou et al., 2021), limitations in accurately measuring complex social interactions and behavioral responses in autism-specific research (Alnajjar et al., 2021;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Boccanfuso et al., 2016), difficulties in capturing subtle behavioral changes during long-term, in-home interventions (Scassellati et al., 2018; Shah et al., 2023), challenges in accurately perceiving and assessing student behavior during robot-assisted learning activities (Reardon et al., 2018), and methodological constraints related to data collection and analysis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Zanatta et al., 2023).</w:t>
      </w:r>
    </w:p>
    <w:p w14:paraId="1A7B1E73" w14:textId="77777777" w:rsidR="00874342" w:rsidRPr="00874342" w:rsidRDefault="00874342" w:rsidP="00874342">
      <w:pPr>
        <w:spacing w:after="0"/>
        <w:rPr>
          <w:rFonts w:ascii="Calibri" w:eastAsia="Calibri" w:hAnsi="Calibri" w:cs="Calibri"/>
        </w:rPr>
      </w:pPr>
    </w:p>
    <w:p w14:paraId="783B308A"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18 out of 96 papers (19%) reported implementation limitations in their studies. The most common challenges included limited replicability and setting-specific constraints (Alnajjar et al., 2021; Marzano et al., 2021; Santos et al., 2023; Brivio et al., 2021; Costa et al., 2014), technical limitations regarding device operation and system reliability (</w:t>
      </w:r>
      <w:proofErr w:type="spellStart"/>
      <w:r w:rsidRPr="00874342">
        <w:rPr>
          <w:rFonts w:ascii="Calibri" w:eastAsia="Calibri" w:hAnsi="Calibri" w:cs="Calibri"/>
        </w:rPr>
        <w:t>Simlesa</w:t>
      </w:r>
      <w:proofErr w:type="spellEnd"/>
      <w:r w:rsidRPr="00874342">
        <w:rPr>
          <w:rFonts w:ascii="Calibri" w:eastAsia="Calibri" w:hAnsi="Calibri" w:cs="Calibri"/>
        </w:rPr>
        <w:t xml:space="preserve"> et al., 2022; Pistoia et al., 2017; Wood et al., 2019), adaptability limitations (Scassellati et al., 2018; Zanatta et al., 2023;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and resource-dependent implementation (Kim et al., 2014; Reardon et al., 2018). These limitations highlight the challenges in deploying and maintaining the effectiveness of technological interventions across diverse settings and populations.</w:t>
      </w:r>
    </w:p>
    <w:p w14:paraId="67110744" w14:textId="7021555A" w:rsidR="00EC369E" w:rsidRPr="0032190A" w:rsidRDefault="00EC369E" w:rsidP="00EC369E">
      <w:pPr>
        <w:pStyle w:val="Heading1"/>
        <w:rPr>
          <w:rFonts w:ascii="Calibri" w:eastAsia="Calibri" w:hAnsi="Calibri" w:cs="Calibri"/>
          <w:sz w:val="24"/>
          <w:szCs w:val="24"/>
        </w:rPr>
      </w:pPr>
      <w:proofErr w:type="spellStart"/>
      <w:r w:rsidRPr="0032190A">
        <w:rPr>
          <w:rFonts w:ascii="Calibri" w:eastAsia="Calibri" w:hAnsi="Calibri" w:cs="Calibri"/>
          <w:sz w:val="24"/>
          <w:szCs w:val="24"/>
        </w:rPr>
        <w:lastRenderedPageBreak/>
        <w:t>Discusion</w:t>
      </w:r>
      <w:proofErr w:type="spellEnd"/>
    </w:p>
    <w:p w14:paraId="0723BE92" w14:textId="11C4F2DD" w:rsidR="00EC369E" w:rsidRDefault="00EC369E" w:rsidP="2538FA27">
      <w:pPr>
        <w:rPr>
          <w:rFonts w:ascii="Calibri" w:eastAsia="Calibri" w:hAnsi="Calibri" w:cs="Calibri"/>
          <w:lang w:val="es-ES"/>
        </w:rPr>
      </w:pPr>
      <w:r w:rsidRPr="2460DB65">
        <w:rPr>
          <w:rFonts w:ascii="Calibri" w:eastAsia="Calibri" w:hAnsi="Calibri" w:cs="Calibri"/>
          <w:lang w:val="es-ES"/>
        </w:rPr>
        <w:t>23a. Interpretación general de los resultados en el contexto de otras evidencias</w:t>
      </w:r>
    </w:p>
    <w:p w14:paraId="77228362" w14:textId="00A2A87B" w:rsidR="09352AEE" w:rsidRPr="00A80167" w:rsidRDefault="09352AEE" w:rsidP="2460DB65">
      <w:pPr>
        <w:spacing w:after="0"/>
        <w:jc w:val="both"/>
        <w:rPr>
          <w:lang w:val="es-CO"/>
        </w:rPr>
      </w:pPr>
      <w:r w:rsidRPr="2460DB65">
        <w:rPr>
          <w:rFonts w:ascii="Calibri" w:eastAsia="Calibri" w:hAnsi="Calibri" w:cs="Calibri"/>
          <w:lang w:val="es-ES"/>
        </w:rPr>
        <w:t xml:space="preserve">La revisión sistemática reveló una serie de hallazgos positivos en la aplicación de robots sociales y otras tecnologías robóticas en la intervención y el apoyo a niños con trastornos del neurodesarrollo, particularmente en el espectro autista. </w:t>
      </w:r>
      <w:r w:rsidR="11B50554" w:rsidRPr="2460DB65">
        <w:rPr>
          <w:rFonts w:ascii="Calibri" w:eastAsia="Calibri" w:hAnsi="Calibri" w:cs="Calibri"/>
          <w:lang w:val="es-ES"/>
        </w:rPr>
        <w:t>Los estudios analizados reportaron mejoras</w:t>
      </w:r>
      <w:r w:rsidR="4ACC478E" w:rsidRPr="2460DB65">
        <w:rPr>
          <w:rFonts w:ascii="Calibri" w:eastAsia="Calibri" w:hAnsi="Calibri" w:cs="Calibri"/>
          <w:lang w:val="es-ES"/>
        </w:rPr>
        <w:t xml:space="preserve"> </w:t>
      </w:r>
      <w:r w:rsidR="11B50554" w:rsidRPr="2460DB65">
        <w:rPr>
          <w:rFonts w:ascii="Calibri" w:eastAsia="Calibri" w:hAnsi="Calibri" w:cs="Calibri"/>
          <w:lang w:val="es-ES"/>
        </w:rPr>
        <w:t>en diversas áreas, abarcando desde habilidades sociales y comunicativas hasta competencias emocionales y destrezas cognitivo-motoras.</w:t>
      </w:r>
    </w:p>
    <w:p w14:paraId="08336E68" w14:textId="05FB554A" w:rsidR="2460DB65" w:rsidRDefault="2460DB65" w:rsidP="2460DB65">
      <w:pPr>
        <w:spacing w:after="0"/>
        <w:jc w:val="both"/>
        <w:rPr>
          <w:rFonts w:ascii="Calibri" w:eastAsia="Calibri" w:hAnsi="Calibri" w:cs="Calibri"/>
          <w:lang w:val="es-ES"/>
        </w:rPr>
      </w:pPr>
    </w:p>
    <w:p w14:paraId="6E29396B" w14:textId="019B2A29" w:rsidR="11B50554" w:rsidRDefault="11B50554" w:rsidP="2460DB65">
      <w:pPr>
        <w:spacing w:after="0"/>
        <w:jc w:val="both"/>
        <w:rPr>
          <w:rFonts w:ascii="Calibri" w:eastAsia="Calibri" w:hAnsi="Calibri" w:cs="Calibri"/>
          <w:lang w:val="es-ES"/>
        </w:rPr>
      </w:pPr>
      <w:r w:rsidRPr="2460DB65">
        <w:rPr>
          <w:rFonts w:ascii="Calibri" w:eastAsia="Calibri" w:hAnsi="Calibri" w:cs="Calibri"/>
          <w:lang w:val="es-ES"/>
        </w:rPr>
        <w:t>En el ámbito de las habilidades sociales y comunicativas, los estudios reportaron mejoras en la atención conjunta, el compromiso social y la efectividad comunicativa (</w:t>
      </w:r>
      <w:proofErr w:type="spellStart"/>
      <w:r w:rsidRPr="2460DB65">
        <w:rPr>
          <w:rFonts w:ascii="Calibri" w:eastAsia="Calibri" w:hAnsi="Calibri" w:cs="Calibri"/>
          <w:lang w:val="es-ES"/>
        </w:rPr>
        <w:t>Scassellati</w:t>
      </w:r>
      <w:proofErr w:type="spellEnd"/>
      <w:r w:rsidRPr="2460DB65">
        <w:rPr>
          <w:rFonts w:ascii="Calibri" w:eastAsia="Calibri" w:hAnsi="Calibri" w:cs="Calibri"/>
          <w:lang w:val="es-ES"/>
        </w:rPr>
        <w:t xml:space="preserve"> et al., 2018; </w:t>
      </w:r>
      <w:proofErr w:type="spellStart"/>
      <w:r w:rsidRPr="2460DB65">
        <w:rPr>
          <w:rFonts w:ascii="Calibri" w:eastAsia="Calibri" w:hAnsi="Calibri" w:cs="Calibri"/>
          <w:lang w:val="es-ES"/>
        </w:rPr>
        <w:t>Sartorato</w:t>
      </w:r>
      <w:proofErr w:type="spellEnd"/>
      <w:r w:rsidRPr="2460DB65">
        <w:rPr>
          <w:rFonts w:ascii="Calibri" w:eastAsia="Calibri" w:hAnsi="Calibri" w:cs="Calibri"/>
          <w:lang w:val="es-ES"/>
        </w:rPr>
        <w:t xml:space="preserve"> et al., 2017; </w:t>
      </w:r>
      <w:proofErr w:type="spellStart"/>
      <w:r w:rsidRPr="2460DB65">
        <w:rPr>
          <w:rFonts w:ascii="Calibri" w:eastAsia="Calibri" w:hAnsi="Calibri" w:cs="Calibri"/>
          <w:lang w:val="es-ES"/>
        </w:rPr>
        <w:t>Kajopoulos</w:t>
      </w:r>
      <w:proofErr w:type="spellEnd"/>
      <w:r w:rsidRPr="2460DB65">
        <w:rPr>
          <w:rFonts w:ascii="Calibri" w:eastAsia="Calibri" w:hAnsi="Calibri" w:cs="Calibri"/>
          <w:lang w:val="es-ES"/>
        </w:rPr>
        <w:t xml:space="preserve"> et al., 2015). Esto puede atribuirse a la naturaleza predecible y no amenazante de los robots, que proporciona un entorno de interacción estructurado y menos abrumador para los niños con trastornos del neurodesarrollo.</w:t>
      </w:r>
    </w:p>
    <w:p w14:paraId="590439B7" w14:textId="3EA0172C" w:rsidR="2460DB65" w:rsidRDefault="2460DB65" w:rsidP="2460DB65">
      <w:pPr>
        <w:spacing w:after="0"/>
        <w:jc w:val="both"/>
        <w:rPr>
          <w:rFonts w:ascii="Calibri" w:eastAsia="Calibri" w:hAnsi="Calibri" w:cs="Calibri"/>
          <w:lang w:val="es-ES"/>
        </w:rPr>
      </w:pPr>
    </w:p>
    <w:p w14:paraId="7B4435D4" w14:textId="3DBDB4C4" w:rsidR="1FA45E2B" w:rsidRDefault="1FA45E2B" w:rsidP="2460DB65">
      <w:pPr>
        <w:spacing w:after="0"/>
        <w:jc w:val="both"/>
        <w:rPr>
          <w:rFonts w:ascii="Calibri" w:eastAsia="Calibri" w:hAnsi="Calibri" w:cs="Calibri"/>
          <w:lang w:val="es-ES"/>
        </w:rPr>
      </w:pPr>
      <w:r w:rsidRPr="2460DB65">
        <w:rPr>
          <w:rFonts w:ascii="Calibri" w:eastAsia="Calibri" w:hAnsi="Calibri" w:cs="Calibri"/>
          <w:lang w:val="es-ES"/>
        </w:rPr>
        <w:t>Por otro lado, en el ámbito de las habilidades emocionales, estudios han revelado mejoras significativas en la comprensión emociona</w:t>
      </w:r>
      <w:r w:rsidR="7EBB1A85" w:rsidRPr="2460DB65">
        <w:rPr>
          <w:rFonts w:ascii="Calibri" w:eastAsia="Calibri" w:hAnsi="Calibri" w:cs="Calibri"/>
          <w:lang w:val="es-ES"/>
        </w:rPr>
        <w:t>l</w:t>
      </w:r>
      <w:r w:rsidR="32E5D774" w:rsidRPr="2460DB65">
        <w:rPr>
          <w:rFonts w:ascii="Calibri" w:eastAsia="Calibri" w:hAnsi="Calibri" w:cs="Calibri"/>
          <w:lang w:val="es-ES"/>
        </w:rPr>
        <w:t xml:space="preserve"> (Marino et al., 2019; </w:t>
      </w:r>
      <w:proofErr w:type="spellStart"/>
      <w:r w:rsidR="32E5D774" w:rsidRPr="2460DB65">
        <w:rPr>
          <w:rFonts w:ascii="Calibri" w:eastAsia="Calibri" w:hAnsi="Calibri" w:cs="Calibri"/>
          <w:lang w:val="es-ES"/>
        </w:rPr>
        <w:t>Brivio</w:t>
      </w:r>
      <w:proofErr w:type="spellEnd"/>
      <w:r w:rsidR="32E5D774" w:rsidRPr="2460DB65">
        <w:rPr>
          <w:rFonts w:ascii="Calibri" w:eastAsia="Calibri" w:hAnsi="Calibri" w:cs="Calibri"/>
          <w:lang w:val="es-ES"/>
        </w:rPr>
        <w:t xml:space="preserve"> et al., 2021)</w:t>
      </w:r>
      <w:r w:rsidRPr="2460DB65">
        <w:rPr>
          <w:rFonts w:ascii="Calibri" w:eastAsia="Calibri" w:hAnsi="Calibri" w:cs="Calibri"/>
          <w:lang w:val="es-ES"/>
        </w:rPr>
        <w:t>. Estos hallazgos sugieren que la capacidad de los robots para expresar emociones de manera predecible y controlada facilita</w:t>
      </w:r>
      <w:r w:rsidR="53666966" w:rsidRPr="2460DB65">
        <w:rPr>
          <w:rFonts w:ascii="Calibri" w:eastAsia="Calibri" w:hAnsi="Calibri" w:cs="Calibri"/>
          <w:lang w:val="es-ES"/>
        </w:rPr>
        <w:t>n</w:t>
      </w:r>
      <w:r w:rsidRPr="2460DB65">
        <w:rPr>
          <w:rFonts w:ascii="Calibri" w:eastAsia="Calibri" w:hAnsi="Calibri" w:cs="Calibri"/>
          <w:lang w:val="es-ES"/>
        </w:rPr>
        <w:t xml:space="preserve"> el aprendizaje emocional</w:t>
      </w:r>
      <w:r w:rsidR="5960AEB1" w:rsidRPr="2460DB65">
        <w:rPr>
          <w:rFonts w:ascii="Calibri" w:eastAsia="Calibri" w:hAnsi="Calibri" w:cs="Calibri"/>
          <w:lang w:val="es-ES"/>
        </w:rPr>
        <w:t>, ya que los niños con trastornos del neurodesarrollo enfrentan difi</w:t>
      </w:r>
      <w:r w:rsidRPr="2460DB65">
        <w:rPr>
          <w:rFonts w:ascii="Calibri" w:eastAsia="Calibri" w:hAnsi="Calibri" w:cs="Calibri"/>
          <w:lang w:val="es-ES"/>
        </w:rPr>
        <w:t xml:space="preserve">cultades para </w:t>
      </w:r>
      <w:r w:rsidR="7315139D" w:rsidRPr="2460DB65">
        <w:rPr>
          <w:rFonts w:ascii="Calibri" w:eastAsia="Calibri" w:hAnsi="Calibri" w:cs="Calibri"/>
          <w:lang w:val="es-ES"/>
        </w:rPr>
        <w:t>interpretar expresiones</w:t>
      </w:r>
      <w:r w:rsidRPr="2460DB65">
        <w:rPr>
          <w:rFonts w:ascii="Calibri" w:eastAsia="Calibri" w:hAnsi="Calibri" w:cs="Calibri"/>
          <w:lang w:val="es-ES"/>
        </w:rPr>
        <w:t xml:space="preserve"> emocionales</w:t>
      </w:r>
      <w:r w:rsidR="69E0B4EB" w:rsidRPr="2460DB65">
        <w:rPr>
          <w:rFonts w:ascii="Calibri" w:eastAsia="Calibri" w:hAnsi="Calibri" w:cs="Calibri"/>
          <w:lang w:val="es-ES"/>
        </w:rPr>
        <w:t xml:space="preserve"> complejas</w:t>
      </w:r>
      <w:r w:rsidR="1A59ADF9" w:rsidRPr="2460DB65">
        <w:rPr>
          <w:rFonts w:ascii="Calibri" w:eastAsia="Calibri" w:hAnsi="Calibri" w:cs="Calibri"/>
          <w:lang w:val="es-ES"/>
        </w:rPr>
        <w:t>.</w:t>
      </w:r>
    </w:p>
    <w:p w14:paraId="40809D6F" w14:textId="466B2FE0" w:rsidR="2460DB65" w:rsidRDefault="2460DB65" w:rsidP="2460DB65">
      <w:pPr>
        <w:spacing w:after="0"/>
        <w:jc w:val="both"/>
        <w:rPr>
          <w:rFonts w:ascii="Calibri" w:eastAsia="Calibri" w:hAnsi="Calibri" w:cs="Calibri"/>
          <w:lang w:val="es-ES"/>
        </w:rPr>
      </w:pPr>
    </w:p>
    <w:p w14:paraId="7160214D" w14:textId="5D32E2CB" w:rsidR="5810F2F8" w:rsidRDefault="5810F2F8" w:rsidP="2460DB65">
      <w:pPr>
        <w:spacing w:after="0"/>
        <w:jc w:val="both"/>
        <w:rPr>
          <w:rFonts w:ascii="Calibri" w:eastAsia="Calibri" w:hAnsi="Calibri" w:cs="Calibri"/>
          <w:lang w:val="es-ES"/>
        </w:rPr>
      </w:pPr>
      <w:r w:rsidRPr="2460DB65">
        <w:rPr>
          <w:rFonts w:ascii="Calibri" w:eastAsia="Calibri" w:hAnsi="Calibri" w:cs="Calibri"/>
          <w:lang w:val="es-ES"/>
        </w:rPr>
        <w:t xml:space="preserve">En el campo de las habilidades cognitivas y motoras, estudios como el de </w:t>
      </w:r>
      <w:proofErr w:type="spellStart"/>
      <w:r w:rsidRPr="2460DB65">
        <w:rPr>
          <w:rFonts w:ascii="Calibri" w:eastAsia="Calibri" w:hAnsi="Calibri" w:cs="Calibri"/>
          <w:lang w:val="es-ES"/>
        </w:rPr>
        <w:t>Moorthy</w:t>
      </w:r>
      <w:proofErr w:type="spellEnd"/>
      <w:r w:rsidRPr="2460DB65">
        <w:rPr>
          <w:rFonts w:ascii="Calibri" w:eastAsia="Calibri" w:hAnsi="Calibri" w:cs="Calibri"/>
          <w:lang w:val="es-ES"/>
        </w:rPr>
        <w:t xml:space="preserve"> y </w:t>
      </w:r>
      <w:proofErr w:type="spellStart"/>
      <w:r w:rsidRPr="2460DB65">
        <w:rPr>
          <w:rFonts w:ascii="Calibri" w:eastAsia="Calibri" w:hAnsi="Calibri" w:cs="Calibri"/>
          <w:lang w:val="es-ES"/>
        </w:rPr>
        <w:t>Pugazhenthi</w:t>
      </w:r>
      <w:proofErr w:type="spellEnd"/>
      <w:r w:rsidRPr="2460DB65">
        <w:rPr>
          <w:rFonts w:ascii="Calibri" w:eastAsia="Calibri" w:hAnsi="Calibri" w:cs="Calibri"/>
          <w:lang w:val="es-ES"/>
        </w:rPr>
        <w:t xml:space="preserve"> (2017) y Reardon et al. (2019) reportaron mejoras en habilidades psicomotoras, razonamiento geométrico y habilidades vocacionales. Esto se debe a que los robots ofrecen la ventaja de proporcionar tareas repetitivas y estructuradas</w:t>
      </w:r>
      <w:r w:rsidR="7E6EC207" w:rsidRPr="2460DB65">
        <w:rPr>
          <w:rFonts w:ascii="Calibri" w:eastAsia="Calibri" w:hAnsi="Calibri" w:cs="Calibri"/>
          <w:lang w:val="es-ES"/>
        </w:rPr>
        <w:t>, permitiend</w:t>
      </w:r>
      <w:r w:rsidRPr="2460DB65">
        <w:rPr>
          <w:rFonts w:ascii="Calibri" w:eastAsia="Calibri" w:hAnsi="Calibri" w:cs="Calibri"/>
          <w:lang w:val="es-ES"/>
        </w:rPr>
        <w:t>o</w:t>
      </w:r>
      <w:r w:rsidR="0DE3027C" w:rsidRPr="2460DB65">
        <w:rPr>
          <w:rFonts w:ascii="Calibri" w:eastAsia="Calibri" w:hAnsi="Calibri" w:cs="Calibri"/>
          <w:lang w:val="es-ES"/>
        </w:rPr>
        <w:t xml:space="preserve"> así</w:t>
      </w:r>
      <w:r w:rsidRPr="2460DB65">
        <w:rPr>
          <w:rFonts w:ascii="Calibri" w:eastAsia="Calibri" w:hAnsi="Calibri" w:cs="Calibri"/>
          <w:lang w:val="es-ES"/>
        </w:rPr>
        <w:t xml:space="preserve"> una práctica consistente y adaptada al ritmo individual de cada niño</w:t>
      </w:r>
      <w:r w:rsidR="63B7FB61" w:rsidRPr="2460DB65">
        <w:rPr>
          <w:rFonts w:ascii="Calibri" w:eastAsia="Calibri" w:hAnsi="Calibri" w:cs="Calibri"/>
          <w:lang w:val="es-ES"/>
        </w:rPr>
        <w:t>.</w:t>
      </w:r>
    </w:p>
    <w:p w14:paraId="3BC2E21E" w14:textId="77B359C2" w:rsidR="2460DB65" w:rsidRDefault="2460DB65" w:rsidP="2460DB65">
      <w:pPr>
        <w:spacing w:after="0"/>
        <w:jc w:val="both"/>
        <w:rPr>
          <w:rFonts w:ascii="Calibri" w:eastAsia="Calibri" w:hAnsi="Calibri" w:cs="Calibri"/>
          <w:lang w:val="es-ES"/>
        </w:rPr>
      </w:pPr>
    </w:p>
    <w:p w14:paraId="41F69C5B" w14:textId="1620E072" w:rsidR="2460DB65" w:rsidRPr="00A80167" w:rsidRDefault="63B7FB61" w:rsidP="0735D306">
      <w:pPr>
        <w:spacing w:after="0"/>
        <w:jc w:val="both"/>
        <w:rPr>
          <w:lang w:val="es-CO"/>
        </w:rPr>
      </w:pPr>
      <w:r w:rsidRPr="0735D306">
        <w:rPr>
          <w:rFonts w:ascii="Calibri" w:eastAsia="Calibri" w:hAnsi="Calibri" w:cs="Calibri"/>
          <w:lang w:val="es-ES"/>
        </w:rPr>
        <w:t xml:space="preserve">Además de las mejoras en estas habilidades, la revisión reveló avances significativos en otros aspectos del comportamiento y la interacción. En </w:t>
      </w:r>
      <w:proofErr w:type="spellStart"/>
      <w:r w:rsidRPr="0735D306">
        <w:rPr>
          <w:rFonts w:ascii="Calibri" w:eastAsia="Calibri" w:hAnsi="Calibri" w:cs="Calibri"/>
          <w:lang w:val="es-ES"/>
        </w:rPr>
        <w:t>Giannopulu</w:t>
      </w:r>
      <w:proofErr w:type="spellEnd"/>
      <w:r w:rsidRPr="0735D306">
        <w:rPr>
          <w:rFonts w:ascii="Calibri" w:eastAsia="Calibri" w:hAnsi="Calibri" w:cs="Calibri"/>
          <w:lang w:val="es-ES"/>
        </w:rPr>
        <w:t xml:space="preserve"> et al. (2013) observaron un aumento sustancial en el tiempo de interacción de los niños con robots, mientras que en </w:t>
      </w:r>
      <w:proofErr w:type="spellStart"/>
      <w:r w:rsidRPr="0735D306">
        <w:rPr>
          <w:rFonts w:ascii="Calibri" w:eastAsia="Calibri" w:hAnsi="Calibri" w:cs="Calibri"/>
          <w:lang w:val="es-ES"/>
        </w:rPr>
        <w:t>Wanglavan</w:t>
      </w:r>
      <w:proofErr w:type="spellEnd"/>
      <w:r w:rsidRPr="0735D306">
        <w:rPr>
          <w:rFonts w:ascii="Calibri" w:eastAsia="Calibri" w:hAnsi="Calibri" w:cs="Calibri"/>
          <w:lang w:val="es-ES"/>
        </w:rPr>
        <w:t xml:space="preserve"> et al. (2019) documentaron una mayor capacidad de los participantes para mantener la atención durante las sesiones robóticas. Estos incrementos pueden atribuirse a múltiples factores: por un lado, la novedad y el atractivo de los robots capturan el interés inicial de los niños; por otro, la capacidad de estas plataformas para adaptar sus acciones en tiempo real, basándose en los niveles de atención detectados, permite una estimulación constante y personalizada.</w:t>
      </w:r>
    </w:p>
    <w:p w14:paraId="3553E1ED" w14:textId="04CDEB9D" w:rsidR="2460DB65" w:rsidRDefault="2460DB65" w:rsidP="0735D306">
      <w:pPr>
        <w:spacing w:after="0"/>
        <w:jc w:val="both"/>
        <w:rPr>
          <w:rFonts w:ascii="Calibri" w:eastAsia="Calibri" w:hAnsi="Calibri" w:cs="Calibri"/>
          <w:lang w:val="es-ES"/>
        </w:rPr>
      </w:pPr>
    </w:p>
    <w:p w14:paraId="293F92D6" w14:textId="67FE1E47" w:rsidR="2460DB65" w:rsidRDefault="42ED382A" w:rsidP="0735D306">
      <w:pPr>
        <w:spacing w:after="0"/>
        <w:jc w:val="both"/>
        <w:rPr>
          <w:rFonts w:ascii="Calibri" w:eastAsia="Calibri" w:hAnsi="Calibri" w:cs="Calibri"/>
          <w:b/>
          <w:bCs/>
          <w:lang w:val="es-ES"/>
        </w:rPr>
      </w:pPr>
      <w:r w:rsidRPr="0735D306">
        <w:rPr>
          <w:rFonts w:ascii="Calibri" w:eastAsia="Calibri" w:hAnsi="Calibri" w:cs="Calibri"/>
          <w:b/>
          <w:bCs/>
          <w:lang w:val="es-ES"/>
        </w:rPr>
        <w:t>Comparación con otros estudios</w:t>
      </w:r>
    </w:p>
    <w:p w14:paraId="635D3A47" w14:textId="2C34EC99" w:rsidR="2460DB65" w:rsidRDefault="2460DB65" w:rsidP="0735D306">
      <w:pPr>
        <w:spacing w:after="0"/>
        <w:jc w:val="both"/>
        <w:rPr>
          <w:rFonts w:ascii="Calibri" w:eastAsia="Calibri" w:hAnsi="Calibri" w:cs="Calibri"/>
          <w:lang w:val="es-ES"/>
        </w:rPr>
      </w:pPr>
    </w:p>
    <w:p w14:paraId="23852C46" w14:textId="68EF9DEC" w:rsidR="2460DB65" w:rsidRPr="00A80167" w:rsidRDefault="42ED382A" w:rsidP="0735D306">
      <w:pPr>
        <w:spacing w:after="0"/>
        <w:jc w:val="both"/>
        <w:rPr>
          <w:lang w:val="es-CO"/>
        </w:rPr>
      </w:pPr>
      <w:r w:rsidRPr="0735D306">
        <w:rPr>
          <w:rFonts w:ascii="Calibri" w:eastAsia="Calibri" w:hAnsi="Calibri" w:cs="Calibri"/>
          <w:lang w:val="es-ES"/>
        </w:rPr>
        <w:t>Los hallazgos de nuestra revisión sistemática sobre la aplicación de robots sociales en la intervención de niños con trastornos del neurodesarrollo muestran consistencia con revisiones anteriores, al tiempo que aportan nuevas perspectivas.</w:t>
      </w:r>
    </w:p>
    <w:p w14:paraId="4D8D948E" w14:textId="7CCA8BE8" w:rsidR="2460DB65" w:rsidRDefault="2460DB65" w:rsidP="0735D306">
      <w:pPr>
        <w:spacing w:after="0"/>
        <w:jc w:val="both"/>
        <w:rPr>
          <w:rFonts w:ascii="Calibri" w:eastAsia="Calibri" w:hAnsi="Calibri" w:cs="Calibri"/>
          <w:lang w:val="es-ES"/>
        </w:rPr>
      </w:pPr>
    </w:p>
    <w:p w14:paraId="46B85B9E" w14:textId="6891E2DC" w:rsidR="2460DB65" w:rsidRPr="00A80167" w:rsidRDefault="09F88E5E" w:rsidP="0735D306">
      <w:pPr>
        <w:spacing w:after="0"/>
        <w:jc w:val="both"/>
        <w:rPr>
          <w:lang w:val="es-CO"/>
        </w:rPr>
      </w:pPr>
      <w:r w:rsidRPr="0735D306">
        <w:rPr>
          <w:rFonts w:ascii="Calibri" w:eastAsia="Calibri" w:hAnsi="Calibri" w:cs="Calibri"/>
          <w:lang w:val="es-ES"/>
        </w:rPr>
        <w:t xml:space="preserve">En cuanto a </w:t>
      </w:r>
      <w:r w:rsidR="726D0143" w:rsidRPr="0735D306">
        <w:rPr>
          <w:rFonts w:ascii="Calibri" w:eastAsia="Calibri" w:hAnsi="Calibri" w:cs="Calibri"/>
          <w:lang w:val="es-ES"/>
        </w:rPr>
        <w:t>las mejoras en habilidades sociales y comunicativas, los resultados, que muestran mejoras significativas en atención conjunta, compromiso social y efectividad comunicativa (</w:t>
      </w:r>
      <w:proofErr w:type="spellStart"/>
      <w:r w:rsidR="726D0143" w:rsidRPr="0735D306">
        <w:rPr>
          <w:rFonts w:ascii="Calibri" w:eastAsia="Calibri" w:hAnsi="Calibri" w:cs="Calibri"/>
          <w:lang w:val="es-ES"/>
        </w:rPr>
        <w:t>Scassellati</w:t>
      </w:r>
      <w:proofErr w:type="spellEnd"/>
      <w:r w:rsidR="726D0143" w:rsidRPr="0735D306">
        <w:rPr>
          <w:rFonts w:ascii="Calibri" w:eastAsia="Calibri" w:hAnsi="Calibri" w:cs="Calibri"/>
          <w:lang w:val="es-ES"/>
        </w:rPr>
        <w:t xml:space="preserve"> et al., 2018; </w:t>
      </w:r>
      <w:proofErr w:type="spellStart"/>
      <w:r w:rsidR="726D0143" w:rsidRPr="0735D306">
        <w:rPr>
          <w:rFonts w:ascii="Calibri" w:eastAsia="Calibri" w:hAnsi="Calibri" w:cs="Calibri"/>
          <w:lang w:val="es-ES"/>
        </w:rPr>
        <w:t>Sartorato</w:t>
      </w:r>
      <w:proofErr w:type="spellEnd"/>
      <w:r w:rsidR="726D0143" w:rsidRPr="0735D306">
        <w:rPr>
          <w:rFonts w:ascii="Calibri" w:eastAsia="Calibri" w:hAnsi="Calibri" w:cs="Calibri"/>
          <w:lang w:val="es-ES"/>
        </w:rPr>
        <w:t xml:space="preserve"> et al., 2017; </w:t>
      </w:r>
      <w:proofErr w:type="spellStart"/>
      <w:r w:rsidR="726D0143" w:rsidRPr="0735D306">
        <w:rPr>
          <w:rFonts w:ascii="Calibri" w:eastAsia="Calibri" w:hAnsi="Calibri" w:cs="Calibri"/>
          <w:lang w:val="es-ES"/>
        </w:rPr>
        <w:t>Kajopoulos</w:t>
      </w:r>
      <w:proofErr w:type="spellEnd"/>
      <w:r w:rsidR="726D0143" w:rsidRPr="0735D306">
        <w:rPr>
          <w:rFonts w:ascii="Calibri" w:eastAsia="Calibri" w:hAnsi="Calibri" w:cs="Calibri"/>
          <w:lang w:val="es-ES"/>
        </w:rPr>
        <w:t xml:space="preserve"> et al., 2015), se alinean con los hallazgos de </w:t>
      </w:r>
      <w:proofErr w:type="spellStart"/>
      <w:r w:rsidR="726D0143" w:rsidRPr="0735D306">
        <w:rPr>
          <w:rFonts w:ascii="Calibri" w:eastAsia="Calibri" w:hAnsi="Calibri" w:cs="Calibri"/>
          <w:lang w:val="es-ES"/>
        </w:rPr>
        <w:t>Pennisi</w:t>
      </w:r>
      <w:proofErr w:type="spellEnd"/>
      <w:r w:rsidR="726D0143" w:rsidRPr="0735D306">
        <w:rPr>
          <w:rFonts w:ascii="Calibri" w:eastAsia="Calibri" w:hAnsi="Calibri" w:cs="Calibri"/>
          <w:lang w:val="es-ES"/>
        </w:rPr>
        <w:t xml:space="preserve"> et al. (2016), quienes reportaron beneficios en la interacción social y la comunicación. Sin embargo, nuestro </w:t>
      </w:r>
      <w:proofErr w:type="spellStart"/>
      <w:r w:rsidR="726D0143" w:rsidRPr="0735D306">
        <w:rPr>
          <w:rFonts w:ascii="Calibri" w:eastAsia="Calibri" w:hAnsi="Calibri" w:cs="Calibri"/>
          <w:lang w:val="es-ES"/>
        </w:rPr>
        <w:t>review</w:t>
      </w:r>
      <w:proofErr w:type="spellEnd"/>
      <w:r w:rsidR="726D0143" w:rsidRPr="0735D306">
        <w:rPr>
          <w:rFonts w:ascii="Calibri" w:eastAsia="Calibri" w:hAnsi="Calibri" w:cs="Calibri"/>
          <w:lang w:val="es-ES"/>
        </w:rPr>
        <w:t xml:space="preserve"> proporciona evidencia más reciente y detallada sobre los mecanismos específicos de estas mejoras, como la adaptabilidad de los robots a los niveles de atención de los niños (</w:t>
      </w:r>
      <w:proofErr w:type="spellStart"/>
      <w:r w:rsidR="726D0143" w:rsidRPr="0735D306">
        <w:rPr>
          <w:rFonts w:ascii="Calibri" w:eastAsia="Calibri" w:hAnsi="Calibri" w:cs="Calibri"/>
          <w:lang w:val="es-ES"/>
        </w:rPr>
        <w:t>Wanglavan</w:t>
      </w:r>
      <w:proofErr w:type="spellEnd"/>
      <w:r w:rsidR="726D0143" w:rsidRPr="0735D306">
        <w:rPr>
          <w:rFonts w:ascii="Calibri" w:eastAsia="Calibri" w:hAnsi="Calibri" w:cs="Calibri"/>
          <w:lang w:val="es-ES"/>
        </w:rPr>
        <w:t xml:space="preserve"> et al., 2019).</w:t>
      </w:r>
    </w:p>
    <w:p w14:paraId="42AACBEB" w14:textId="551A0138" w:rsidR="2460DB65" w:rsidRDefault="2460DB65" w:rsidP="0735D306">
      <w:pPr>
        <w:spacing w:after="0"/>
        <w:jc w:val="both"/>
        <w:rPr>
          <w:rFonts w:ascii="Calibri" w:eastAsia="Calibri" w:hAnsi="Calibri" w:cs="Calibri"/>
          <w:lang w:val="es-ES"/>
        </w:rPr>
      </w:pPr>
    </w:p>
    <w:p w14:paraId="0793695D" w14:textId="76D25898" w:rsidR="02E04937" w:rsidRDefault="02E04937" w:rsidP="0735D306">
      <w:pPr>
        <w:spacing w:after="0"/>
        <w:jc w:val="both"/>
        <w:rPr>
          <w:rFonts w:ascii="Calibri" w:eastAsia="Calibri" w:hAnsi="Calibri" w:cs="Calibri"/>
          <w:lang w:val="es-ES"/>
        </w:rPr>
      </w:pPr>
      <w:r w:rsidRPr="2B77190F">
        <w:rPr>
          <w:rFonts w:ascii="Calibri" w:eastAsia="Calibri" w:hAnsi="Calibri" w:cs="Calibri"/>
          <w:lang w:val="es-ES"/>
        </w:rPr>
        <w:t>Mientras que, en el</w:t>
      </w:r>
      <w:r w:rsidR="4FC2221F" w:rsidRPr="2B77190F">
        <w:rPr>
          <w:rFonts w:ascii="Calibri" w:eastAsia="Calibri" w:hAnsi="Calibri" w:cs="Calibri"/>
          <w:lang w:val="es-ES"/>
        </w:rPr>
        <w:t xml:space="preserve"> desarrollo de competencias emocionales, las mejoras en la comprensión y reconocimiento de emociones reportadas por Marino et al. (2019) y </w:t>
      </w:r>
      <w:proofErr w:type="spellStart"/>
      <w:r w:rsidR="4FC2221F" w:rsidRPr="2B77190F">
        <w:rPr>
          <w:rFonts w:ascii="Calibri" w:eastAsia="Calibri" w:hAnsi="Calibri" w:cs="Calibri"/>
          <w:lang w:val="es-ES"/>
        </w:rPr>
        <w:t>Bonarini</w:t>
      </w:r>
      <w:proofErr w:type="spellEnd"/>
      <w:r w:rsidR="4FC2221F" w:rsidRPr="2B77190F">
        <w:rPr>
          <w:rFonts w:ascii="Calibri" w:eastAsia="Calibri" w:hAnsi="Calibri" w:cs="Calibri"/>
          <w:lang w:val="es-ES"/>
        </w:rPr>
        <w:t xml:space="preserve"> et al. (2016) son consistentes con los resultados de </w:t>
      </w:r>
      <w:proofErr w:type="spellStart"/>
      <w:r w:rsidR="4FC2221F" w:rsidRPr="2B77190F">
        <w:rPr>
          <w:rFonts w:ascii="Calibri" w:eastAsia="Calibri" w:hAnsi="Calibri" w:cs="Calibri"/>
          <w:lang w:val="es-ES"/>
        </w:rPr>
        <w:t>Cabibihan</w:t>
      </w:r>
      <w:proofErr w:type="spellEnd"/>
      <w:r w:rsidR="4FC2221F" w:rsidRPr="2B77190F">
        <w:rPr>
          <w:rFonts w:ascii="Calibri" w:eastAsia="Calibri" w:hAnsi="Calibri" w:cs="Calibri"/>
          <w:lang w:val="es-ES"/>
        </w:rPr>
        <w:t xml:space="preserve"> et al. (2013), quienes destacaron el potencial de los robots para el entrenamiento de habilidades emocionales. </w:t>
      </w:r>
      <w:r w:rsidR="1C9A409D" w:rsidRPr="2B77190F">
        <w:rPr>
          <w:rFonts w:ascii="Calibri" w:eastAsia="Calibri" w:hAnsi="Calibri" w:cs="Calibri"/>
          <w:lang w:val="es-ES"/>
        </w:rPr>
        <w:t>Este</w:t>
      </w:r>
      <w:r w:rsidR="4FC2221F" w:rsidRPr="2B77190F">
        <w:rPr>
          <w:rFonts w:ascii="Calibri" w:eastAsia="Calibri" w:hAnsi="Calibri" w:cs="Calibri"/>
          <w:lang w:val="es-ES"/>
        </w:rPr>
        <w:t xml:space="preserve"> </w:t>
      </w:r>
      <w:proofErr w:type="spellStart"/>
      <w:r w:rsidR="4FC2221F" w:rsidRPr="2B77190F">
        <w:rPr>
          <w:rFonts w:ascii="Calibri" w:eastAsia="Calibri" w:hAnsi="Calibri" w:cs="Calibri"/>
          <w:lang w:val="es-ES"/>
        </w:rPr>
        <w:t>review</w:t>
      </w:r>
      <w:proofErr w:type="spellEnd"/>
      <w:r w:rsidR="4FC2221F" w:rsidRPr="2B77190F">
        <w:rPr>
          <w:rFonts w:ascii="Calibri" w:eastAsia="Calibri" w:hAnsi="Calibri" w:cs="Calibri"/>
          <w:lang w:val="es-ES"/>
        </w:rPr>
        <w:t xml:space="preserve"> aporta evidencia más reciente y detallada sobre estas mejoras, utilizando herramientas de evaluación estandarizadas</w:t>
      </w:r>
      <w:r w:rsidR="4B1A9C43" w:rsidRPr="2B77190F">
        <w:rPr>
          <w:rFonts w:ascii="Calibri" w:eastAsia="Calibri" w:hAnsi="Calibri" w:cs="Calibri"/>
          <w:lang w:val="es-ES"/>
        </w:rPr>
        <w:t xml:space="preserve"> como </w:t>
      </w:r>
      <w:proofErr w:type="gramStart"/>
      <w:r w:rsidR="60742C0C" w:rsidRPr="2B77190F">
        <w:rPr>
          <w:rFonts w:ascii="Calibri" w:eastAsia="Calibri" w:hAnsi="Calibri" w:cs="Calibri"/>
          <w:lang w:val="es-ES"/>
        </w:rPr>
        <w:t>el Test</w:t>
      </w:r>
      <w:proofErr w:type="gramEnd"/>
      <w:r w:rsidR="60742C0C" w:rsidRPr="2B77190F">
        <w:rPr>
          <w:rFonts w:ascii="Calibri" w:eastAsia="Calibri" w:hAnsi="Calibri" w:cs="Calibri"/>
          <w:lang w:val="es-ES"/>
        </w:rPr>
        <w:t xml:space="preserve"> </w:t>
      </w:r>
      <w:r w:rsidR="4B1A9C43" w:rsidRPr="2B77190F">
        <w:rPr>
          <w:rFonts w:ascii="Calibri" w:eastAsia="Calibri" w:hAnsi="Calibri" w:cs="Calibri"/>
          <w:lang w:val="es-ES"/>
        </w:rPr>
        <w:t xml:space="preserve">de Comprensión Emocional (TEC) y el Test de Léxico Emocional (ELT) (Marino et al., 2019). </w:t>
      </w:r>
    </w:p>
    <w:p w14:paraId="153E79C5" w14:textId="78D5FFCE" w:rsidR="0735D306" w:rsidRDefault="0735D306" w:rsidP="0735D306">
      <w:pPr>
        <w:spacing w:after="0"/>
        <w:jc w:val="both"/>
        <w:rPr>
          <w:rFonts w:ascii="Calibri" w:eastAsia="Calibri" w:hAnsi="Calibri" w:cs="Calibri"/>
          <w:lang w:val="es-ES"/>
        </w:rPr>
      </w:pPr>
    </w:p>
    <w:p w14:paraId="6D28436F" w14:textId="673E7974" w:rsidR="545CD57A" w:rsidRDefault="545CD57A" w:rsidP="0735D306">
      <w:pPr>
        <w:spacing w:after="0"/>
        <w:jc w:val="both"/>
        <w:rPr>
          <w:rFonts w:ascii="Calibri" w:eastAsia="Calibri" w:hAnsi="Calibri" w:cs="Calibri"/>
          <w:lang w:val="es-ES"/>
        </w:rPr>
      </w:pPr>
      <w:r w:rsidRPr="2B77190F">
        <w:rPr>
          <w:rFonts w:ascii="Calibri" w:eastAsia="Calibri" w:hAnsi="Calibri" w:cs="Calibri"/>
          <w:lang w:val="es-ES"/>
        </w:rPr>
        <w:t xml:space="preserve">Los avances en habilidades psicomotoras y cognitivas observados por </w:t>
      </w:r>
      <w:proofErr w:type="spellStart"/>
      <w:r w:rsidRPr="2B77190F">
        <w:rPr>
          <w:rFonts w:ascii="Calibri" w:eastAsia="Calibri" w:hAnsi="Calibri" w:cs="Calibri"/>
          <w:lang w:val="es-ES"/>
        </w:rPr>
        <w:t>Moorthy</w:t>
      </w:r>
      <w:proofErr w:type="spellEnd"/>
      <w:r w:rsidRPr="2B77190F">
        <w:rPr>
          <w:rFonts w:ascii="Calibri" w:eastAsia="Calibri" w:hAnsi="Calibri" w:cs="Calibri"/>
          <w:lang w:val="es-ES"/>
        </w:rPr>
        <w:t xml:space="preserve"> y </w:t>
      </w:r>
      <w:proofErr w:type="spellStart"/>
      <w:r w:rsidRPr="2B77190F">
        <w:rPr>
          <w:rFonts w:ascii="Calibri" w:eastAsia="Calibri" w:hAnsi="Calibri" w:cs="Calibri"/>
          <w:lang w:val="es-ES"/>
        </w:rPr>
        <w:t>Pugazhenthi</w:t>
      </w:r>
      <w:proofErr w:type="spellEnd"/>
      <w:r w:rsidRPr="2B77190F">
        <w:rPr>
          <w:rFonts w:ascii="Calibri" w:eastAsia="Calibri" w:hAnsi="Calibri" w:cs="Calibri"/>
          <w:lang w:val="es-ES"/>
        </w:rPr>
        <w:t xml:space="preserve"> (2017) y Reardon et al. (2019) amplían los hallazgos de revisiones anteriores como la de Begum et al. </w:t>
      </w:r>
      <w:r w:rsidR="7CCF9515" w:rsidRPr="2B77190F">
        <w:rPr>
          <w:rFonts w:ascii="Calibri" w:eastAsia="Calibri" w:hAnsi="Calibri" w:cs="Calibri"/>
          <w:lang w:val="es-ES"/>
        </w:rPr>
        <w:t>(2016), centrados en habilidades sociales.</w:t>
      </w:r>
      <w:r w:rsidRPr="2B77190F">
        <w:rPr>
          <w:rFonts w:ascii="Calibri" w:eastAsia="Calibri" w:hAnsi="Calibri" w:cs="Calibri"/>
          <w:lang w:val="es-ES"/>
        </w:rPr>
        <w:t xml:space="preserve"> Este </w:t>
      </w:r>
      <w:proofErr w:type="spellStart"/>
      <w:r w:rsidRPr="2B77190F">
        <w:rPr>
          <w:rFonts w:ascii="Calibri" w:eastAsia="Calibri" w:hAnsi="Calibri" w:cs="Calibri"/>
          <w:lang w:val="es-ES"/>
        </w:rPr>
        <w:t>review</w:t>
      </w:r>
      <w:proofErr w:type="spellEnd"/>
      <w:r w:rsidRPr="2B77190F">
        <w:rPr>
          <w:rFonts w:ascii="Calibri" w:eastAsia="Calibri" w:hAnsi="Calibri" w:cs="Calibri"/>
          <w:lang w:val="es-ES"/>
        </w:rPr>
        <w:t xml:space="preserve"> destaca la versatilidad de las plataformas robóticas para abordar múltiples áreas del desarrollo.</w:t>
      </w:r>
      <w:r w:rsidR="59FAA33C" w:rsidRPr="2B77190F">
        <w:rPr>
          <w:rFonts w:ascii="Calibri" w:eastAsia="Calibri" w:hAnsi="Calibri" w:cs="Calibri"/>
          <w:lang w:val="es-ES"/>
        </w:rPr>
        <w:t xml:space="preserve"> </w:t>
      </w:r>
    </w:p>
    <w:p w14:paraId="5BACD910" w14:textId="42D11F9D" w:rsidR="59FAA33C" w:rsidRDefault="59FAA33C" w:rsidP="0735D306">
      <w:pPr>
        <w:spacing w:after="0"/>
        <w:jc w:val="both"/>
        <w:rPr>
          <w:rFonts w:ascii="Calibri" w:eastAsia="Calibri" w:hAnsi="Calibri" w:cs="Calibri"/>
          <w:lang w:val="es-ES"/>
        </w:rPr>
      </w:pPr>
      <w:r w:rsidRPr="0735D306">
        <w:rPr>
          <w:rFonts w:ascii="Calibri" w:eastAsia="Calibri" w:hAnsi="Calibri" w:cs="Calibri"/>
          <w:lang w:val="es-ES"/>
        </w:rPr>
        <w:t xml:space="preserve">Además, este </w:t>
      </w:r>
      <w:proofErr w:type="spellStart"/>
      <w:r w:rsidRPr="0735D306">
        <w:rPr>
          <w:rFonts w:ascii="Calibri" w:eastAsia="Calibri" w:hAnsi="Calibri" w:cs="Calibri"/>
          <w:lang w:val="es-ES"/>
        </w:rPr>
        <w:t>review</w:t>
      </w:r>
      <w:proofErr w:type="spellEnd"/>
      <w:r w:rsidRPr="0735D306">
        <w:rPr>
          <w:rFonts w:ascii="Calibri" w:eastAsia="Calibri" w:hAnsi="Calibri" w:cs="Calibri"/>
          <w:lang w:val="es-ES"/>
        </w:rPr>
        <w:t xml:space="preserve"> destaca la integración de tecnologías complementarias, como la realidad aumentada (Reardon et al., 2019), en conjunción con los robots. Esta combinación de tecnologías representa un enfoque innovador que no se había explorado en profundidad en revisiones anteriores.</w:t>
      </w:r>
    </w:p>
    <w:p w14:paraId="395AAEE1" w14:textId="324ABE10" w:rsidR="0D8D4849" w:rsidRDefault="0D8D4849" w:rsidP="0735D306">
      <w:pPr>
        <w:spacing w:after="0"/>
        <w:jc w:val="both"/>
        <w:rPr>
          <w:rFonts w:ascii="Calibri" w:eastAsia="Calibri" w:hAnsi="Calibri" w:cs="Calibri"/>
          <w:lang w:val="es-ES"/>
        </w:rPr>
      </w:pPr>
      <w:r w:rsidRPr="0735D306">
        <w:rPr>
          <w:rFonts w:ascii="Calibri" w:eastAsia="Calibri" w:hAnsi="Calibri" w:cs="Calibri"/>
          <w:lang w:val="es-ES"/>
        </w:rPr>
        <w:t>Por otro lado, en cuanto al</w:t>
      </w:r>
      <w:r w:rsidR="71FC4C6B" w:rsidRPr="0735D306">
        <w:rPr>
          <w:rFonts w:ascii="Calibri" w:eastAsia="Calibri" w:hAnsi="Calibri" w:cs="Calibri"/>
          <w:lang w:val="es-ES"/>
        </w:rPr>
        <w:t xml:space="preserve"> aumento en el tiempo de interacción y compromiso, e</w:t>
      </w:r>
      <w:r w:rsidR="5790194A" w:rsidRPr="0735D306">
        <w:rPr>
          <w:rFonts w:ascii="Calibri" w:eastAsia="Calibri" w:hAnsi="Calibri" w:cs="Calibri"/>
          <w:lang w:val="es-ES"/>
        </w:rPr>
        <w:t>ste</w:t>
      </w:r>
      <w:r w:rsidR="71FC4C6B" w:rsidRPr="0735D306">
        <w:rPr>
          <w:rFonts w:ascii="Calibri" w:eastAsia="Calibri" w:hAnsi="Calibri" w:cs="Calibri"/>
          <w:lang w:val="es-ES"/>
        </w:rPr>
        <w:t xml:space="preserve"> aumento en el tiempo de interacción observado por </w:t>
      </w:r>
      <w:proofErr w:type="spellStart"/>
      <w:r w:rsidR="71FC4C6B" w:rsidRPr="0735D306">
        <w:rPr>
          <w:rFonts w:ascii="Calibri" w:eastAsia="Calibri" w:hAnsi="Calibri" w:cs="Calibri"/>
          <w:lang w:val="es-ES"/>
        </w:rPr>
        <w:t>Giannopulu</w:t>
      </w:r>
      <w:proofErr w:type="spellEnd"/>
      <w:r w:rsidR="71FC4C6B" w:rsidRPr="0735D306">
        <w:rPr>
          <w:rFonts w:ascii="Calibri" w:eastAsia="Calibri" w:hAnsi="Calibri" w:cs="Calibri"/>
          <w:lang w:val="es-ES"/>
        </w:rPr>
        <w:t xml:space="preserve"> et al. (2013) complementa los hallazgos de Diehl et al. (2012), quienes sugirieron que los robots podrían ser herramientas efectivas para mantener el interés de los niños con autismo. Nuestra revisión amplía esta idea, proporcionando datos cuantitativos sobre la duración de las interacciones y explorando los factores que contribuyen a este aumento del compromiso</w:t>
      </w:r>
      <w:r w:rsidR="39A39F5A" w:rsidRPr="0735D306">
        <w:rPr>
          <w:rFonts w:ascii="Calibri" w:eastAsia="Calibri" w:hAnsi="Calibri" w:cs="Calibri"/>
          <w:lang w:val="es-ES"/>
        </w:rPr>
        <w:t>.</w:t>
      </w:r>
    </w:p>
    <w:p w14:paraId="501382C1" w14:textId="772922CE" w:rsidR="0735D306" w:rsidRDefault="0735D306" w:rsidP="0735D306">
      <w:pPr>
        <w:spacing w:after="0"/>
        <w:jc w:val="both"/>
        <w:rPr>
          <w:rFonts w:ascii="Calibri" w:eastAsia="Calibri" w:hAnsi="Calibri" w:cs="Calibri"/>
          <w:lang w:val="es-ES"/>
        </w:rPr>
      </w:pPr>
    </w:p>
    <w:p w14:paraId="5AC1CE2C" w14:textId="7077BDE9" w:rsidR="650B411B" w:rsidRDefault="650B411B" w:rsidP="0735D306">
      <w:pPr>
        <w:spacing w:after="0"/>
        <w:jc w:val="both"/>
        <w:rPr>
          <w:rFonts w:ascii="Calibri" w:eastAsia="Calibri" w:hAnsi="Calibri" w:cs="Calibri"/>
          <w:lang w:val="es-ES"/>
        </w:rPr>
      </w:pPr>
      <w:r w:rsidRPr="0735D306">
        <w:rPr>
          <w:rFonts w:ascii="Calibri" w:eastAsia="Calibri" w:hAnsi="Calibri" w:cs="Calibri"/>
          <w:lang w:val="es-ES"/>
        </w:rPr>
        <w:t xml:space="preserve">Por último, desde una perspectiva más general, en comparación con revisiones anteriores, </w:t>
      </w:r>
      <w:r w:rsidR="552A1605" w:rsidRPr="0735D306">
        <w:rPr>
          <w:rFonts w:ascii="Calibri" w:eastAsia="Calibri" w:hAnsi="Calibri" w:cs="Calibri"/>
          <w:lang w:val="es-ES"/>
        </w:rPr>
        <w:t>este</w:t>
      </w:r>
      <w:r w:rsidRPr="0735D306">
        <w:rPr>
          <w:rFonts w:ascii="Calibri" w:eastAsia="Calibri" w:hAnsi="Calibri" w:cs="Calibri"/>
          <w:lang w:val="es-ES"/>
        </w:rPr>
        <w:t xml:space="preserve"> estudio destaca por la diversidad de métodos de recolección de datos y el uso de herramientas </w:t>
      </w:r>
      <w:r w:rsidRPr="0735D306">
        <w:rPr>
          <w:rFonts w:ascii="Calibri" w:eastAsia="Calibri" w:hAnsi="Calibri" w:cs="Calibri"/>
          <w:lang w:val="es-ES"/>
        </w:rPr>
        <w:lastRenderedPageBreak/>
        <w:t xml:space="preserve">de evaluación estandarizadas </w:t>
      </w:r>
      <w:r w:rsidR="4FEB3EDA" w:rsidRPr="0735D306">
        <w:rPr>
          <w:rFonts w:ascii="Calibri" w:eastAsia="Calibri" w:hAnsi="Calibri" w:cs="Calibri"/>
          <w:lang w:val="es-ES"/>
        </w:rPr>
        <w:t xml:space="preserve">como: </w:t>
      </w:r>
      <w:r w:rsidRPr="0735D306">
        <w:rPr>
          <w:rFonts w:ascii="Calibri" w:eastAsia="Calibri" w:hAnsi="Calibri" w:cs="Calibri"/>
          <w:lang w:val="es-ES"/>
        </w:rPr>
        <w:t xml:space="preserve">TEC, ELT, CAST, SRS. </w:t>
      </w:r>
      <w:r w:rsidR="70D07413" w:rsidRPr="0735D306">
        <w:rPr>
          <w:rFonts w:ascii="Calibri" w:eastAsia="Calibri" w:hAnsi="Calibri" w:cs="Calibri"/>
          <w:lang w:val="es-ES"/>
        </w:rPr>
        <w:t>Y también</w:t>
      </w:r>
      <w:r w:rsidR="5A831203" w:rsidRPr="0735D306">
        <w:rPr>
          <w:rFonts w:ascii="Calibri" w:eastAsia="Calibri" w:hAnsi="Calibri" w:cs="Calibri"/>
          <w:lang w:val="es-ES"/>
        </w:rPr>
        <w:t xml:space="preserve"> por la</w:t>
      </w:r>
      <w:r w:rsidRPr="0735D306">
        <w:rPr>
          <w:rFonts w:ascii="Calibri" w:eastAsia="Calibri" w:hAnsi="Calibri" w:cs="Calibri"/>
          <w:lang w:val="es-ES"/>
        </w:rPr>
        <w:t xml:space="preserve"> variedad de técnicas estadísticas empleadas en los estudios revisados, incluyendo tanto pruebas paramétricas como no paramétricas y modelos lineales mixtos. Esto permite una evaluación más precisa y matizada de los efectos de las intervenciones robóticas</w:t>
      </w:r>
      <w:r w:rsidR="71B5A3A0" w:rsidRPr="0735D306">
        <w:rPr>
          <w:rFonts w:ascii="Calibri" w:eastAsia="Calibri" w:hAnsi="Calibri" w:cs="Calibri"/>
          <w:lang w:val="es-ES"/>
        </w:rPr>
        <w:t xml:space="preserve">, </w:t>
      </w:r>
      <w:r w:rsidRPr="0735D306">
        <w:rPr>
          <w:rFonts w:ascii="Calibri" w:eastAsia="Calibri" w:hAnsi="Calibri" w:cs="Calibri"/>
          <w:lang w:val="es-ES"/>
        </w:rPr>
        <w:t>abordando</w:t>
      </w:r>
      <w:r w:rsidR="7386571E" w:rsidRPr="0735D306">
        <w:rPr>
          <w:rFonts w:ascii="Calibri" w:eastAsia="Calibri" w:hAnsi="Calibri" w:cs="Calibri"/>
          <w:lang w:val="es-ES"/>
        </w:rPr>
        <w:t xml:space="preserve"> así</w:t>
      </w:r>
      <w:r w:rsidRPr="0735D306">
        <w:rPr>
          <w:rFonts w:ascii="Calibri" w:eastAsia="Calibri" w:hAnsi="Calibri" w:cs="Calibri"/>
          <w:lang w:val="es-ES"/>
        </w:rPr>
        <w:t xml:space="preserve"> las preocupaciones planteadas por Diehl et al. (2012) sobre la necesidad de métodos de evaluación más rigurosos.</w:t>
      </w:r>
    </w:p>
    <w:p w14:paraId="134B0310" w14:textId="44217C53" w:rsidR="0735D306" w:rsidRDefault="0735D306" w:rsidP="0735D306">
      <w:pPr>
        <w:spacing w:after="0"/>
        <w:jc w:val="both"/>
        <w:rPr>
          <w:rFonts w:ascii="Calibri" w:eastAsia="Calibri" w:hAnsi="Calibri" w:cs="Calibri"/>
          <w:lang w:val="es-ES"/>
        </w:rPr>
      </w:pPr>
    </w:p>
    <w:p w14:paraId="70B627B6" w14:textId="7C7E3C17" w:rsidR="00EC369E" w:rsidRDefault="00EC369E" w:rsidP="7421D9D5">
      <w:pPr>
        <w:jc w:val="both"/>
        <w:rPr>
          <w:rFonts w:ascii="Calibri" w:eastAsia="Calibri" w:hAnsi="Calibri" w:cs="Calibri"/>
          <w:lang w:val="es-ES"/>
        </w:rPr>
      </w:pPr>
      <w:r w:rsidRPr="7421D9D5">
        <w:rPr>
          <w:rFonts w:ascii="Calibri" w:eastAsia="Calibri" w:hAnsi="Calibri" w:cs="Calibri"/>
          <w:lang w:val="es-ES"/>
        </w:rPr>
        <w:t>23b. Limitaciones de la evidencia incluida en la revisión</w:t>
      </w:r>
    </w:p>
    <w:p w14:paraId="61A0A1B9" w14:textId="65129D2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metodológicas</w:t>
      </w:r>
    </w:p>
    <w:p w14:paraId="1CDEFCBE" w14:textId="4BB52091" w:rsidR="37F3FD9C" w:rsidRPr="00A80167" w:rsidRDefault="37F3FD9C" w:rsidP="7421D9D5">
      <w:pPr>
        <w:jc w:val="both"/>
        <w:rPr>
          <w:lang w:val="es-CO"/>
        </w:rPr>
      </w:pPr>
      <w:r w:rsidRPr="7421D9D5">
        <w:rPr>
          <w:rFonts w:ascii="Calibri" w:eastAsia="Calibri" w:hAnsi="Calibri" w:cs="Calibri"/>
          <w:lang w:val="es-ES"/>
        </w:rPr>
        <w:t>1. Tamaño de las muestras: Una de las limitaciones más prevalentes fue el uso de mue</w:t>
      </w:r>
      <w:r w:rsidR="2E88AA7A" w:rsidRPr="7421D9D5">
        <w:rPr>
          <w:rFonts w:ascii="Calibri" w:eastAsia="Calibri" w:hAnsi="Calibri" w:cs="Calibri"/>
          <w:lang w:val="es-ES"/>
        </w:rPr>
        <w:t xml:space="preserve"> </w:t>
      </w:r>
      <w:proofErr w:type="spellStart"/>
      <w:r w:rsidRPr="7421D9D5">
        <w:rPr>
          <w:rFonts w:ascii="Calibri" w:eastAsia="Calibri" w:hAnsi="Calibri" w:cs="Calibri"/>
          <w:lang w:val="es-ES"/>
        </w:rPr>
        <w:t>stras</w:t>
      </w:r>
      <w:proofErr w:type="spellEnd"/>
      <w:r w:rsidRPr="7421D9D5">
        <w:rPr>
          <w:rFonts w:ascii="Calibri" w:eastAsia="Calibri" w:hAnsi="Calibri" w:cs="Calibri"/>
          <w:lang w:val="es-ES"/>
        </w:rPr>
        <w:t xml:space="preserve"> pequeñas en muchos estudios (Marino et al., 2019;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Esto no solo reduce el poder estadístico, sino que también compromete la capacidad de generalizar los resultados. Esto es relevante en estudios sobre discapacidad intelectual, ya que esta condición abarca un amplio espectro de variables, desde factores genéticos hasta enfermedades asociadas, lo que genera una diversidad en las manifestaciones y necesidades de cada persona.</w:t>
      </w:r>
    </w:p>
    <w:p w14:paraId="52700983" w14:textId="155C110A" w:rsidR="37F3FD9C" w:rsidRPr="00A80167" w:rsidRDefault="37F3FD9C" w:rsidP="7421D9D5">
      <w:pPr>
        <w:jc w:val="both"/>
        <w:rPr>
          <w:lang w:val="es-CO"/>
        </w:rPr>
      </w:pPr>
      <w:r w:rsidRPr="7421D9D5">
        <w:rPr>
          <w:rFonts w:ascii="Calibri" w:eastAsia="Calibri" w:hAnsi="Calibri" w:cs="Calibri"/>
          <w:lang w:val="es-ES"/>
        </w:rPr>
        <w:t>2. Duración de las intervenciones: Muchos estudios se caracterizaron por periodos de intervención cortos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Esto puede no reflejar el potencial de mejoras sostenidas o capturar el impacto completo de las terapias asistidas con tecnología a largo plazo, ya que las terapias de este tipo suelen requerir un tiempo de adaptación tanto para los pacientes como para los profesionales. Por lo tanto, una intervención de corta duración podría subestimar los efectos positivos reales y limitar la capacidad de evaluar cambios significativos en habilidades o comportamientos a lo largo del tiempo.</w:t>
      </w:r>
    </w:p>
    <w:p w14:paraId="6540B1DA" w14:textId="5F0D12B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en la recolección y análisis de datos</w:t>
      </w:r>
    </w:p>
    <w:p w14:paraId="346AE9B3" w14:textId="66DC1C10" w:rsidR="37F3FD9C" w:rsidRPr="00A80167" w:rsidRDefault="37F3FD9C" w:rsidP="7421D9D5">
      <w:pPr>
        <w:jc w:val="both"/>
        <w:rPr>
          <w:lang w:val="es-CO"/>
        </w:rPr>
      </w:pPr>
      <w:r w:rsidRPr="2B77190F">
        <w:rPr>
          <w:rFonts w:ascii="Calibri" w:eastAsia="Calibri" w:hAnsi="Calibri" w:cs="Calibri"/>
          <w:lang w:val="es-ES"/>
        </w:rPr>
        <w:t xml:space="preserve">1. Métodos de evaluación: Se identificaron dificultades en la evaluación precisa de mejoras en habilidades sociales, comprensión emocional y </w:t>
      </w:r>
      <w:proofErr w:type="spellStart"/>
      <w:r w:rsidRPr="2B77190F">
        <w:rPr>
          <w:rFonts w:ascii="Calibri" w:eastAsia="Calibri" w:hAnsi="Calibri" w:cs="Calibri"/>
          <w:lang w:val="es-ES"/>
        </w:rPr>
        <w:t>atencion</w:t>
      </w:r>
      <w:proofErr w:type="spellEnd"/>
      <w:r w:rsidRPr="2B77190F">
        <w:rPr>
          <w:rFonts w:ascii="Calibri" w:eastAsia="Calibri" w:hAnsi="Calibri" w:cs="Calibri"/>
          <w:lang w:val="es-ES"/>
        </w:rPr>
        <w:t xml:space="preserve"> conjunta (Marino et al., 2019; </w:t>
      </w:r>
      <w:proofErr w:type="spellStart"/>
      <w:r w:rsidRPr="2B77190F">
        <w:rPr>
          <w:rFonts w:ascii="Calibri" w:eastAsia="Calibri" w:hAnsi="Calibri" w:cs="Calibri"/>
          <w:lang w:val="es-ES"/>
        </w:rPr>
        <w:t>Bharatharaj</w:t>
      </w:r>
      <w:proofErr w:type="spellEnd"/>
      <w:r w:rsidRPr="2B77190F">
        <w:rPr>
          <w:rFonts w:ascii="Calibri" w:eastAsia="Calibri" w:hAnsi="Calibri" w:cs="Calibri"/>
          <w:lang w:val="es-ES"/>
        </w:rPr>
        <w:t xml:space="preserve"> et al., 2017; </w:t>
      </w:r>
      <w:proofErr w:type="spellStart"/>
      <w:r w:rsidRPr="2B77190F">
        <w:rPr>
          <w:rFonts w:ascii="Calibri" w:eastAsia="Calibri" w:hAnsi="Calibri" w:cs="Calibri"/>
          <w:lang w:val="es-ES"/>
        </w:rPr>
        <w:t>Taheri</w:t>
      </w:r>
      <w:proofErr w:type="spellEnd"/>
      <w:r w:rsidRPr="2B77190F">
        <w:rPr>
          <w:rFonts w:ascii="Calibri" w:eastAsia="Calibri" w:hAnsi="Calibri" w:cs="Calibri"/>
          <w:lang w:val="es-ES"/>
        </w:rPr>
        <w:t xml:space="preserve"> et al., 2017). </w:t>
      </w:r>
      <w:r w:rsidR="43EBC7FF" w:rsidRPr="2B77190F">
        <w:rPr>
          <w:rFonts w:ascii="Calibri" w:eastAsia="Calibri" w:hAnsi="Calibri" w:cs="Calibri"/>
          <w:lang w:val="es-ES"/>
        </w:rPr>
        <w:t>Los métodos utilizados (observaciones, codificación de video, sistemas de reconocimiento de emociones, evaluaciones estandarizadas) podrían no haberlo capturado, ya que los comportamientos sociales y emocionales suelen ser complejos, contextuales y variables, por lo que es difícil medirlos de manera consistente y objetiva.</w:t>
      </w:r>
      <w:r w:rsidRPr="2B77190F">
        <w:rPr>
          <w:rFonts w:ascii="Calibri" w:eastAsia="Calibri" w:hAnsi="Calibri" w:cs="Calibri"/>
          <w:lang w:val="es-ES"/>
        </w:rPr>
        <w:t xml:space="preserve"> Además, algunos métodos podrían no ser lo suficientemente flexibles para adaptarse a las particularidades individuales de los participantes, lo que podría generar una evaluación incompleta o superficial de las mejoras reales.</w:t>
      </w:r>
    </w:p>
    <w:p w14:paraId="398E6F1D" w14:textId="3D322572"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Generalización y transferencia de habilidades</w:t>
      </w:r>
    </w:p>
    <w:p w14:paraId="0E3DE3BF" w14:textId="35C4A0E1" w:rsidR="37F3FD9C" w:rsidRPr="00A80167" w:rsidRDefault="37F3FD9C" w:rsidP="7421D9D5">
      <w:pPr>
        <w:jc w:val="both"/>
        <w:rPr>
          <w:lang w:val="es-CO"/>
        </w:rPr>
      </w:pPr>
      <w:r w:rsidRPr="7421D9D5">
        <w:rPr>
          <w:rFonts w:ascii="Calibri" w:eastAsia="Calibri" w:hAnsi="Calibri" w:cs="Calibri"/>
          <w:lang w:val="es-ES"/>
        </w:rPr>
        <w:lastRenderedPageBreak/>
        <w:t xml:space="preserve">Un desafío identificado en varios estudios fue la dificultad de trasladar las habilidades adquiridas durante las intervenciones a interacciones del mundo real (Marino et al., 2019;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Costa et al., 2013). </w:t>
      </w:r>
      <w:r w:rsidR="33A536C0" w:rsidRPr="7421D9D5">
        <w:rPr>
          <w:rFonts w:ascii="Calibri" w:eastAsia="Calibri" w:hAnsi="Calibri" w:cs="Calibri"/>
          <w:lang w:val="es-ES"/>
        </w:rPr>
        <w:t>Esto se</w:t>
      </w:r>
      <w:r w:rsidRPr="7421D9D5">
        <w:rPr>
          <w:rFonts w:ascii="Calibri" w:eastAsia="Calibri" w:hAnsi="Calibri" w:cs="Calibri"/>
          <w:lang w:val="es-ES"/>
        </w:rPr>
        <w:t xml:space="preserve"> debe </w:t>
      </w:r>
      <w:r w:rsidR="7F3876F4" w:rsidRPr="7421D9D5">
        <w:rPr>
          <w:rFonts w:ascii="Calibri" w:eastAsia="Calibri" w:hAnsi="Calibri" w:cs="Calibri"/>
          <w:lang w:val="es-ES"/>
        </w:rPr>
        <w:t>a que</w:t>
      </w:r>
      <w:r w:rsidRPr="7421D9D5">
        <w:rPr>
          <w:rFonts w:ascii="Calibri" w:eastAsia="Calibri" w:hAnsi="Calibri" w:cs="Calibri"/>
          <w:lang w:val="es-ES"/>
        </w:rPr>
        <w:t xml:space="preserve"> la naturaleza estructurada y predecible de las interacciones con dispositivos tecnológicos, particularmente robots, podría no representar con precisión la complejidad de las interacciones humano-humano.</w:t>
      </w:r>
    </w:p>
    <w:p w14:paraId="52E15969" w14:textId="50B7B17C"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tecnológicas</w:t>
      </w:r>
    </w:p>
    <w:p w14:paraId="03F2C79E" w14:textId="049D0C22" w:rsidR="37F3FD9C" w:rsidRPr="00A80167" w:rsidRDefault="37F3FD9C" w:rsidP="7421D9D5">
      <w:pPr>
        <w:jc w:val="both"/>
        <w:rPr>
          <w:lang w:val="es-CO"/>
        </w:rPr>
      </w:pPr>
      <w:r w:rsidRPr="7421D9D5">
        <w:rPr>
          <w:rFonts w:ascii="Calibri" w:eastAsia="Calibri" w:hAnsi="Calibri" w:cs="Calibri"/>
          <w:lang w:val="es-ES"/>
        </w:rPr>
        <w:t>1. Dificultades técnicas: Numerosos estudios reportaron dificultades técnicas o mal funcionamiento de los dispositivos utilizados en las intervenciones (</w:t>
      </w:r>
      <w:proofErr w:type="spellStart"/>
      <w:r w:rsidRPr="7421D9D5">
        <w:rPr>
          <w:rFonts w:ascii="Calibri" w:eastAsia="Calibri" w:hAnsi="Calibri" w:cs="Calibri"/>
          <w:lang w:val="es-ES"/>
        </w:rPr>
        <w:t>Scassellati</w:t>
      </w:r>
      <w:proofErr w:type="spellEnd"/>
      <w:r w:rsidRPr="7421D9D5">
        <w:rPr>
          <w:rFonts w:ascii="Calibri" w:eastAsia="Calibri" w:hAnsi="Calibri" w:cs="Calibri"/>
          <w:lang w:val="es-ES"/>
        </w:rPr>
        <w:t xml:space="preserve"> et al., 2018; </w:t>
      </w:r>
      <w:proofErr w:type="spellStart"/>
      <w:r w:rsidRPr="7421D9D5">
        <w:rPr>
          <w:rFonts w:ascii="Calibri" w:eastAsia="Calibri" w:hAnsi="Calibri" w:cs="Calibri"/>
          <w:lang w:val="es-ES"/>
        </w:rPr>
        <w:t>Sartorato</w:t>
      </w:r>
      <w:proofErr w:type="spellEnd"/>
      <w:r w:rsidRPr="7421D9D5">
        <w:rPr>
          <w:rFonts w:ascii="Calibri" w:eastAsia="Calibri" w:hAnsi="Calibri" w:cs="Calibri"/>
          <w:lang w:val="es-ES"/>
        </w:rPr>
        <w:t xml:space="preserve"> et al., 2017; Marino et al., 2019). Estas limitaciones son importantes porque los problemas técnicos, como fallas de hardware, errores operativos, retrasos en la respuesta e inexactitudes de los sensores, no solo interrumpen el flujo de las sesiones, sino que también pueden afectar la experiencia del participante y la confiabilidad de los datos recogidos. Además, las dependencias de software y las dificultades de instalación pueden limitar la accesibilidad y escalabilidad de estas tecnologías en entornos terapéuticos reales. Estos inconvenientes pueden interferir con la capacidad de los profesionales para utilizar las herramientas tecnológicas, lo que a su vez impacta en la evaluación precisa de los resultados de las intervenciones.</w:t>
      </w:r>
    </w:p>
    <w:p w14:paraId="1177B0ED" w14:textId="24BDADA9" w:rsidR="7E198C09" w:rsidRDefault="77DFC670" w:rsidP="7421D9D5">
      <w:pPr>
        <w:jc w:val="both"/>
        <w:rPr>
          <w:rFonts w:ascii="Calibri" w:eastAsia="Calibri" w:hAnsi="Calibri" w:cs="Calibri"/>
          <w:lang w:val="es-ES"/>
        </w:rPr>
      </w:pPr>
      <w:r w:rsidRPr="7421D9D5">
        <w:rPr>
          <w:rFonts w:ascii="Calibri" w:eastAsia="Calibri" w:hAnsi="Calibri" w:cs="Calibri"/>
          <w:lang w:val="es-ES"/>
        </w:rPr>
        <w:t xml:space="preserve">2. Integración e interoperabilidad: Varios estudios enfrentaron </w:t>
      </w:r>
      <w:r w:rsidR="54EFF70E" w:rsidRPr="7421D9D5">
        <w:rPr>
          <w:rFonts w:ascii="Calibri" w:eastAsia="Calibri" w:hAnsi="Calibri" w:cs="Calibri"/>
          <w:lang w:val="es-ES"/>
        </w:rPr>
        <w:t>desafíos</w:t>
      </w:r>
      <w:r w:rsidRPr="7421D9D5">
        <w:rPr>
          <w:rFonts w:ascii="Calibri" w:eastAsia="Calibri" w:hAnsi="Calibri" w:cs="Calibri"/>
          <w:lang w:val="es-ES"/>
        </w:rPr>
        <w:t xml:space="preserve"> relacionados con la integración e interoperabilidad de diversos componentes, como sistemas </w:t>
      </w:r>
      <w:proofErr w:type="spellStart"/>
      <w:r w:rsidRPr="7421D9D5">
        <w:rPr>
          <w:rFonts w:ascii="Calibri" w:eastAsia="Calibri" w:hAnsi="Calibri" w:cs="Calibri"/>
          <w:lang w:val="es-ES"/>
        </w:rPr>
        <w:t>roboticos</w:t>
      </w:r>
      <w:proofErr w:type="spellEnd"/>
      <w:r w:rsidRPr="7421D9D5">
        <w:rPr>
          <w:rFonts w:ascii="Calibri" w:eastAsia="Calibri" w:hAnsi="Calibri" w:cs="Calibri"/>
          <w:lang w:val="es-ES"/>
        </w:rPr>
        <w:t>, plataformas de software</w:t>
      </w:r>
      <w:r w:rsidR="5B005D42" w:rsidRPr="7421D9D5">
        <w:rPr>
          <w:rFonts w:ascii="Calibri" w:eastAsia="Calibri" w:hAnsi="Calibri" w:cs="Calibri"/>
          <w:lang w:val="es-ES"/>
        </w:rPr>
        <w:t xml:space="preserve"> y sensores (Robles-</w:t>
      </w:r>
      <w:proofErr w:type="spellStart"/>
      <w:r w:rsidR="5B005D42" w:rsidRPr="7421D9D5">
        <w:rPr>
          <w:rFonts w:ascii="Calibri" w:eastAsia="Calibri" w:hAnsi="Calibri" w:cs="Calibri"/>
          <w:lang w:val="es-ES"/>
        </w:rPr>
        <w:t>Bykbaev</w:t>
      </w:r>
      <w:proofErr w:type="spellEnd"/>
      <w:r w:rsidR="5B005D42" w:rsidRPr="7421D9D5">
        <w:rPr>
          <w:rFonts w:ascii="Calibri" w:eastAsia="Calibri" w:hAnsi="Calibri" w:cs="Calibri"/>
          <w:lang w:val="es-ES"/>
        </w:rPr>
        <w:t xml:space="preserve"> &amp; Arévalo-Fernández, 2017; Palestra et al., 2017; Conti et al., 2021)</w:t>
      </w:r>
      <w:r w:rsidR="37E496C6" w:rsidRPr="7421D9D5">
        <w:rPr>
          <w:rFonts w:ascii="Calibri" w:eastAsia="Calibri" w:hAnsi="Calibri" w:cs="Calibri"/>
          <w:lang w:val="es-ES"/>
        </w:rPr>
        <w:t xml:space="preserve">. Esta integración deficiente entre los diferentes componentes puede limitar la funcionalidad y la capacidad de las tecnologías para trabajar de manera conjunta. La falta de interoperabilidad puede generar inconsistencias en los datos recogidos, tiempos de respuesta ineficientes o incluso la imposibilidad de ejecutar ciertas funciones necesarias para la intervención. En muchos casos, estas limitaciones restringen la escalabilidad y el potencial de adopción de las tecnologías en la práctica clínica, reduciendo su impacto general. </w:t>
      </w:r>
    </w:p>
    <w:p w14:paraId="116130E8" w14:textId="4125ED57" w:rsidR="7E198C09" w:rsidRDefault="1DE06E14" w:rsidP="7421D9D5">
      <w:pPr>
        <w:jc w:val="both"/>
        <w:rPr>
          <w:rFonts w:ascii="Calibri" w:eastAsia="Calibri" w:hAnsi="Calibri" w:cs="Calibri"/>
          <w:lang w:val="es-ES"/>
        </w:rPr>
      </w:pPr>
      <w:r w:rsidRPr="7421D9D5">
        <w:rPr>
          <w:rFonts w:ascii="Calibri" w:eastAsia="Calibri" w:hAnsi="Calibri" w:cs="Calibri"/>
          <w:lang w:val="es-ES"/>
        </w:rPr>
        <w:t xml:space="preserve">3. Diseño de interacción: </w:t>
      </w:r>
      <w:r w:rsidR="13105BF1" w:rsidRPr="7421D9D5">
        <w:rPr>
          <w:rFonts w:ascii="Calibri" w:eastAsia="Calibri" w:hAnsi="Calibri" w:cs="Calibri"/>
          <w:lang w:val="es-ES"/>
        </w:rPr>
        <w:t>Algunos estudios reportaron errores relacionados con el diseño de la interacción, como problemas con la claridad de las instrucciones o frases utilizadas por los robots, reacciones inesperadas a la</w:t>
      </w:r>
      <w:r w:rsidR="74C45709" w:rsidRPr="7421D9D5">
        <w:rPr>
          <w:rFonts w:ascii="Calibri" w:eastAsia="Calibri" w:hAnsi="Calibri" w:cs="Calibri"/>
          <w:lang w:val="es-ES"/>
        </w:rPr>
        <w:t xml:space="preserve">s características del robot, limitaciones en la adaptación a comportamientos espontáneos y retrasos en la provisión de retroalimentación (Wood et al., 2017; </w:t>
      </w:r>
      <w:proofErr w:type="spellStart"/>
      <w:r w:rsidR="74C45709" w:rsidRPr="7421D9D5">
        <w:rPr>
          <w:rFonts w:ascii="Calibri" w:eastAsia="Calibri" w:hAnsi="Calibri" w:cs="Calibri"/>
          <w:lang w:val="es-ES"/>
        </w:rPr>
        <w:t>Qidwai</w:t>
      </w:r>
      <w:proofErr w:type="spellEnd"/>
      <w:r w:rsidR="74C45709" w:rsidRPr="7421D9D5">
        <w:rPr>
          <w:rFonts w:ascii="Calibri" w:eastAsia="Calibri" w:hAnsi="Calibri" w:cs="Calibri"/>
          <w:lang w:val="es-ES"/>
        </w:rPr>
        <w:t xml:space="preserve"> et al., 2013; Yun et al., 2016)</w:t>
      </w:r>
      <w:r w:rsidR="2578D328" w:rsidRPr="7421D9D5">
        <w:rPr>
          <w:rFonts w:ascii="Calibri" w:eastAsia="Calibri" w:hAnsi="Calibri" w:cs="Calibri"/>
          <w:lang w:val="es-ES"/>
        </w:rPr>
        <w:t>.</w:t>
      </w:r>
      <w:r w:rsidR="633984DD" w:rsidRPr="7421D9D5">
        <w:rPr>
          <w:rFonts w:ascii="Calibri" w:eastAsia="Calibri" w:hAnsi="Calibri" w:cs="Calibri"/>
          <w:lang w:val="es-ES"/>
        </w:rPr>
        <w:t xml:space="preserve"> </w:t>
      </w:r>
      <w:r w:rsidR="56CEBF05" w:rsidRPr="7421D9D5">
        <w:rPr>
          <w:rFonts w:ascii="Calibri" w:eastAsia="Calibri" w:hAnsi="Calibri" w:cs="Calibri"/>
          <w:lang w:val="es-ES"/>
        </w:rPr>
        <w:t xml:space="preserve">Estas dificultades son significativas </w:t>
      </w:r>
      <w:r w:rsidR="3FD88F80" w:rsidRPr="7421D9D5">
        <w:rPr>
          <w:rFonts w:ascii="Calibri" w:eastAsia="Calibri" w:hAnsi="Calibri" w:cs="Calibri"/>
          <w:lang w:val="es-ES"/>
        </w:rPr>
        <w:t xml:space="preserve">ya que el </w:t>
      </w:r>
      <w:proofErr w:type="spellStart"/>
      <w:r w:rsidR="3FD88F80" w:rsidRPr="7421D9D5">
        <w:rPr>
          <w:rFonts w:ascii="Calibri" w:eastAsia="Calibri" w:hAnsi="Calibri" w:cs="Calibri"/>
          <w:lang w:val="es-ES"/>
        </w:rPr>
        <w:t>exito</w:t>
      </w:r>
      <w:proofErr w:type="spellEnd"/>
      <w:r w:rsidR="56CEBF05" w:rsidRPr="7421D9D5">
        <w:rPr>
          <w:rFonts w:ascii="Calibri" w:eastAsia="Calibri" w:hAnsi="Calibri" w:cs="Calibri"/>
          <w:lang w:val="es-ES"/>
        </w:rPr>
        <w:t xml:space="preserve"> de las terapias asistidas por tecnología depende</w:t>
      </w:r>
      <w:r w:rsidR="76C3DE30" w:rsidRPr="7421D9D5">
        <w:rPr>
          <w:rFonts w:ascii="Calibri" w:eastAsia="Calibri" w:hAnsi="Calibri" w:cs="Calibri"/>
          <w:lang w:val="es-ES"/>
        </w:rPr>
        <w:t>n</w:t>
      </w:r>
      <w:r w:rsidR="56CEBF05" w:rsidRPr="7421D9D5">
        <w:rPr>
          <w:rFonts w:ascii="Calibri" w:eastAsia="Calibri" w:hAnsi="Calibri" w:cs="Calibri"/>
          <w:lang w:val="es-ES"/>
        </w:rPr>
        <w:t xml:space="preserve"> en gran medida de una interacción fluida y comprensible entre el usuario y el robot. Si las instrucciones no son claras o el robot presenta comportamientos inesperados, esto puede generar frustración, confusión y, en algunos casos, desconfianza en la tecnología por parte del usuario. Además, la incapacidad del sistema para adaptarse a comportamientos espontáneos limita la naturalidad de la interacción, lo que es crucial en contextos terapéuticos donde se espera que los usuarios actúen de manera genuina. </w:t>
      </w:r>
    </w:p>
    <w:p w14:paraId="746C00AB" w14:textId="2D9F6E7C" w:rsidR="69FA5807" w:rsidRDefault="69FA5807" w:rsidP="7421D9D5">
      <w:pPr>
        <w:jc w:val="both"/>
        <w:rPr>
          <w:rFonts w:ascii="Calibri" w:eastAsia="Calibri" w:hAnsi="Calibri" w:cs="Calibri"/>
          <w:b/>
          <w:bCs/>
          <w:lang w:val="es-ES"/>
        </w:rPr>
      </w:pPr>
      <w:r w:rsidRPr="7421D9D5">
        <w:rPr>
          <w:rFonts w:ascii="Calibri" w:eastAsia="Calibri" w:hAnsi="Calibri" w:cs="Calibri"/>
          <w:b/>
          <w:bCs/>
          <w:lang w:val="es-ES"/>
        </w:rPr>
        <w:lastRenderedPageBreak/>
        <w:t>Costos y accesibilidad</w:t>
      </w:r>
    </w:p>
    <w:p w14:paraId="5407B48D" w14:textId="78DBB7AA" w:rsidR="2EFC6CAC" w:rsidRDefault="2EFC6CAC" w:rsidP="7421D9D5">
      <w:pPr>
        <w:jc w:val="both"/>
        <w:rPr>
          <w:rFonts w:ascii="Calibri" w:eastAsia="Calibri" w:hAnsi="Calibri" w:cs="Calibri"/>
          <w:lang w:val="es-ES"/>
        </w:rPr>
      </w:pPr>
      <w:r w:rsidRPr="7421D9D5">
        <w:rPr>
          <w:rFonts w:ascii="Calibri" w:eastAsia="Calibri" w:hAnsi="Calibri" w:cs="Calibri"/>
          <w:lang w:val="es-ES"/>
        </w:rPr>
        <w:t>El alto costo asociado con el desarrollo y mantenimiento de tecnologías avanzadas para intervenciones fue citado como una limitaci</w:t>
      </w:r>
      <w:r w:rsidR="6D464904" w:rsidRPr="7421D9D5">
        <w:rPr>
          <w:rFonts w:ascii="Calibri" w:eastAsia="Calibri" w:hAnsi="Calibri" w:cs="Calibri"/>
          <w:lang w:val="es-ES"/>
        </w:rPr>
        <w:t>ón (</w:t>
      </w:r>
      <w:proofErr w:type="spellStart"/>
      <w:r w:rsidR="6D464904" w:rsidRPr="7421D9D5">
        <w:rPr>
          <w:rFonts w:ascii="Calibri" w:eastAsia="Calibri" w:hAnsi="Calibri" w:cs="Calibri"/>
          <w:lang w:val="es-ES"/>
        </w:rPr>
        <w:t>Qidwai</w:t>
      </w:r>
      <w:proofErr w:type="spellEnd"/>
      <w:r w:rsidR="6D464904" w:rsidRPr="7421D9D5">
        <w:rPr>
          <w:rFonts w:ascii="Calibri" w:eastAsia="Calibri" w:hAnsi="Calibri" w:cs="Calibri"/>
          <w:lang w:val="es-ES"/>
        </w:rPr>
        <w:t xml:space="preserve"> et al., 2013; Yin &amp; Tung, 2013; </w:t>
      </w:r>
      <w:proofErr w:type="spellStart"/>
      <w:r w:rsidR="6D464904" w:rsidRPr="7421D9D5">
        <w:rPr>
          <w:rFonts w:ascii="Calibri" w:eastAsia="Calibri" w:hAnsi="Calibri" w:cs="Calibri"/>
          <w:lang w:val="es-ES"/>
        </w:rPr>
        <w:t>Brivio</w:t>
      </w:r>
      <w:proofErr w:type="spellEnd"/>
      <w:r w:rsidR="6D464904" w:rsidRPr="7421D9D5">
        <w:rPr>
          <w:rFonts w:ascii="Calibri" w:eastAsia="Calibri" w:hAnsi="Calibri" w:cs="Calibri"/>
          <w:lang w:val="es-ES"/>
        </w:rPr>
        <w:t xml:space="preserve"> et al., 2021). Estos costos generan una </w:t>
      </w:r>
      <w:r w:rsidR="052E56B5" w:rsidRPr="7421D9D5">
        <w:rPr>
          <w:rFonts w:ascii="Calibri" w:eastAsia="Calibri" w:hAnsi="Calibri" w:cs="Calibri"/>
          <w:lang w:val="es-ES"/>
        </w:rPr>
        <w:t>barrera</w:t>
      </w:r>
      <w:r w:rsidR="6D464904" w:rsidRPr="7421D9D5">
        <w:rPr>
          <w:rFonts w:ascii="Calibri" w:eastAsia="Calibri" w:hAnsi="Calibri" w:cs="Calibri"/>
          <w:lang w:val="es-ES"/>
        </w:rPr>
        <w:t xml:space="preserve"> para la implementación, ya que al ser muy altos disminuyen la accesibilidad y escalabilidad de las</w:t>
      </w:r>
      <w:r w:rsidR="75890FA3" w:rsidRPr="7421D9D5">
        <w:rPr>
          <w:rFonts w:ascii="Calibri" w:eastAsia="Calibri" w:hAnsi="Calibri" w:cs="Calibri"/>
          <w:lang w:val="es-ES"/>
        </w:rPr>
        <w:t xml:space="preserve"> interven</w:t>
      </w:r>
      <w:r w:rsidR="729B3B5F" w:rsidRPr="7421D9D5">
        <w:rPr>
          <w:rFonts w:ascii="Calibri" w:eastAsia="Calibri" w:hAnsi="Calibri" w:cs="Calibri"/>
          <w:lang w:val="es-ES"/>
        </w:rPr>
        <w:t>ciones</w:t>
      </w:r>
      <w:r w:rsidR="75890FA3" w:rsidRPr="7421D9D5">
        <w:rPr>
          <w:rFonts w:ascii="Calibri" w:eastAsia="Calibri" w:hAnsi="Calibri" w:cs="Calibri"/>
          <w:lang w:val="es-ES"/>
        </w:rPr>
        <w:t>, especialmente en entonos con recursos limitados.</w:t>
      </w:r>
    </w:p>
    <w:p w14:paraId="6C7320C5"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23c. Limitaciones del proceso de revisión</w:t>
      </w:r>
    </w:p>
    <w:p w14:paraId="2909485F" w14:textId="5623293E" w:rsidR="378122BD" w:rsidRDefault="378122BD" w:rsidP="2B77190F">
      <w:pPr>
        <w:rPr>
          <w:rFonts w:ascii="Calibri" w:eastAsia="Calibri" w:hAnsi="Calibri" w:cs="Calibri"/>
          <w:b/>
          <w:bCs/>
          <w:lang w:val="es-ES"/>
        </w:rPr>
      </w:pPr>
      <w:r w:rsidRPr="2B77190F">
        <w:rPr>
          <w:rFonts w:ascii="Calibri" w:eastAsia="Calibri" w:hAnsi="Calibri" w:cs="Calibri"/>
          <w:b/>
          <w:bCs/>
          <w:lang w:val="es-ES"/>
        </w:rPr>
        <w:t>Profundidad de los Filtros Aplicados</w:t>
      </w:r>
    </w:p>
    <w:p w14:paraId="240C8947" w14:textId="62CC53A3" w:rsidR="378122BD" w:rsidRDefault="378122BD" w:rsidP="2B77190F">
      <w:pPr>
        <w:jc w:val="both"/>
        <w:rPr>
          <w:rFonts w:ascii="Calibri" w:eastAsia="Calibri" w:hAnsi="Calibri" w:cs="Calibri"/>
          <w:lang w:val="es-ES"/>
        </w:rPr>
      </w:pPr>
      <w:r w:rsidRPr="2B77190F">
        <w:rPr>
          <w:rFonts w:ascii="Calibri" w:eastAsia="Calibri" w:hAnsi="Calibri" w:cs="Calibri"/>
          <w:lang w:val="es-ES"/>
        </w:rPr>
        <w:t xml:space="preserve">La implementación de varios filtros secuenciales (por título, resumen y texto completo) en el proceso de selección de artículos, aunque diseñada para aumentar la precisión, </w:t>
      </w:r>
      <w:r w:rsidR="3FFBBAC4" w:rsidRPr="2B77190F">
        <w:rPr>
          <w:rFonts w:ascii="Calibri" w:eastAsia="Calibri" w:hAnsi="Calibri" w:cs="Calibri"/>
          <w:lang w:val="es-ES"/>
        </w:rPr>
        <w:t>pudo</w:t>
      </w:r>
      <w:r w:rsidRPr="2B77190F">
        <w:rPr>
          <w:rFonts w:ascii="Calibri" w:eastAsia="Calibri" w:hAnsi="Calibri" w:cs="Calibri"/>
          <w:lang w:val="es-ES"/>
        </w:rPr>
        <w:t xml:space="preserve"> haber introducido un sesgo de selección involuntario. Esta estrategia de filtrado, si bien eficiente para manejar grandes volúmenes de literatura, conlleva el riesgo de excluir estudios relevantes que no se ajustaban a los criterios de palabras clave predefinidos o que empleaban terminologías alternativas para describir conceptos similares.</w:t>
      </w:r>
      <w:r w:rsidR="092F9D07" w:rsidRPr="2B77190F">
        <w:rPr>
          <w:rFonts w:ascii="Calibri" w:eastAsia="Calibri" w:hAnsi="Calibri" w:cs="Calibri"/>
          <w:lang w:val="es-ES"/>
        </w:rPr>
        <w:t xml:space="preserve"> </w:t>
      </w:r>
      <w:r w:rsidRPr="2B77190F">
        <w:rPr>
          <w:rFonts w:ascii="Calibri" w:eastAsia="Calibri" w:hAnsi="Calibri" w:cs="Calibri"/>
          <w:lang w:val="es-ES"/>
        </w:rPr>
        <w:t>Futuros estudios podrían beneficiarse de un enfoque más flexible en la etapa inicial de selección, posiblemente incorporando técnicas de análisis</w:t>
      </w:r>
      <w:r w:rsidR="275F54A3" w:rsidRPr="2B77190F">
        <w:rPr>
          <w:rFonts w:ascii="Calibri" w:eastAsia="Calibri" w:hAnsi="Calibri" w:cs="Calibri"/>
          <w:lang w:val="es-ES"/>
        </w:rPr>
        <w:t xml:space="preserve"> </w:t>
      </w:r>
      <w:r w:rsidRPr="2B77190F">
        <w:rPr>
          <w:rFonts w:ascii="Calibri" w:eastAsia="Calibri" w:hAnsi="Calibri" w:cs="Calibri"/>
          <w:lang w:val="es-ES"/>
        </w:rPr>
        <w:t>más sofisticadas para capturar una gama más amplia de estudios.</w:t>
      </w:r>
    </w:p>
    <w:p w14:paraId="38F617BB" w14:textId="31CBCF82" w:rsidR="7DA12E38" w:rsidRDefault="7DA12E38" w:rsidP="2B77190F">
      <w:pPr>
        <w:rPr>
          <w:rFonts w:ascii="Calibri" w:eastAsia="Calibri" w:hAnsi="Calibri" w:cs="Calibri"/>
          <w:b/>
          <w:bCs/>
          <w:lang w:val="es-ES"/>
        </w:rPr>
      </w:pPr>
      <w:r w:rsidRPr="2B77190F">
        <w:rPr>
          <w:rFonts w:ascii="Calibri" w:eastAsia="Calibri" w:hAnsi="Calibri" w:cs="Calibri"/>
          <w:b/>
          <w:bCs/>
          <w:lang w:val="es-ES"/>
        </w:rPr>
        <w:t>Limitaciones de las Herramientas de Filtrado Automatizado</w:t>
      </w:r>
    </w:p>
    <w:p w14:paraId="0BF67276" w14:textId="53C8D6A8" w:rsidR="7DA12E38" w:rsidRPr="00A80167" w:rsidRDefault="7DA12E38" w:rsidP="2B77190F">
      <w:pPr>
        <w:spacing w:before="240" w:after="240"/>
        <w:jc w:val="both"/>
        <w:rPr>
          <w:lang w:val="es-CO"/>
        </w:rPr>
      </w:pPr>
      <w:r w:rsidRPr="2B77190F">
        <w:rPr>
          <w:rFonts w:ascii="Calibri" w:eastAsia="Calibri" w:hAnsi="Calibri" w:cs="Calibri"/>
          <w:lang w:val="es-ES"/>
        </w:rPr>
        <w:t xml:space="preserve">El uso de herramientas de inteligencia artificial (IA), específicamente </w:t>
      </w:r>
      <w:proofErr w:type="spellStart"/>
      <w:r w:rsidRPr="2B77190F">
        <w:rPr>
          <w:rFonts w:ascii="Calibri" w:eastAsia="Calibri" w:hAnsi="Calibri" w:cs="Calibri"/>
          <w:lang w:val="es-ES"/>
        </w:rPr>
        <w:t>ChatGPT</w:t>
      </w:r>
      <w:proofErr w:type="spellEnd"/>
      <w:r w:rsidRPr="2B77190F">
        <w:rPr>
          <w:rFonts w:ascii="Calibri" w:eastAsia="Calibri" w:hAnsi="Calibri" w:cs="Calibri"/>
          <w:lang w:val="es-ES"/>
        </w:rPr>
        <w:t>, para el análisis de resúmenes y textos completos, representa un enfoque innovador en la síntesis de literatura. Sin embargo, la eficacia de estas herramientas está ligada a la formulación de las preguntas de filtrado y a las capacidades actuales de la IA para interpretar contenido científico especializado.</w:t>
      </w:r>
      <w:r w:rsidR="7300BB2E" w:rsidRPr="2B77190F">
        <w:rPr>
          <w:rFonts w:ascii="Calibri" w:eastAsia="Calibri" w:hAnsi="Calibri" w:cs="Calibri"/>
          <w:lang w:val="es-ES"/>
        </w:rPr>
        <w:t xml:space="preserve"> </w:t>
      </w:r>
      <w:r w:rsidRPr="2B77190F">
        <w:rPr>
          <w:rFonts w:ascii="Calibri" w:eastAsia="Calibri" w:hAnsi="Calibri" w:cs="Calibri"/>
          <w:lang w:val="es-ES"/>
        </w:rPr>
        <w:t>Esta dependencia de la tecnología de IA introduce un nivel de incertidumbre en el proceso de selección. Las limitaciones inherentes a los modelos de lenguaje actuales, como posibles sesgos en la interpretación o dificultades para captar matices contextuales específicos del campo, pueden haber llevado a la exclusión</w:t>
      </w:r>
      <w:r w:rsidR="09E77129" w:rsidRPr="2B77190F">
        <w:rPr>
          <w:rFonts w:ascii="Calibri" w:eastAsia="Calibri" w:hAnsi="Calibri" w:cs="Calibri"/>
          <w:lang w:val="es-ES"/>
        </w:rPr>
        <w:t xml:space="preserve"> </w:t>
      </w:r>
      <w:r w:rsidRPr="2B77190F">
        <w:rPr>
          <w:rFonts w:ascii="Calibri" w:eastAsia="Calibri" w:hAnsi="Calibri" w:cs="Calibri"/>
          <w:lang w:val="es-ES"/>
        </w:rPr>
        <w:t xml:space="preserve">de estudios relevantes o a la inclusión de otros menos pertinentes. Además, la complejidad y especificidad del lenguaje utilizado en la investigación sobre discapacidades intelectuales y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puede haber presentado desafíos adicionales para la interpretación automatizada.</w:t>
      </w:r>
      <w:r w:rsidR="6B19FC29" w:rsidRPr="2B77190F">
        <w:rPr>
          <w:rFonts w:ascii="Calibri" w:eastAsia="Calibri" w:hAnsi="Calibri" w:cs="Calibri"/>
          <w:lang w:val="es-ES"/>
        </w:rPr>
        <w:t xml:space="preserve"> </w:t>
      </w:r>
      <w:r w:rsidRPr="2B77190F">
        <w:rPr>
          <w:rFonts w:ascii="Calibri" w:eastAsia="Calibri" w:hAnsi="Calibri" w:cs="Calibri"/>
          <w:lang w:val="es-ES"/>
        </w:rPr>
        <w:t>Para mitigar estas limitaciones, futuros estudios podrían considerar un enfoque híbrido más robusto, combinando el análisis automatizado con una revisión humana más extensa, o el desarrollo de herramientas de IA más especializadas y entrenadas específicamente en el dominio de interés.</w:t>
      </w:r>
    </w:p>
    <w:p w14:paraId="0862A02F" w14:textId="356B6A9D" w:rsidR="67DEDC88" w:rsidRDefault="67DEDC88" w:rsidP="2B77190F">
      <w:pPr>
        <w:spacing w:before="240" w:after="240"/>
        <w:jc w:val="both"/>
        <w:rPr>
          <w:rFonts w:ascii="Calibri" w:eastAsia="Calibri" w:hAnsi="Calibri" w:cs="Calibri"/>
          <w:b/>
          <w:bCs/>
          <w:lang w:val="es-ES"/>
        </w:rPr>
      </w:pPr>
      <w:bookmarkStart w:id="1" w:name="_Int_1Xd4dxRx"/>
      <w:r w:rsidRPr="2B77190F">
        <w:rPr>
          <w:rFonts w:ascii="Calibri" w:eastAsia="Calibri" w:hAnsi="Calibri" w:cs="Calibri"/>
          <w:b/>
          <w:bCs/>
          <w:lang w:val="es-ES"/>
        </w:rPr>
        <w:t>Criterios de Inclusión Referentes a la Edad</w:t>
      </w:r>
      <w:bookmarkEnd w:id="1"/>
    </w:p>
    <w:p w14:paraId="7BAED1EA" w14:textId="7BF3F941" w:rsidR="67DEDC88" w:rsidRDefault="67DEDC88" w:rsidP="2B77190F">
      <w:pPr>
        <w:spacing w:before="240" w:after="240"/>
        <w:jc w:val="both"/>
        <w:rPr>
          <w:rFonts w:ascii="Calibri" w:eastAsia="Calibri" w:hAnsi="Calibri" w:cs="Calibri"/>
          <w:lang w:val="es-ES"/>
        </w:rPr>
      </w:pPr>
      <w:r w:rsidRPr="2B77190F">
        <w:rPr>
          <w:rFonts w:ascii="Calibri" w:eastAsia="Calibri" w:hAnsi="Calibri" w:cs="Calibri"/>
          <w:lang w:val="es-ES"/>
        </w:rPr>
        <w:lastRenderedPageBreak/>
        <w:t>La decisión de excluir estudios que no especificaban el rango de edad de los participantes o que incluían a adultos y adultos mayores fue tomada con el objetivo de enfocar la revisión en poblaciones más jóvenes. Sin embargo, esta restricción puede haber resultado en la omisión de otras perspectivas y resultados potencialmente aplicables a un espectro más amplio de individuos con discapacidades intelectuales.</w:t>
      </w:r>
      <w:r w:rsidR="45F80CEA" w:rsidRPr="2B77190F">
        <w:rPr>
          <w:rFonts w:ascii="Calibri" w:eastAsia="Calibri" w:hAnsi="Calibri" w:cs="Calibri"/>
          <w:lang w:val="es-ES"/>
        </w:rPr>
        <w:t xml:space="preserve"> </w:t>
      </w:r>
      <w:r w:rsidRPr="2B77190F">
        <w:rPr>
          <w:rFonts w:ascii="Calibri" w:eastAsia="Calibri" w:hAnsi="Calibri" w:cs="Calibri"/>
          <w:lang w:val="es-ES"/>
        </w:rPr>
        <w:t xml:space="preserve">Esta limitación es notable dado que muchas habilidades y desafíos asociados con las discapacidades intelectuales no están necesariamente </w:t>
      </w:r>
      <w:r w:rsidR="38BCCFC6" w:rsidRPr="2B77190F">
        <w:rPr>
          <w:rFonts w:ascii="Calibri" w:eastAsia="Calibri" w:hAnsi="Calibri" w:cs="Calibri"/>
          <w:lang w:val="es-ES"/>
        </w:rPr>
        <w:t xml:space="preserve">asociados </w:t>
      </w:r>
      <w:r w:rsidRPr="2B77190F">
        <w:rPr>
          <w:rFonts w:ascii="Calibri" w:eastAsia="Calibri" w:hAnsi="Calibri" w:cs="Calibri"/>
          <w:lang w:val="es-ES"/>
        </w:rPr>
        <w:t xml:space="preserve">a grupos de edad específicos. La exclusión de estudios con participantes adultos puede haber privado a la revisión de </w:t>
      </w:r>
      <w:r w:rsidR="190DB70E" w:rsidRPr="2B77190F">
        <w:rPr>
          <w:rFonts w:ascii="Calibri" w:eastAsia="Calibri" w:hAnsi="Calibri" w:cs="Calibri"/>
          <w:lang w:val="es-ES"/>
        </w:rPr>
        <w:t>conclusiones importantes</w:t>
      </w:r>
      <w:r w:rsidRPr="2B77190F">
        <w:rPr>
          <w:rFonts w:ascii="Calibri" w:eastAsia="Calibri" w:hAnsi="Calibri" w:cs="Calibri"/>
          <w:lang w:val="es-ES"/>
        </w:rPr>
        <w:t xml:space="preserve"> sobre la progresión longitudinal de las intervenciones basadas en robótica e IA, así como de posibles aplicaciones que podrían ser adaptadas para poblaciones más jóvenes.</w:t>
      </w:r>
      <w:r w:rsidR="49C9B97D" w:rsidRPr="2B77190F">
        <w:rPr>
          <w:rFonts w:ascii="Calibri" w:eastAsia="Calibri" w:hAnsi="Calibri" w:cs="Calibri"/>
          <w:lang w:val="es-ES"/>
        </w:rPr>
        <w:t xml:space="preserve"> </w:t>
      </w:r>
      <w:r w:rsidRPr="2B77190F">
        <w:rPr>
          <w:rFonts w:ascii="Calibri" w:eastAsia="Calibri" w:hAnsi="Calibri" w:cs="Calibri"/>
          <w:lang w:val="es-ES"/>
        </w:rPr>
        <w:t>Futuras revisiones podrían beneficiarse de un enfoque más inclusivo en términos de edad, posiblemente estratificando los resultados por grupos para permitir comparaciones y análisis más comprehensivos de la efectividad de las intervenciones tecnológicas a lo largo del ciclo de vida de individuos con discapacidades intelectuales.</w:t>
      </w:r>
    </w:p>
    <w:p w14:paraId="34A9659B"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23d. Implicaciones para la práctica, políticas y futuras investigaciones</w:t>
      </w:r>
    </w:p>
    <w:p w14:paraId="16ED1B24" w14:textId="6770C569" w:rsidR="14481B7A" w:rsidRDefault="14481B7A" w:rsidP="2B77190F">
      <w:pPr>
        <w:rPr>
          <w:rFonts w:ascii="Calibri" w:eastAsia="Calibri" w:hAnsi="Calibri" w:cs="Calibri"/>
          <w:b/>
          <w:bCs/>
          <w:lang w:val="es-ES"/>
        </w:rPr>
      </w:pPr>
      <w:r w:rsidRPr="2B77190F">
        <w:rPr>
          <w:rFonts w:ascii="Calibri" w:eastAsia="Calibri" w:hAnsi="Calibri" w:cs="Calibri"/>
          <w:b/>
          <w:bCs/>
          <w:lang w:val="es-ES"/>
        </w:rPr>
        <w:t>Implicaciones prácticas</w:t>
      </w:r>
    </w:p>
    <w:p w14:paraId="465DC190" w14:textId="15E32201" w:rsidR="14481B7A" w:rsidRDefault="14481B7A" w:rsidP="2B77190F">
      <w:pPr>
        <w:spacing w:before="240" w:after="240"/>
        <w:jc w:val="both"/>
        <w:rPr>
          <w:rFonts w:ascii="Calibri" w:eastAsia="Calibri" w:hAnsi="Calibri" w:cs="Calibri"/>
          <w:lang w:val="es-ES"/>
        </w:rPr>
      </w:pPr>
      <w:r w:rsidRPr="2B77190F">
        <w:rPr>
          <w:rFonts w:ascii="Calibri" w:eastAsia="Calibri" w:hAnsi="Calibri" w:cs="Calibri"/>
          <w:lang w:val="es-ES"/>
        </w:rPr>
        <w:t>Los resultados de esta revisión sistemática sugieren que los robots sociales y otras tecnologías robóticas tienen un gran potencial en intervenciones educativas y terapéuticas para niños y jóvenes con trastornos del neurodesarrollo, especialmente en el espectro autista. Las implicaciones para la práctica incluyen:</w:t>
      </w:r>
    </w:p>
    <w:p w14:paraId="17DC7064" w14:textId="49E8616E"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14481B7A" w:rsidRPr="2B77190F">
        <w:rPr>
          <w:rFonts w:ascii="Calibri" w:eastAsia="Calibri" w:hAnsi="Calibri" w:cs="Calibri"/>
          <w:lang w:val="es-ES"/>
        </w:rPr>
        <w:t>Integración en terapias existentes: Los profesionales de la salud y educadores deberían considerar la incorporación de robots sociales como herramientas complementarias en sus intervenciones actuales, especialmente para mejorar habilidades sociales, comunicativas y emocionales.</w:t>
      </w:r>
    </w:p>
    <w:p w14:paraId="33A5B77B" w14:textId="343036B2" w:rsidR="2C57FE1D" w:rsidRDefault="2C57FE1D" w:rsidP="2B77190F">
      <w:pPr>
        <w:spacing w:after="0"/>
        <w:jc w:val="both"/>
        <w:rPr>
          <w:rFonts w:ascii="Calibri" w:eastAsia="Calibri" w:hAnsi="Calibri" w:cs="Calibri"/>
          <w:lang w:val="es-ES"/>
        </w:rPr>
      </w:pPr>
      <w:r w:rsidRPr="2B77190F">
        <w:rPr>
          <w:rFonts w:ascii="Calibri" w:eastAsia="Calibri" w:hAnsi="Calibri" w:cs="Calibri"/>
          <w:lang w:val="es-ES"/>
        </w:rPr>
        <w:t xml:space="preserve">2. </w:t>
      </w:r>
      <w:r w:rsidR="14481B7A" w:rsidRPr="2B77190F">
        <w:rPr>
          <w:rFonts w:ascii="Calibri" w:eastAsia="Calibri" w:hAnsi="Calibri" w:cs="Calibri"/>
          <w:lang w:val="es-ES"/>
        </w:rPr>
        <w:t>Personalización de intervenciones: Dada la capacidad de los robots para adaptarse a las necesidades individuales, los terapeutas podrían utilizar estas tecnologías para crear intervenciones más personalizadas y efectivas.</w:t>
      </w:r>
    </w:p>
    <w:p w14:paraId="60CAF91A" w14:textId="5E8A48D9" w:rsidR="67730844" w:rsidRDefault="67730844" w:rsidP="2B77190F">
      <w:pPr>
        <w:spacing w:after="0"/>
        <w:jc w:val="both"/>
        <w:rPr>
          <w:rFonts w:ascii="Calibri" w:eastAsia="Calibri" w:hAnsi="Calibri" w:cs="Calibri"/>
          <w:lang w:val="es-ES"/>
        </w:rPr>
      </w:pPr>
      <w:r w:rsidRPr="2B77190F">
        <w:rPr>
          <w:rFonts w:ascii="Calibri" w:eastAsia="Calibri" w:hAnsi="Calibri" w:cs="Calibri"/>
          <w:lang w:val="es-ES"/>
        </w:rPr>
        <w:t xml:space="preserve">3. </w:t>
      </w:r>
      <w:r w:rsidR="14481B7A" w:rsidRPr="2B77190F">
        <w:rPr>
          <w:rFonts w:ascii="Calibri" w:eastAsia="Calibri" w:hAnsi="Calibri" w:cs="Calibri"/>
          <w:lang w:val="es-ES"/>
        </w:rPr>
        <w:t>Formación profesional: Es necesario desarrollar programas de formación para que los profesionales aprendan a utilizar eficazmente estas tecnologías en sus prácticas.</w:t>
      </w:r>
    </w:p>
    <w:p w14:paraId="65CB3B9E" w14:textId="4BF27779" w:rsidR="2FD9FEDA" w:rsidRDefault="2FD9FEDA" w:rsidP="2B77190F">
      <w:pPr>
        <w:spacing w:after="0"/>
        <w:jc w:val="both"/>
        <w:rPr>
          <w:rFonts w:ascii="Calibri" w:eastAsia="Calibri" w:hAnsi="Calibri" w:cs="Calibri"/>
          <w:lang w:val="es-ES"/>
        </w:rPr>
      </w:pPr>
      <w:r w:rsidRPr="2B77190F">
        <w:rPr>
          <w:rFonts w:ascii="Calibri" w:eastAsia="Calibri" w:hAnsi="Calibri" w:cs="Calibri"/>
          <w:lang w:val="es-ES"/>
        </w:rPr>
        <w:t xml:space="preserve">4. </w:t>
      </w:r>
      <w:r w:rsidR="14481B7A" w:rsidRPr="2B77190F">
        <w:rPr>
          <w:rFonts w:ascii="Calibri" w:eastAsia="Calibri" w:hAnsi="Calibri" w:cs="Calibri"/>
          <w:lang w:val="es-ES"/>
        </w:rPr>
        <w:t>Monitoreo a largo plazo: Los profesionales deberían implementar sistemas de seguimiento a largo plazo para evaluar la persistencia de las mejoras y la generalización de las habilidades adquiridas en entornos reales.</w:t>
      </w:r>
    </w:p>
    <w:p w14:paraId="10583420" w14:textId="78FF8ED5" w:rsidR="2B77190F" w:rsidRDefault="2B77190F" w:rsidP="2B77190F">
      <w:pPr>
        <w:spacing w:after="0"/>
        <w:jc w:val="both"/>
        <w:rPr>
          <w:rFonts w:ascii="Calibri" w:eastAsia="Calibri" w:hAnsi="Calibri" w:cs="Calibri"/>
          <w:lang w:val="es-ES"/>
        </w:rPr>
      </w:pPr>
    </w:p>
    <w:p w14:paraId="6AF6BCE7" w14:textId="28A8B2EB" w:rsidR="5037E17E" w:rsidRDefault="5037E17E" w:rsidP="2B77190F">
      <w:pPr>
        <w:spacing w:after="0"/>
        <w:jc w:val="both"/>
        <w:rPr>
          <w:rFonts w:ascii="Calibri" w:eastAsia="Calibri" w:hAnsi="Calibri" w:cs="Calibri"/>
          <w:lang w:val="es-ES"/>
        </w:rPr>
      </w:pPr>
      <w:r w:rsidRPr="2B77190F">
        <w:rPr>
          <w:rFonts w:ascii="Calibri" w:eastAsia="Calibri" w:hAnsi="Calibri" w:cs="Calibri"/>
          <w:b/>
          <w:bCs/>
          <w:lang w:val="es-ES"/>
        </w:rPr>
        <w:t>Implicaciones políticas</w:t>
      </w:r>
    </w:p>
    <w:p w14:paraId="1ABE101A" w14:textId="6F61B613" w:rsidR="5037E17E" w:rsidRDefault="5037E17E" w:rsidP="2B77190F">
      <w:pPr>
        <w:spacing w:before="240" w:after="240"/>
        <w:jc w:val="both"/>
        <w:rPr>
          <w:rFonts w:ascii="Calibri" w:eastAsia="Calibri" w:hAnsi="Calibri" w:cs="Calibri"/>
          <w:lang w:val="es-ES"/>
        </w:rPr>
      </w:pPr>
      <w:r w:rsidRPr="2B77190F">
        <w:rPr>
          <w:rFonts w:ascii="Calibri" w:eastAsia="Calibri" w:hAnsi="Calibri" w:cs="Calibri"/>
          <w:lang w:val="es-ES"/>
        </w:rPr>
        <w:t>La implementación efectiva de estas tecnologías requiere cambios en las políticas actuales:</w:t>
      </w:r>
    </w:p>
    <w:p w14:paraId="78B6B377" w14:textId="5F4EFE95"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lastRenderedPageBreak/>
        <w:t xml:space="preserve">1. </w:t>
      </w:r>
      <w:r w:rsidR="5037E17E" w:rsidRPr="2B77190F">
        <w:rPr>
          <w:rFonts w:ascii="Calibri" w:eastAsia="Calibri" w:hAnsi="Calibri" w:cs="Calibri"/>
          <w:lang w:val="es-ES"/>
        </w:rPr>
        <w:t>Financiamiento y accesibilidad: Dado el alto costo de los robots sociales, las políticas educativas y de salud deberían incluir subsidios o financiamiento para hacer que estas tecnologías sean accesibles en escuelas y centros terapéuticos.</w:t>
      </w:r>
    </w:p>
    <w:p w14:paraId="47426998" w14:textId="1E255A2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2. Normativas y estándares: Es crucial crear normativas para garantizar que la tecnología utilizada cumpla con los estándares éticos y de seguridad. Esto podría incluir la certificación de dispositivos y software para uso terapéutico.</w:t>
      </w:r>
    </w:p>
    <w:p w14:paraId="7EFF9B22" w14:textId="7A9B256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 xml:space="preserve">3. Políticas de inclusión tecnológica: Desarrollar políticas que promuevan la inclusión de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en los planes de estudio y en los servicios de salud para </w:t>
      </w:r>
      <w:r w:rsidR="4ED34D0E" w:rsidRPr="2B77190F">
        <w:rPr>
          <w:rFonts w:ascii="Calibri" w:eastAsia="Calibri" w:hAnsi="Calibri" w:cs="Calibri"/>
          <w:lang w:val="es-ES"/>
        </w:rPr>
        <w:t>persona</w:t>
      </w:r>
      <w:r w:rsidRPr="2B77190F">
        <w:rPr>
          <w:rFonts w:ascii="Calibri" w:eastAsia="Calibri" w:hAnsi="Calibri" w:cs="Calibri"/>
          <w:lang w:val="es-ES"/>
        </w:rPr>
        <w:t>s con trastornos del neurodesarrollo.</w:t>
      </w:r>
    </w:p>
    <w:p w14:paraId="73E7C0A1" w14:textId="04C425AD"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4. Protección de datos: Establecer políticas claras sobre la recopilación, almacenamiento y uso de datos generados durante las intervenciones con robots sociales, garantizando la privacidad y seguridad de los usuarios.</w:t>
      </w:r>
    </w:p>
    <w:p w14:paraId="2391EAB5" w14:textId="28566328" w:rsidR="2B77190F" w:rsidRDefault="2B77190F" w:rsidP="2B77190F">
      <w:pPr>
        <w:spacing w:after="0"/>
        <w:jc w:val="both"/>
        <w:rPr>
          <w:rFonts w:ascii="Calibri" w:eastAsia="Calibri" w:hAnsi="Calibri" w:cs="Calibri"/>
          <w:lang w:val="es-ES"/>
        </w:rPr>
      </w:pPr>
    </w:p>
    <w:p w14:paraId="7325CB70" w14:textId="6F0AED35" w:rsidR="33D41EE0" w:rsidRDefault="33D41EE0" w:rsidP="2B77190F">
      <w:pPr>
        <w:jc w:val="both"/>
        <w:rPr>
          <w:rFonts w:ascii="Calibri" w:eastAsia="Calibri" w:hAnsi="Calibri" w:cs="Calibri"/>
          <w:b/>
          <w:bCs/>
          <w:lang w:val="es-ES"/>
        </w:rPr>
      </w:pPr>
      <w:r w:rsidRPr="2B77190F">
        <w:rPr>
          <w:rFonts w:ascii="Calibri" w:eastAsia="Calibri" w:hAnsi="Calibri" w:cs="Calibri"/>
          <w:b/>
          <w:bCs/>
          <w:lang w:val="es-ES"/>
        </w:rPr>
        <w:t>Implicaciones para futuras investigaciones</w:t>
      </w:r>
    </w:p>
    <w:p w14:paraId="1C847155" w14:textId="320BAABC" w:rsidR="33D41EE0" w:rsidRPr="00A80167" w:rsidRDefault="33D41EE0" w:rsidP="2B77190F">
      <w:pPr>
        <w:spacing w:before="240" w:after="240"/>
        <w:jc w:val="both"/>
        <w:rPr>
          <w:lang w:val="es-CO"/>
        </w:rPr>
      </w:pPr>
      <w:r w:rsidRPr="2B77190F">
        <w:rPr>
          <w:rFonts w:ascii="Calibri" w:eastAsia="Calibri" w:hAnsi="Calibri" w:cs="Calibri"/>
          <w:lang w:val="es-ES"/>
        </w:rPr>
        <w:t>Los hallazgos de esta revisión señalan varias direcciones para futuras investigaciones:</w:t>
      </w:r>
    </w:p>
    <w:p w14:paraId="5DF62B52" w14:textId="6CD37AC9"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33D41EE0" w:rsidRPr="2B77190F">
        <w:rPr>
          <w:rFonts w:ascii="Calibri" w:eastAsia="Calibri" w:hAnsi="Calibri" w:cs="Calibri"/>
          <w:lang w:val="es-ES"/>
        </w:rPr>
        <w:t>Estudios longitudinales: Se necesitan más estudios a largo plazo para evaluar la persistencia de las mejoras y la generalización de las habilidades adquiridas en entornos naturales.</w:t>
      </w:r>
    </w:p>
    <w:p w14:paraId="0CAF136C" w14:textId="77DCC6B8"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2. Muestras más grandes y diversas: Futuros estudios deberían incluir muestras más grandes y diversas para aumentar la generalización de los resultados.</w:t>
      </w:r>
    </w:p>
    <w:p w14:paraId="253793B1" w14:textId="0BBA6ABF"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3. Mejora de las metodologías de evaluación: Desarrollar y validar métodos de evaluación más precisos y estandarizados para medir las mejoras en habilidades sociales, emocionales y cognitivas.</w:t>
      </w:r>
    </w:p>
    <w:p w14:paraId="2AFAA46C" w14:textId="197A74D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4. Optimización tecnológica: Investigar cómo mejorar la robustez y fiabilidad de los sistemas robóticos para reducir los problemas técnicos durante las intervenciones.</w:t>
      </w:r>
    </w:p>
    <w:p w14:paraId="381E5D8A" w14:textId="586501D4"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5. Estudios comparativos: Realizar más investigaciones que comparen directamente las intervenciones asistidas por robots con las terapias tradicionales y otras formas de intervención tecnológica.</w:t>
      </w:r>
    </w:p>
    <w:p w14:paraId="1A464E72" w14:textId="53649B5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6. Investigación interdisciplinaria: Fomentar la colaboración entre expertos en robótica, psicología, educación y neurociencias para desarrollar intervenciones más efectivas y fundamentadas.</w:t>
      </w:r>
    </w:p>
    <w:p w14:paraId="3669A0CF" w14:textId="13484B43"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7. Ética y aceptación social: Investigar las implicaciones éticas del uso de robots en terapia y educación, así como la aceptación social de estas tecnologías por parte de familias, educadores y profesionales de la salud.</w:t>
      </w:r>
    </w:p>
    <w:p w14:paraId="329D42DC" w14:textId="56A63B0A"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8. Análisis de costo-efectividad: Realizar estudios que evalúen la relación costo-beneficio de las intervenciones asistidas por robots en comparación con las terapias tradicionales.</w:t>
      </w:r>
    </w:p>
    <w:p w14:paraId="53634A55" w14:textId="33D75C9B" w:rsidR="33D41EE0" w:rsidRDefault="33D41EE0" w:rsidP="2B77190F">
      <w:pPr>
        <w:spacing w:before="240" w:after="240"/>
        <w:jc w:val="both"/>
        <w:rPr>
          <w:rFonts w:ascii="Calibri" w:eastAsia="Calibri" w:hAnsi="Calibri" w:cs="Calibri"/>
          <w:lang w:val="es-ES"/>
        </w:rPr>
      </w:pPr>
      <w:r w:rsidRPr="2B77190F">
        <w:rPr>
          <w:rFonts w:ascii="Calibri" w:eastAsia="Calibri" w:hAnsi="Calibri" w:cs="Calibri"/>
          <w:lang w:val="es-ES"/>
        </w:rPr>
        <w:lastRenderedPageBreak/>
        <w:t xml:space="preserve">Estas implicaciones subrayan la necesidad de un enfoque multidisciplinario y colaborativo para maximizar el potencial de los robots sociales en el apoyo a </w:t>
      </w:r>
      <w:r w:rsidR="457F827A" w:rsidRPr="2B77190F">
        <w:rPr>
          <w:rFonts w:ascii="Calibri" w:eastAsia="Calibri" w:hAnsi="Calibri" w:cs="Calibri"/>
          <w:lang w:val="es-ES"/>
        </w:rPr>
        <w:t>persona</w:t>
      </w:r>
      <w:r w:rsidRPr="2B77190F">
        <w:rPr>
          <w:rFonts w:ascii="Calibri" w:eastAsia="Calibri" w:hAnsi="Calibri" w:cs="Calibri"/>
          <w:lang w:val="es-ES"/>
        </w:rPr>
        <w:t>s con trastornos del neurodesarrollo, al tiempo que se abordan los desafíos éticos, prácticos y económicos asociados con su implementación.</w:t>
      </w:r>
    </w:p>
    <w:p w14:paraId="2C078E63" w14:textId="06212858" w:rsidR="00080B45" w:rsidRDefault="50D59183" w:rsidP="1F2AE0F4">
      <w:pPr>
        <w:pStyle w:val="Heading2"/>
        <w:rPr>
          <w:rFonts w:ascii="Calibri" w:eastAsia="Calibri" w:hAnsi="Calibri" w:cs="Calibri"/>
          <w:sz w:val="24"/>
          <w:szCs w:val="24"/>
        </w:rPr>
      </w:pPr>
      <w:r w:rsidRPr="1F2AE0F4">
        <w:t>REFERENCIAS</w:t>
      </w:r>
    </w:p>
    <w:p w14:paraId="364FFEDA" w14:textId="6081D3CF" w:rsidR="50D59183" w:rsidRDefault="50D59183" w:rsidP="1F2AE0F4">
      <w:pPr>
        <w:spacing w:after="0"/>
        <w:jc w:val="both"/>
      </w:pPr>
      <w:r w:rsidRPr="00EC369E">
        <w:rPr>
          <w:rFonts w:ascii="Calibri" w:eastAsia="Calibri" w:hAnsi="Calibri" w:cs="Calibri"/>
        </w:rPr>
        <w:t xml:space="preserve">Guterres, A. (2018). </w:t>
      </w:r>
      <w:r w:rsidRPr="00EC369E">
        <w:rPr>
          <w:rFonts w:ascii="Calibri" w:eastAsia="Calibri" w:hAnsi="Calibri" w:cs="Calibri"/>
          <w:i/>
          <w:iCs/>
        </w:rPr>
        <w:t>Disability and Development Report</w:t>
      </w:r>
      <w:r w:rsidRPr="00EC369E">
        <w:rPr>
          <w:rFonts w:ascii="Calibri" w:eastAsia="Calibri" w:hAnsi="Calibri" w:cs="Calibri"/>
        </w:rPr>
        <w:t xml:space="preserve">. </w:t>
      </w:r>
      <w:r w:rsidRPr="00A80167">
        <w:rPr>
          <w:rFonts w:ascii="Calibri" w:eastAsia="Calibri" w:hAnsi="Calibri" w:cs="Calibri"/>
        </w:rPr>
        <w:t>United Nations Publication Sales.</w:t>
      </w:r>
    </w:p>
    <w:p w14:paraId="07418003" w14:textId="5C087D58" w:rsidR="1F2AE0F4" w:rsidRPr="00A80167" w:rsidRDefault="1F2AE0F4" w:rsidP="1F2AE0F4">
      <w:pPr>
        <w:spacing w:after="0"/>
        <w:jc w:val="both"/>
        <w:rPr>
          <w:rFonts w:ascii="Calibri" w:eastAsia="Calibri" w:hAnsi="Calibri" w:cs="Calibri"/>
        </w:rPr>
      </w:pPr>
    </w:p>
    <w:p w14:paraId="5F27B4DF" w14:textId="7C85D2D4" w:rsidR="50D59183" w:rsidRPr="00EC369E" w:rsidRDefault="50D59183" w:rsidP="1F2AE0F4">
      <w:pPr>
        <w:spacing w:after="0"/>
        <w:jc w:val="both"/>
        <w:rPr>
          <w:lang w:val="es-ES"/>
        </w:rPr>
      </w:pPr>
      <w:r w:rsidRPr="00A80167">
        <w:rPr>
          <w:rFonts w:ascii="Calibri" w:eastAsia="Calibri" w:hAnsi="Calibri" w:cs="Calibri"/>
        </w:rPr>
        <w:t xml:space="preserve">González Martín, N. (2008). </w:t>
      </w:r>
      <w:r w:rsidRPr="1F2AE0F4">
        <w:rPr>
          <w:rFonts w:ascii="Calibri" w:eastAsia="Calibri" w:hAnsi="Calibri" w:cs="Calibri"/>
          <w:lang w:val="es-ES"/>
        </w:rPr>
        <w:t xml:space="preserve">Convención de Naciones Unidas sobre los Derechos de las Personas con Discapacidad. </w:t>
      </w:r>
      <w:r w:rsidRPr="1F2AE0F4">
        <w:rPr>
          <w:rFonts w:ascii="Calibri" w:eastAsia="Calibri" w:hAnsi="Calibri" w:cs="Calibri"/>
          <w:i/>
          <w:iCs/>
          <w:lang w:val="es-ES"/>
        </w:rPr>
        <w:t>Anuario Mexicano de Derecho Internacional</w:t>
      </w:r>
      <w:r w:rsidRPr="1F2AE0F4">
        <w:rPr>
          <w:rFonts w:ascii="Calibri" w:eastAsia="Calibri" w:hAnsi="Calibri" w:cs="Calibri"/>
          <w:lang w:val="es-ES"/>
        </w:rPr>
        <w:t xml:space="preserve">, </w:t>
      </w:r>
      <w:r w:rsidRPr="1F2AE0F4">
        <w:rPr>
          <w:rFonts w:ascii="Calibri" w:eastAsia="Calibri" w:hAnsi="Calibri" w:cs="Calibri"/>
          <w:i/>
          <w:iCs/>
          <w:lang w:val="es-ES"/>
        </w:rPr>
        <w:t>1</w:t>
      </w:r>
      <w:r w:rsidRPr="1F2AE0F4">
        <w:rPr>
          <w:rFonts w:ascii="Calibri" w:eastAsia="Calibri" w:hAnsi="Calibri" w:cs="Calibri"/>
          <w:lang w:val="es-ES"/>
        </w:rPr>
        <w:t xml:space="preserve">(8). </w:t>
      </w:r>
      <w:hyperlink r:id="rId14">
        <w:r w:rsidRPr="1F2AE0F4">
          <w:rPr>
            <w:rStyle w:val="Hyperlink"/>
            <w:rFonts w:ascii="Calibri" w:eastAsia="Calibri" w:hAnsi="Calibri" w:cs="Calibri"/>
            <w:lang w:val="es-ES"/>
          </w:rPr>
          <w:t>https://doi.org/10.22201/iij.24487872e.2008.8.252</w:t>
        </w:r>
      </w:hyperlink>
    </w:p>
    <w:p w14:paraId="5EA9425A" w14:textId="20206519" w:rsidR="1F2AE0F4" w:rsidRDefault="1F2AE0F4" w:rsidP="1F2AE0F4">
      <w:pPr>
        <w:spacing w:after="0"/>
        <w:jc w:val="both"/>
        <w:rPr>
          <w:rFonts w:ascii="Calibri" w:eastAsia="Calibri" w:hAnsi="Calibri" w:cs="Calibri"/>
          <w:lang w:val="es-ES"/>
        </w:rPr>
      </w:pPr>
    </w:p>
    <w:p w14:paraId="1585797A" w14:textId="629535FF" w:rsidR="50D59183" w:rsidRPr="00EC369E" w:rsidRDefault="50D59183" w:rsidP="1F2AE0F4">
      <w:pPr>
        <w:spacing w:after="0"/>
        <w:jc w:val="both"/>
        <w:rPr>
          <w:lang w:val="es-ES"/>
        </w:rPr>
      </w:pPr>
      <w:proofErr w:type="spellStart"/>
      <w:r w:rsidRPr="1F2AE0F4">
        <w:rPr>
          <w:rFonts w:ascii="Calibri" w:eastAsia="Calibri" w:hAnsi="Calibri" w:cs="Calibri"/>
          <w:lang w:val="es-ES"/>
        </w:rPr>
        <w:t>Stang</w:t>
      </w:r>
      <w:proofErr w:type="spellEnd"/>
      <w:r w:rsidRPr="1F2AE0F4">
        <w:rPr>
          <w:rFonts w:ascii="Calibri" w:eastAsia="Calibri" w:hAnsi="Calibri" w:cs="Calibri"/>
          <w:lang w:val="es-ES"/>
        </w:rPr>
        <w:t xml:space="preserve"> Alva, M. F. (2011). </w:t>
      </w:r>
      <w:r w:rsidRPr="1F2AE0F4">
        <w:rPr>
          <w:rFonts w:ascii="Calibri" w:eastAsia="Calibri" w:hAnsi="Calibri" w:cs="Calibri"/>
          <w:i/>
          <w:iCs/>
          <w:lang w:val="es-ES"/>
        </w:rPr>
        <w:t>Las personas con discapacidad en América Latina: Del reconocimiento jurídico a la desigualdad real</w:t>
      </w:r>
      <w:r w:rsidRPr="1F2AE0F4">
        <w:rPr>
          <w:rFonts w:ascii="Calibri" w:eastAsia="Calibri" w:hAnsi="Calibri" w:cs="Calibri"/>
          <w:lang w:val="es-ES"/>
        </w:rPr>
        <w:t xml:space="preserve">. Naciones Unidas, CEPAL, CELADE, </w:t>
      </w:r>
      <w:proofErr w:type="spellStart"/>
      <w:r w:rsidRPr="1F2AE0F4">
        <w:rPr>
          <w:rFonts w:ascii="Calibri" w:eastAsia="Calibri" w:hAnsi="Calibri" w:cs="Calibri"/>
          <w:lang w:val="es-ES"/>
        </w:rPr>
        <w:t>Div</w:t>
      </w:r>
      <w:proofErr w:type="spellEnd"/>
      <w:r w:rsidRPr="1F2AE0F4">
        <w:rPr>
          <w:rFonts w:ascii="Calibri" w:eastAsia="Calibri" w:hAnsi="Calibri" w:cs="Calibri"/>
          <w:lang w:val="es-ES"/>
        </w:rPr>
        <w:t>. de Población de la CEPAL.</w:t>
      </w:r>
    </w:p>
    <w:p w14:paraId="79D67EBC" w14:textId="12858BDE" w:rsidR="1F2AE0F4" w:rsidRDefault="1F2AE0F4" w:rsidP="1F2AE0F4">
      <w:pPr>
        <w:spacing w:after="0"/>
        <w:jc w:val="both"/>
        <w:rPr>
          <w:rFonts w:ascii="Calibri" w:eastAsia="Calibri" w:hAnsi="Calibri" w:cs="Calibri"/>
          <w:lang w:val="es-ES"/>
        </w:rPr>
      </w:pPr>
    </w:p>
    <w:p w14:paraId="2E53000D" w14:textId="4D6F9507" w:rsidR="50D59183" w:rsidRPr="00A80167" w:rsidRDefault="50D59183" w:rsidP="1F2AE0F4">
      <w:pPr>
        <w:spacing w:after="0"/>
        <w:jc w:val="both"/>
        <w:rPr>
          <w:rFonts w:ascii="Calibri" w:eastAsia="Calibri" w:hAnsi="Calibri" w:cs="Calibri"/>
        </w:rPr>
      </w:pPr>
      <w:r w:rsidRPr="1F2AE0F4">
        <w:rPr>
          <w:rFonts w:ascii="Calibri" w:eastAsia="Calibri" w:hAnsi="Calibri" w:cs="Calibri"/>
          <w:lang w:val="es-ES"/>
        </w:rPr>
        <w:t xml:space="preserve">Toboso Martín, M., &amp; Arnau Ripollés, M. S.  (2008). La discapacidad dentro del enfoque de capacidades y funcionamientos de Amartya Sen. Araucaria. </w:t>
      </w:r>
      <w:proofErr w:type="spellStart"/>
      <w:r w:rsidRPr="00A80167">
        <w:rPr>
          <w:rFonts w:ascii="Calibri" w:eastAsia="Calibri" w:hAnsi="Calibri" w:cs="Calibri"/>
        </w:rPr>
        <w:t>Revista</w:t>
      </w:r>
      <w:proofErr w:type="spellEnd"/>
      <w:r w:rsidRPr="00A80167">
        <w:rPr>
          <w:rFonts w:ascii="Calibri" w:eastAsia="Calibri" w:hAnsi="Calibri" w:cs="Calibri"/>
        </w:rPr>
        <w:t xml:space="preserve"> </w:t>
      </w:r>
      <w:proofErr w:type="spellStart"/>
      <w:r w:rsidRPr="00A80167">
        <w:rPr>
          <w:rFonts w:ascii="Calibri" w:eastAsia="Calibri" w:hAnsi="Calibri" w:cs="Calibri"/>
        </w:rPr>
        <w:t>Iberoamericana</w:t>
      </w:r>
      <w:proofErr w:type="spellEnd"/>
      <w:r w:rsidRPr="00A80167">
        <w:rPr>
          <w:rFonts w:ascii="Calibri" w:eastAsia="Calibri" w:hAnsi="Calibri" w:cs="Calibri"/>
        </w:rPr>
        <w:t xml:space="preserve"> de </w:t>
      </w:r>
      <w:proofErr w:type="spellStart"/>
      <w:r w:rsidRPr="00A80167">
        <w:rPr>
          <w:rFonts w:ascii="Calibri" w:eastAsia="Calibri" w:hAnsi="Calibri" w:cs="Calibri"/>
        </w:rPr>
        <w:t>Filosofía</w:t>
      </w:r>
      <w:proofErr w:type="spellEnd"/>
      <w:r w:rsidRPr="00A80167">
        <w:rPr>
          <w:rFonts w:ascii="Calibri" w:eastAsia="Calibri" w:hAnsi="Calibri" w:cs="Calibri"/>
        </w:rPr>
        <w:t xml:space="preserve">, Política y </w:t>
      </w:r>
      <w:proofErr w:type="spellStart"/>
      <w:r w:rsidRPr="00A80167">
        <w:rPr>
          <w:rFonts w:ascii="Calibri" w:eastAsia="Calibri" w:hAnsi="Calibri" w:cs="Calibri"/>
        </w:rPr>
        <w:t>Humanidades</w:t>
      </w:r>
      <w:proofErr w:type="spellEnd"/>
      <w:r w:rsidRPr="00A80167">
        <w:rPr>
          <w:rFonts w:ascii="Calibri" w:eastAsia="Calibri" w:hAnsi="Calibri" w:cs="Calibri"/>
        </w:rPr>
        <w:t>, 10(20), 64-94.</w:t>
      </w:r>
    </w:p>
    <w:p w14:paraId="2FCAF4E1" w14:textId="5C9323D0" w:rsidR="1F2AE0F4" w:rsidRPr="00A80167" w:rsidRDefault="1F2AE0F4" w:rsidP="1F2AE0F4">
      <w:pPr>
        <w:spacing w:after="0"/>
        <w:jc w:val="both"/>
        <w:rPr>
          <w:rFonts w:ascii="Calibri" w:eastAsia="Calibri" w:hAnsi="Calibri" w:cs="Calibri"/>
        </w:rPr>
      </w:pPr>
    </w:p>
    <w:p w14:paraId="10CC3E83" w14:textId="5A9A0DEE" w:rsidR="50D59183" w:rsidRDefault="50D59183" w:rsidP="1F2AE0F4">
      <w:pPr>
        <w:spacing w:after="0"/>
        <w:jc w:val="both"/>
      </w:pPr>
      <w:r w:rsidRPr="1F2AE0F4">
        <w:rPr>
          <w:rFonts w:ascii="Calibri" w:eastAsia="Calibri" w:hAnsi="Calibri" w:cs="Calibri"/>
          <w:i/>
          <w:iCs/>
        </w:rPr>
        <w:t>‘We Need the Leadership of Persons with Disabilities’, Secretary-General Tells States Parties to Convention, Calling for Inclusion on All Fronts | Meetings Coverage and Press Releases</w:t>
      </w:r>
      <w:r w:rsidRPr="1F2AE0F4">
        <w:rPr>
          <w:rFonts w:ascii="Calibri" w:eastAsia="Calibri" w:hAnsi="Calibri" w:cs="Calibri"/>
        </w:rPr>
        <w:t xml:space="preserve">. (n.d.). Retrieved July 12, 2024, from </w:t>
      </w:r>
      <w:hyperlink r:id="rId15">
        <w:r w:rsidRPr="1F2AE0F4">
          <w:rPr>
            <w:rStyle w:val="Hyperlink"/>
            <w:rFonts w:ascii="Calibri" w:eastAsia="Calibri" w:hAnsi="Calibri" w:cs="Calibri"/>
          </w:rPr>
          <w:t>https://press.un.org/en/2022/sgsm21321.doc.htm</w:t>
        </w:r>
      </w:hyperlink>
    </w:p>
    <w:p w14:paraId="3FAE6D13" w14:textId="67F342C2" w:rsidR="1F2AE0F4" w:rsidRPr="00EC369E" w:rsidRDefault="1F2AE0F4" w:rsidP="1F2AE0F4">
      <w:pPr>
        <w:spacing w:after="0"/>
        <w:jc w:val="both"/>
        <w:rPr>
          <w:rFonts w:ascii="Calibri" w:eastAsia="Calibri" w:hAnsi="Calibri" w:cs="Calibri"/>
        </w:rPr>
      </w:pPr>
    </w:p>
    <w:p w14:paraId="50A367D3" w14:textId="77112EF8" w:rsidR="50D59183" w:rsidRDefault="50D59183" w:rsidP="1F2AE0F4">
      <w:pPr>
        <w:spacing w:after="0"/>
        <w:jc w:val="both"/>
      </w:pPr>
      <w:r w:rsidRPr="00EC369E">
        <w:rPr>
          <w:rFonts w:ascii="Calibri" w:eastAsia="Calibri" w:hAnsi="Calibri" w:cs="Calibri"/>
          <w:i/>
          <w:iCs/>
        </w:rPr>
        <w:t>4 things you should know about rethinking disability inclusion | UN DESA Voice</w:t>
      </w:r>
      <w:r w:rsidRPr="00EC369E">
        <w:rPr>
          <w:rFonts w:ascii="Calibri" w:eastAsia="Calibri" w:hAnsi="Calibri" w:cs="Calibri"/>
        </w:rPr>
        <w:t xml:space="preserve">. (n.d.). Retrieved July 12, 2024, from </w:t>
      </w:r>
      <w:hyperlink r:id="rId16">
        <w:r w:rsidRPr="00EC369E">
          <w:rPr>
            <w:rStyle w:val="Hyperlink"/>
            <w:rFonts w:ascii="Calibri" w:eastAsia="Calibri" w:hAnsi="Calibri" w:cs="Calibri"/>
          </w:rPr>
          <w:t>https://desapublications.un.org/un-desa-voice/things-you-need-to-know/june-2024/4-things-you-should-know-about-rethinking</w:t>
        </w:r>
      </w:hyperlink>
    </w:p>
    <w:p w14:paraId="3DDF4D29" w14:textId="5164B49E" w:rsidR="1F2AE0F4" w:rsidRPr="00EC369E" w:rsidRDefault="1F2AE0F4" w:rsidP="1F2AE0F4">
      <w:pPr>
        <w:spacing w:after="0"/>
        <w:jc w:val="both"/>
        <w:rPr>
          <w:rFonts w:ascii="Calibri" w:eastAsia="Calibri" w:hAnsi="Calibri" w:cs="Calibri"/>
        </w:rPr>
      </w:pPr>
    </w:p>
    <w:p w14:paraId="04A87421" w14:textId="2C405845" w:rsidR="50D59183" w:rsidRDefault="50D59183" w:rsidP="1F2AE0F4">
      <w:pPr>
        <w:spacing w:after="0"/>
        <w:jc w:val="both"/>
      </w:pPr>
      <w:r w:rsidRPr="00EC369E">
        <w:rPr>
          <w:rFonts w:ascii="Calibri" w:eastAsia="Calibri" w:hAnsi="Calibri" w:cs="Calibri"/>
          <w:i/>
          <w:iCs/>
        </w:rPr>
        <w:t>How to achieve digital accessibility and disability inclusion in a year: UN in Indonesia’s journey | United Nations DCO</w:t>
      </w:r>
      <w:r w:rsidRPr="00EC369E">
        <w:rPr>
          <w:rFonts w:ascii="Calibri" w:eastAsia="Calibri" w:hAnsi="Calibri" w:cs="Calibri"/>
        </w:rPr>
        <w:t xml:space="preserve">. (n.d.). Retrieved July 12, 2024, from </w:t>
      </w:r>
      <w:hyperlink r:id="rId17">
        <w:r w:rsidRPr="00EC369E">
          <w:rPr>
            <w:rStyle w:val="Hyperlink"/>
            <w:rFonts w:ascii="Calibri" w:eastAsia="Calibri" w:hAnsi="Calibri" w:cs="Calibri"/>
          </w:rPr>
          <w:t>https://un-dco.org/stories/how-achieve-digital-accessibility-and-disability-inclusion-year-un-indonesias-journey, https://un-dco.org/stories/how-achieve-digital-accessibility-and-disability-inclusion-year-un-indonesias-journey</w:t>
        </w:r>
      </w:hyperlink>
    </w:p>
    <w:p w14:paraId="628762F7" w14:textId="77E144D6" w:rsidR="1F2AE0F4" w:rsidRPr="00EC369E" w:rsidRDefault="1F2AE0F4" w:rsidP="1F2AE0F4">
      <w:pPr>
        <w:spacing w:after="0"/>
        <w:jc w:val="both"/>
        <w:rPr>
          <w:rFonts w:ascii="Calibri" w:eastAsia="Calibri" w:hAnsi="Calibri" w:cs="Calibri"/>
        </w:rPr>
      </w:pPr>
    </w:p>
    <w:p w14:paraId="6782D351" w14:textId="3F9A892D" w:rsidR="269DBFA6" w:rsidRDefault="269DBFA6" w:rsidP="1F2AE0F4">
      <w:pPr>
        <w:spacing w:after="0"/>
        <w:jc w:val="both"/>
      </w:pPr>
      <w:r w:rsidRPr="1F2AE0F4">
        <w:rPr>
          <w:rFonts w:ascii="Calibri" w:eastAsia="Calibri" w:hAnsi="Calibri" w:cs="Calibri"/>
        </w:rPr>
        <w:t xml:space="preserve">Boot, F. H., Dinsmore, J., </w:t>
      </w:r>
      <w:proofErr w:type="spellStart"/>
      <w:r w:rsidRPr="1F2AE0F4">
        <w:rPr>
          <w:rFonts w:ascii="Calibri" w:eastAsia="Calibri" w:hAnsi="Calibri" w:cs="Calibri"/>
        </w:rPr>
        <w:t>Khasnabis</w:t>
      </w:r>
      <w:proofErr w:type="spellEnd"/>
      <w:r w:rsidRPr="1F2AE0F4">
        <w:rPr>
          <w:rFonts w:ascii="Calibri" w:eastAsia="Calibri" w:hAnsi="Calibri" w:cs="Calibri"/>
        </w:rPr>
        <w:t xml:space="preserve">, C., &amp; MacLachlan, M. (2017). Intellectual Disability and Assistive Technology: Opening the GATE Wider. </w:t>
      </w:r>
      <w:r w:rsidRPr="1F2AE0F4">
        <w:rPr>
          <w:rFonts w:ascii="Calibri" w:eastAsia="Calibri" w:hAnsi="Calibri" w:cs="Calibri"/>
          <w:i/>
          <w:iCs/>
        </w:rPr>
        <w:t>Frontiers in Public Health</w:t>
      </w:r>
      <w:r w:rsidRPr="1F2AE0F4">
        <w:rPr>
          <w:rFonts w:ascii="Calibri" w:eastAsia="Calibri" w:hAnsi="Calibri" w:cs="Calibri"/>
        </w:rPr>
        <w:t xml:space="preserve">, </w:t>
      </w:r>
      <w:r w:rsidRPr="1F2AE0F4">
        <w:rPr>
          <w:rFonts w:ascii="Calibri" w:eastAsia="Calibri" w:hAnsi="Calibri" w:cs="Calibri"/>
          <w:i/>
          <w:iCs/>
        </w:rPr>
        <w:t>5</w:t>
      </w:r>
      <w:r w:rsidRPr="1F2AE0F4">
        <w:rPr>
          <w:rFonts w:ascii="Calibri" w:eastAsia="Calibri" w:hAnsi="Calibri" w:cs="Calibri"/>
        </w:rPr>
        <w:t xml:space="preserve">. </w:t>
      </w:r>
      <w:hyperlink r:id="rId18">
        <w:r w:rsidRPr="1F2AE0F4">
          <w:rPr>
            <w:rStyle w:val="Hyperlink"/>
            <w:rFonts w:ascii="Calibri" w:eastAsia="Calibri" w:hAnsi="Calibri" w:cs="Calibri"/>
          </w:rPr>
          <w:t>https://doi.org/10.3389/fpubh.2017.00010</w:t>
        </w:r>
      </w:hyperlink>
    </w:p>
    <w:p w14:paraId="693AC9EA" w14:textId="5D11DDB9" w:rsidR="1F2AE0F4" w:rsidRDefault="1F2AE0F4" w:rsidP="1F2AE0F4">
      <w:pPr>
        <w:spacing w:after="0"/>
        <w:jc w:val="both"/>
        <w:rPr>
          <w:rFonts w:ascii="Calibri" w:eastAsia="Calibri" w:hAnsi="Calibri" w:cs="Calibri"/>
          <w:lang w:val="es-ES"/>
        </w:rPr>
      </w:pPr>
    </w:p>
    <w:p w14:paraId="1330283A" w14:textId="6194895D" w:rsidR="6728635F" w:rsidRDefault="6728635F" w:rsidP="1F2AE0F4">
      <w:pPr>
        <w:spacing w:after="0"/>
        <w:jc w:val="both"/>
        <w:rPr>
          <w:rFonts w:ascii="Calibri" w:eastAsia="Calibri" w:hAnsi="Calibri" w:cs="Calibri"/>
          <w:lang w:val="es-ES"/>
        </w:rPr>
      </w:pPr>
      <w:r w:rsidRPr="1F2AE0F4">
        <w:rPr>
          <w:rFonts w:ascii="Calibri" w:eastAsia="Calibri" w:hAnsi="Calibri" w:cs="Calibri"/>
        </w:rPr>
        <w:lastRenderedPageBreak/>
        <w:t xml:space="preserve">Wehmeyer, M.L., Davies, D.K., Stock, S.E. et al. Applied Cognitive Technologies to Support the Autonomy of People with Intellectual and Developmental Disabilities. </w:t>
      </w:r>
      <w:proofErr w:type="spellStart"/>
      <w:r w:rsidRPr="00A80167">
        <w:rPr>
          <w:rFonts w:ascii="Calibri" w:eastAsia="Calibri" w:hAnsi="Calibri" w:cs="Calibri"/>
          <w:lang w:val="es-CO"/>
        </w:rPr>
        <w:t>Adv</w:t>
      </w:r>
      <w:proofErr w:type="spellEnd"/>
      <w:r w:rsidRPr="00A80167">
        <w:rPr>
          <w:rFonts w:ascii="Calibri" w:eastAsia="Calibri" w:hAnsi="Calibri" w:cs="Calibri"/>
          <w:lang w:val="es-CO"/>
        </w:rPr>
        <w:t xml:space="preserve"> </w:t>
      </w:r>
      <w:proofErr w:type="spellStart"/>
      <w:r w:rsidRPr="00A80167">
        <w:rPr>
          <w:rFonts w:ascii="Calibri" w:eastAsia="Calibri" w:hAnsi="Calibri" w:cs="Calibri"/>
          <w:lang w:val="es-CO"/>
        </w:rPr>
        <w:t>Neurodev</w:t>
      </w:r>
      <w:proofErr w:type="spellEnd"/>
      <w:r w:rsidRPr="00A80167">
        <w:rPr>
          <w:rFonts w:ascii="Calibri" w:eastAsia="Calibri" w:hAnsi="Calibri" w:cs="Calibri"/>
          <w:lang w:val="es-CO"/>
        </w:rPr>
        <w:t xml:space="preserve"> </w:t>
      </w:r>
      <w:proofErr w:type="spellStart"/>
      <w:r w:rsidRPr="00A80167">
        <w:rPr>
          <w:rFonts w:ascii="Calibri" w:eastAsia="Calibri" w:hAnsi="Calibri" w:cs="Calibri"/>
          <w:lang w:val="es-CO"/>
        </w:rPr>
        <w:t>Disord</w:t>
      </w:r>
      <w:proofErr w:type="spellEnd"/>
      <w:r w:rsidRPr="00A80167">
        <w:rPr>
          <w:rFonts w:ascii="Calibri" w:eastAsia="Calibri" w:hAnsi="Calibri" w:cs="Calibri"/>
          <w:lang w:val="es-CO"/>
        </w:rPr>
        <w:t xml:space="preserve"> 4, 389–399 (2020). </w:t>
      </w:r>
      <w:hyperlink r:id="rId19">
        <w:r w:rsidRPr="00A80167">
          <w:rPr>
            <w:rStyle w:val="Hyperlink"/>
            <w:rFonts w:ascii="Calibri" w:eastAsia="Calibri" w:hAnsi="Calibri" w:cs="Calibri"/>
            <w:lang w:val="es-CO"/>
          </w:rPr>
          <w:t>https://doi.org/10.1007/s41252-020-00179-2</w:t>
        </w:r>
      </w:hyperlink>
    </w:p>
    <w:p w14:paraId="62C06FE4" w14:textId="61E1E11E" w:rsidR="5DE143E3" w:rsidRDefault="5DE143E3" w:rsidP="1F2AE0F4">
      <w:pPr>
        <w:spacing w:after="0"/>
        <w:jc w:val="both"/>
      </w:pPr>
      <w:proofErr w:type="spellStart"/>
      <w:r w:rsidRPr="00A80167">
        <w:rPr>
          <w:rFonts w:ascii="Calibri" w:eastAsia="Calibri" w:hAnsi="Calibri" w:cs="Calibri"/>
          <w:lang w:val="es-CO"/>
        </w:rPr>
        <w:t>Marinaci</w:t>
      </w:r>
      <w:proofErr w:type="spellEnd"/>
      <w:r w:rsidRPr="00A80167">
        <w:rPr>
          <w:rFonts w:ascii="Calibri" w:eastAsia="Calibri" w:hAnsi="Calibri" w:cs="Calibri"/>
          <w:lang w:val="es-CO"/>
        </w:rPr>
        <w:t xml:space="preserve">, T., Russo, C., </w:t>
      </w:r>
      <w:proofErr w:type="spellStart"/>
      <w:r w:rsidRPr="00A80167">
        <w:rPr>
          <w:rFonts w:ascii="Calibri" w:eastAsia="Calibri" w:hAnsi="Calibri" w:cs="Calibri"/>
          <w:lang w:val="es-CO"/>
        </w:rPr>
        <w:t>Savarese</w:t>
      </w:r>
      <w:proofErr w:type="spellEnd"/>
      <w:r w:rsidRPr="00A80167">
        <w:rPr>
          <w:rFonts w:ascii="Calibri" w:eastAsia="Calibri" w:hAnsi="Calibri" w:cs="Calibri"/>
          <w:lang w:val="es-CO"/>
        </w:rPr>
        <w:t xml:space="preserve">, G., </w:t>
      </w:r>
      <w:proofErr w:type="spellStart"/>
      <w:r w:rsidRPr="00A80167">
        <w:rPr>
          <w:rFonts w:ascii="Calibri" w:eastAsia="Calibri" w:hAnsi="Calibri" w:cs="Calibri"/>
          <w:lang w:val="es-CO"/>
        </w:rPr>
        <w:t>Stornaiuolo</w:t>
      </w:r>
      <w:proofErr w:type="spellEnd"/>
      <w:r w:rsidRPr="00A80167">
        <w:rPr>
          <w:rFonts w:ascii="Calibri" w:eastAsia="Calibri" w:hAnsi="Calibri" w:cs="Calibri"/>
          <w:lang w:val="es-CO"/>
        </w:rPr>
        <w:t xml:space="preserve">, G., </w:t>
      </w:r>
      <w:proofErr w:type="spellStart"/>
      <w:r w:rsidRPr="00A80167">
        <w:rPr>
          <w:rFonts w:ascii="Calibri" w:eastAsia="Calibri" w:hAnsi="Calibri" w:cs="Calibri"/>
          <w:lang w:val="es-CO"/>
        </w:rPr>
        <w:t>Faiella</w:t>
      </w:r>
      <w:proofErr w:type="spellEnd"/>
      <w:r w:rsidRPr="00A80167">
        <w:rPr>
          <w:rFonts w:ascii="Calibri" w:eastAsia="Calibri" w:hAnsi="Calibri" w:cs="Calibri"/>
          <w:lang w:val="es-CO"/>
        </w:rPr>
        <w:t xml:space="preserve">, F., </w:t>
      </w:r>
      <w:proofErr w:type="spellStart"/>
      <w:r w:rsidRPr="00A80167">
        <w:rPr>
          <w:rFonts w:ascii="Calibri" w:eastAsia="Calibri" w:hAnsi="Calibri" w:cs="Calibri"/>
          <w:lang w:val="es-CO"/>
        </w:rPr>
        <w:t>Carpinelli</w:t>
      </w:r>
      <w:proofErr w:type="spellEnd"/>
      <w:r w:rsidRPr="00A80167">
        <w:rPr>
          <w:rFonts w:ascii="Calibri" w:eastAsia="Calibri" w:hAnsi="Calibri" w:cs="Calibri"/>
          <w:lang w:val="es-CO"/>
        </w:rPr>
        <w:t xml:space="preserve">, L., Navarra, M., </w:t>
      </w:r>
      <w:proofErr w:type="spellStart"/>
      <w:r w:rsidRPr="00A80167">
        <w:rPr>
          <w:rFonts w:ascii="Calibri" w:eastAsia="Calibri" w:hAnsi="Calibri" w:cs="Calibri"/>
          <w:lang w:val="es-CO"/>
        </w:rPr>
        <w:t>Marsico</w:t>
      </w:r>
      <w:proofErr w:type="spellEnd"/>
      <w:r w:rsidRPr="00A80167">
        <w:rPr>
          <w:rFonts w:ascii="Calibri" w:eastAsia="Calibri" w:hAnsi="Calibri" w:cs="Calibri"/>
          <w:lang w:val="es-CO"/>
        </w:rPr>
        <w:t xml:space="preserve">, G., &amp; </w:t>
      </w:r>
      <w:proofErr w:type="spellStart"/>
      <w:r w:rsidRPr="00A80167">
        <w:rPr>
          <w:rFonts w:ascii="Calibri" w:eastAsia="Calibri" w:hAnsi="Calibri" w:cs="Calibri"/>
          <w:lang w:val="es-CO"/>
        </w:rPr>
        <w:t>Mollo</w:t>
      </w:r>
      <w:proofErr w:type="spellEnd"/>
      <w:r w:rsidRPr="00A80167">
        <w:rPr>
          <w:rFonts w:ascii="Calibri" w:eastAsia="Calibri" w:hAnsi="Calibri" w:cs="Calibri"/>
          <w:lang w:val="es-CO"/>
        </w:rPr>
        <w:t xml:space="preserve">, M. (2023). </w:t>
      </w:r>
      <w:r w:rsidRPr="1F2AE0F4">
        <w:rPr>
          <w:rFonts w:ascii="Calibri" w:eastAsia="Calibri" w:hAnsi="Calibri" w:cs="Calibri"/>
        </w:rPr>
        <w:t xml:space="preserve">An Inclusive Workplace Approach to Disability through Assistive Technologies: A Systematic Review and Thematic Analysis of the Literature. </w:t>
      </w:r>
      <w:r w:rsidRPr="1F2AE0F4">
        <w:rPr>
          <w:rFonts w:ascii="Calibri" w:eastAsia="Calibri" w:hAnsi="Calibri" w:cs="Calibri"/>
          <w:i/>
          <w:iCs/>
        </w:rPr>
        <w:t>Societies</w:t>
      </w:r>
      <w:r w:rsidRPr="1F2AE0F4">
        <w:rPr>
          <w:rFonts w:ascii="Calibri" w:eastAsia="Calibri" w:hAnsi="Calibri" w:cs="Calibri"/>
        </w:rPr>
        <w:t xml:space="preserve">, </w:t>
      </w:r>
      <w:r w:rsidRPr="1F2AE0F4">
        <w:rPr>
          <w:rFonts w:ascii="Calibri" w:eastAsia="Calibri" w:hAnsi="Calibri" w:cs="Calibri"/>
          <w:i/>
          <w:iCs/>
        </w:rPr>
        <w:t>13</w:t>
      </w:r>
      <w:r w:rsidRPr="1F2AE0F4">
        <w:rPr>
          <w:rFonts w:ascii="Calibri" w:eastAsia="Calibri" w:hAnsi="Calibri" w:cs="Calibri"/>
        </w:rPr>
        <w:t xml:space="preserve">(11), Article 11. </w:t>
      </w:r>
      <w:hyperlink r:id="rId20">
        <w:r w:rsidRPr="1F2AE0F4">
          <w:rPr>
            <w:rStyle w:val="Hyperlink"/>
            <w:rFonts w:ascii="Calibri" w:eastAsia="Calibri" w:hAnsi="Calibri" w:cs="Calibri"/>
          </w:rPr>
          <w:t>https://doi.org/10.3390/soc13110231</w:t>
        </w:r>
      </w:hyperlink>
    </w:p>
    <w:p w14:paraId="12129BA3" w14:textId="4E09E927" w:rsidR="160ABE04" w:rsidRDefault="160ABE04" w:rsidP="1F2AE0F4">
      <w:pPr>
        <w:spacing w:after="0"/>
        <w:jc w:val="both"/>
      </w:pPr>
      <w:r w:rsidRPr="1F2AE0F4">
        <w:rPr>
          <w:rFonts w:ascii="Calibri" w:eastAsia="Calibri" w:hAnsi="Calibri" w:cs="Calibri"/>
        </w:rPr>
        <w:t xml:space="preserve">cciadmincca1. (2020, May 27). How Enabling Technology Helps People with Intellectual Disabilities Achieve Independence. </w:t>
      </w:r>
      <w:proofErr w:type="spellStart"/>
      <w:r w:rsidRPr="1F2AE0F4">
        <w:rPr>
          <w:rFonts w:ascii="Calibri" w:eastAsia="Calibri" w:hAnsi="Calibri" w:cs="Calibri"/>
          <w:i/>
          <w:iCs/>
        </w:rPr>
        <w:t>CreateAbility</w:t>
      </w:r>
      <w:proofErr w:type="spellEnd"/>
      <w:r w:rsidRPr="1F2AE0F4">
        <w:rPr>
          <w:rFonts w:ascii="Calibri" w:eastAsia="Calibri" w:hAnsi="Calibri" w:cs="Calibri"/>
          <w:i/>
          <w:iCs/>
        </w:rPr>
        <w:t xml:space="preserve"> Inc</w:t>
      </w:r>
      <w:r w:rsidRPr="1F2AE0F4">
        <w:rPr>
          <w:rFonts w:ascii="Calibri" w:eastAsia="Calibri" w:hAnsi="Calibri" w:cs="Calibri"/>
        </w:rPr>
        <w:t xml:space="preserve">. </w:t>
      </w:r>
      <w:hyperlink r:id="rId21">
        <w:r w:rsidRPr="1F2AE0F4">
          <w:rPr>
            <w:rStyle w:val="Hyperlink"/>
            <w:rFonts w:ascii="Calibri" w:eastAsia="Calibri" w:hAnsi="Calibri" w:cs="Calibri"/>
          </w:rPr>
          <w:t>https://www.createabilityinc.com/2020/05/27/how-assistive-technology-helps-people-with-intellectual-disabilities-achieve-independence/</w:t>
        </w:r>
      </w:hyperlink>
    </w:p>
    <w:p w14:paraId="43BAE221" w14:textId="71E0890B" w:rsidR="427FAD85" w:rsidRDefault="427FAD85" w:rsidP="1F2AE0F4">
      <w:pPr>
        <w:spacing w:after="0"/>
        <w:jc w:val="both"/>
      </w:pPr>
      <w:r w:rsidRPr="1F2AE0F4">
        <w:rPr>
          <w:rFonts w:ascii="Calibri" w:eastAsia="Calibri" w:hAnsi="Calibri" w:cs="Calibri"/>
        </w:rPr>
        <w:t xml:space="preserve">Owuor, J., Larkan, F., </w:t>
      </w:r>
      <w:proofErr w:type="spellStart"/>
      <w:r w:rsidRPr="1F2AE0F4">
        <w:rPr>
          <w:rFonts w:ascii="Calibri" w:eastAsia="Calibri" w:hAnsi="Calibri" w:cs="Calibri"/>
        </w:rPr>
        <w:t>Kayabu</w:t>
      </w:r>
      <w:proofErr w:type="spellEnd"/>
      <w:r w:rsidRPr="1F2AE0F4">
        <w:rPr>
          <w:rFonts w:ascii="Calibri" w:eastAsia="Calibri" w:hAnsi="Calibri" w:cs="Calibri"/>
        </w:rPr>
        <w:t xml:space="preserve">, B., Fitzgerald, G., Sheaf, G., Dinsmore, J., McConkey, R., Clarke, M., &amp; MacLachlan, M. (2018). Does assistive technology contribute to social inclusion for people with intellectual disability? A systematic review </w:t>
      </w:r>
      <w:proofErr w:type="gramStart"/>
      <w:r w:rsidRPr="1F2AE0F4">
        <w:rPr>
          <w:rFonts w:ascii="Calibri" w:eastAsia="Calibri" w:hAnsi="Calibri" w:cs="Calibri"/>
        </w:rPr>
        <w:t>protocol</w:t>
      </w:r>
      <w:proofErr w:type="gramEnd"/>
      <w:r w:rsidRPr="1F2AE0F4">
        <w:rPr>
          <w:rFonts w:ascii="Calibri" w:eastAsia="Calibri" w:hAnsi="Calibri" w:cs="Calibri"/>
        </w:rPr>
        <w:t xml:space="preserve">. </w:t>
      </w:r>
      <w:r w:rsidRPr="1F2AE0F4">
        <w:rPr>
          <w:rFonts w:ascii="Calibri" w:eastAsia="Calibri" w:hAnsi="Calibri" w:cs="Calibri"/>
          <w:i/>
          <w:iCs/>
        </w:rPr>
        <w:t>BMJ Open</w:t>
      </w:r>
      <w:r w:rsidRPr="1F2AE0F4">
        <w:rPr>
          <w:rFonts w:ascii="Calibri" w:eastAsia="Calibri" w:hAnsi="Calibri" w:cs="Calibri"/>
        </w:rPr>
        <w:t xml:space="preserve">, </w:t>
      </w:r>
      <w:r w:rsidRPr="1F2AE0F4">
        <w:rPr>
          <w:rFonts w:ascii="Calibri" w:eastAsia="Calibri" w:hAnsi="Calibri" w:cs="Calibri"/>
          <w:i/>
          <w:iCs/>
        </w:rPr>
        <w:t>8</w:t>
      </w:r>
      <w:r w:rsidRPr="1F2AE0F4">
        <w:rPr>
          <w:rFonts w:ascii="Calibri" w:eastAsia="Calibri" w:hAnsi="Calibri" w:cs="Calibri"/>
        </w:rPr>
        <w:t xml:space="preserve">(2), e017533. </w:t>
      </w:r>
      <w:hyperlink r:id="rId22">
        <w:r w:rsidRPr="1F2AE0F4">
          <w:rPr>
            <w:rStyle w:val="Hyperlink"/>
            <w:rFonts w:ascii="Calibri" w:eastAsia="Calibri" w:hAnsi="Calibri" w:cs="Calibri"/>
          </w:rPr>
          <w:t>https://doi.org/10.1136/bmjopen-2017-017533</w:t>
        </w:r>
      </w:hyperlink>
    </w:p>
    <w:p w14:paraId="19851859" w14:textId="71157E90" w:rsidR="1F2AE0F4" w:rsidRDefault="1F2AE0F4" w:rsidP="1F2AE0F4">
      <w:pPr>
        <w:spacing w:after="0"/>
        <w:jc w:val="both"/>
        <w:rPr>
          <w:rFonts w:ascii="Calibri" w:eastAsia="Calibri" w:hAnsi="Calibri" w:cs="Calibri"/>
        </w:rPr>
      </w:pPr>
    </w:p>
    <w:p w14:paraId="0084B876" w14:textId="0C680A8C"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(Moher D, 2008)</w:t>
      </w:r>
      <w:r w:rsidRPr="0735D306">
        <w:rPr>
          <w:rFonts w:ascii="Calibri" w:eastAsia="Calibri" w:hAnsi="Calibri" w:cs="Calibri"/>
          <w:color w:val="000000" w:themeColor="text1"/>
        </w:rPr>
        <w:t xml:space="preserve"> Moher D, Liberati A, Tetzlaff J, Altman DG, The PRISMA Group (2008) Preferred reporting items for systematic reviews and meta-analyses: The PRISMA Statement.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 e1000097. 10.1371/journal.pmed.1000097.</w:t>
      </w:r>
    </w:p>
    <w:p w14:paraId="655ADD3F" w14:textId="61885C69"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 xml:space="preserve">(Liberati A, 2009) </w:t>
      </w:r>
      <w:r w:rsidRPr="0735D306">
        <w:rPr>
          <w:rFonts w:ascii="Calibri" w:eastAsia="Calibri" w:hAnsi="Calibri" w:cs="Calibri"/>
          <w:color w:val="000000" w:themeColor="text1"/>
        </w:rPr>
        <w:t xml:space="preserve">Liberati A, Altman DG, Tetzlaff J, Mulrow C, Gøtzsche PC, et al. (2009) The PRISMA Statement for Reporting Systematic Reviews and Meta-Analyses of Studies That Evaluate Health Care Interventions: Explanation and Elaboration.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6(7): e1000100. doi:10.1371/journal.pmed.1000100</w:t>
      </w:r>
    </w:p>
    <w:p w14:paraId="6DB7E42A" w14:textId="0F03CE34" w:rsidR="5BF021E7" w:rsidRDefault="5BF021E7" w:rsidP="0735D306">
      <w:pPr>
        <w:rPr>
          <w:rFonts w:ascii="Calibri" w:eastAsia="Calibri" w:hAnsi="Calibri" w:cs="Calibri"/>
          <w:color w:val="212121"/>
        </w:rPr>
      </w:pPr>
      <w:r w:rsidRPr="0735D306">
        <w:rPr>
          <w:rFonts w:ascii="Calibri" w:eastAsia="Calibri" w:hAnsi="Calibri" w:cs="Calibri"/>
          <w:b/>
          <w:bCs/>
          <w:color w:val="212121"/>
        </w:rPr>
        <w:t>(</w:t>
      </w:r>
      <w:r w:rsidRPr="00A80167">
        <w:rPr>
          <w:rFonts w:ascii="Calibri" w:eastAsia="Calibri" w:hAnsi="Calibri" w:cs="Calibri"/>
          <w:b/>
          <w:bCs/>
        </w:rPr>
        <w:t>Pennisi et al. (2016)</w:t>
      </w:r>
      <w:r w:rsidRPr="0735D306">
        <w:rPr>
          <w:rFonts w:ascii="Calibri" w:eastAsia="Calibri" w:hAnsi="Calibri" w:cs="Calibri"/>
          <w:b/>
          <w:bCs/>
          <w:color w:val="212121"/>
        </w:rPr>
        <w:t>)</w:t>
      </w:r>
      <w:r w:rsidRPr="0735D306">
        <w:rPr>
          <w:rFonts w:ascii="Calibri" w:eastAsia="Calibri" w:hAnsi="Calibri" w:cs="Calibri"/>
          <w:color w:val="212121"/>
        </w:rPr>
        <w:t xml:space="preserve"> Pennisi P, </w:t>
      </w:r>
      <w:proofErr w:type="spellStart"/>
      <w:r w:rsidRPr="0735D306">
        <w:rPr>
          <w:rFonts w:ascii="Calibri" w:eastAsia="Calibri" w:hAnsi="Calibri" w:cs="Calibri"/>
          <w:color w:val="212121"/>
        </w:rPr>
        <w:t>Tonacci</w:t>
      </w:r>
      <w:proofErr w:type="spellEnd"/>
      <w:r w:rsidRPr="0735D306">
        <w:rPr>
          <w:rFonts w:ascii="Calibri" w:eastAsia="Calibri" w:hAnsi="Calibri" w:cs="Calibri"/>
          <w:color w:val="212121"/>
        </w:rPr>
        <w:t xml:space="preserve"> A, </w:t>
      </w:r>
      <w:proofErr w:type="spellStart"/>
      <w:r w:rsidRPr="0735D306">
        <w:rPr>
          <w:rFonts w:ascii="Calibri" w:eastAsia="Calibri" w:hAnsi="Calibri" w:cs="Calibri"/>
          <w:color w:val="212121"/>
        </w:rPr>
        <w:t>Tartarisco</w:t>
      </w:r>
      <w:proofErr w:type="spellEnd"/>
      <w:r w:rsidRPr="0735D306">
        <w:rPr>
          <w:rFonts w:ascii="Calibri" w:eastAsia="Calibri" w:hAnsi="Calibri" w:cs="Calibri"/>
          <w:color w:val="212121"/>
        </w:rPr>
        <w:t xml:space="preserve"> G, Billeci L, </w:t>
      </w:r>
      <w:proofErr w:type="spellStart"/>
      <w:r w:rsidRPr="0735D306">
        <w:rPr>
          <w:rFonts w:ascii="Calibri" w:eastAsia="Calibri" w:hAnsi="Calibri" w:cs="Calibri"/>
          <w:color w:val="212121"/>
        </w:rPr>
        <w:t>Ruta</w:t>
      </w:r>
      <w:proofErr w:type="spellEnd"/>
      <w:r w:rsidRPr="0735D306">
        <w:rPr>
          <w:rFonts w:ascii="Calibri" w:eastAsia="Calibri" w:hAnsi="Calibri" w:cs="Calibri"/>
          <w:color w:val="212121"/>
        </w:rPr>
        <w:t xml:space="preserve"> L, Gangemi S, </w:t>
      </w:r>
      <w:proofErr w:type="spellStart"/>
      <w:r w:rsidRPr="0735D306">
        <w:rPr>
          <w:rFonts w:ascii="Calibri" w:eastAsia="Calibri" w:hAnsi="Calibri" w:cs="Calibri"/>
          <w:color w:val="212121"/>
        </w:rPr>
        <w:t>Pioggia</w:t>
      </w:r>
      <w:proofErr w:type="spellEnd"/>
      <w:r w:rsidRPr="0735D306">
        <w:rPr>
          <w:rFonts w:ascii="Calibri" w:eastAsia="Calibri" w:hAnsi="Calibri" w:cs="Calibri"/>
          <w:color w:val="212121"/>
        </w:rPr>
        <w:t xml:space="preserve"> G. </w:t>
      </w:r>
      <w:proofErr w:type="gramStart"/>
      <w:r w:rsidRPr="0735D306">
        <w:rPr>
          <w:rFonts w:ascii="Calibri" w:eastAsia="Calibri" w:hAnsi="Calibri" w:cs="Calibri"/>
          <w:color w:val="212121"/>
        </w:rPr>
        <w:t>Autism</w:t>
      </w:r>
      <w:proofErr w:type="gramEnd"/>
      <w:r w:rsidRPr="0735D306">
        <w:rPr>
          <w:rFonts w:ascii="Calibri" w:eastAsia="Calibri" w:hAnsi="Calibri" w:cs="Calibri"/>
          <w:color w:val="212121"/>
        </w:rPr>
        <w:t xml:space="preserve"> and social robotics: A systematic review. Autism Res. 2016 Feb;9(2):165-83. </w:t>
      </w:r>
      <w:proofErr w:type="spellStart"/>
      <w:r w:rsidRPr="0735D306">
        <w:rPr>
          <w:rFonts w:ascii="Calibri" w:eastAsia="Calibri" w:hAnsi="Calibri" w:cs="Calibri"/>
          <w:color w:val="212121"/>
        </w:rPr>
        <w:t>doi</w:t>
      </w:r>
      <w:proofErr w:type="spellEnd"/>
      <w:r w:rsidRPr="0735D306">
        <w:rPr>
          <w:rFonts w:ascii="Calibri" w:eastAsia="Calibri" w:hAnsi="Calibri" w:cs="Calibri"/>
          <w:color w:val="212121"/>
        </w:rPr>
        <w:t xml:space="preserve">: 10.1002/aur.1527. </w:t>
      </w:r>
      <w:proofErr w:type="spellStart"/>
      <w:r w:rsidRPr="0735D306">
        <w:rPr>
          <w:rFonts w:ascii="Calibri" w:eastAsia="Calibri" w:hAnsi="Calibri" w:cs="Calibri"/>
          <w:color w:val="212121"/>
        </w:rPr>
        <w:t>Epub</w:t>
      </w:r>
      <w:proofErr w:type="spellEnd"/>
      <w:r w:rsidRPr="0735D306">
        <w:rPr>
          <w:rFonts w:ascii="Calibri" w:eastAsia="Calibri" w:hAnsi="Calibri" w:cs="Calibri"/>
          <w:color w:val="212121"/>
        </w:rPr>
        <w:t xml:space="preserve"> 2015 Oct 20. PMID: 26483270.</w:t>
      </w:r>
    </w:p>
    <w:p w14:paraId="5FCB5339" w14:textId="462F3507" w:rsidR="026863D8" w:rsidRDefault="026863D8" w:rsidP="0735D306">
      <w:pPr>
        <w:rPr>
          <w:rFonts w:ascii="Calibri" w:eastAsia="Calibri" w:hAnsi="Calibri" w:cs="Calibri"/>
        </w:rPr>
      </w:pPr>
      <w:r w:rsidRPr="0735D306">
        <w:rPr>
          <w:rFonts w:ascii="Calibri" w:eastAsia="Calibri" w:hAnsi="Calibri" w:cs="Calibri"/>
          <w:color w:val="222222"/>
        </w:rPr>
        <w:t>(</w:t>
      </w:r>
      <w:proofErr w:type="spellStart"/>
      <w:r w:rsidRPr="00A80167">
        <w:rPr>
          <w:rFonts w:ascii="Calibri" w:eastAsia="Calibri" w:hAnsi="Calibri" w:cs="Calibri"/>
        </w:rPr>
        <w:t>Cabibihan</w:t>
      </w:r>
      <w:proofErr w:type="spellEnd"/>
      <w:r w:rsidRPr="00A80167">
        <w:rPr>
          <w:rFonts w:ascii="Calibri" w:eastAsia="Calibri" w:hAnsi="Calibri" w:cs="Calibri"/>
        </w:rPr>
        <w:t xml:space="preserve"> et al. </w:t>
      </w:r>
      <w:r w:rsidRPr="0735D306">
        <w:rPr>
          <w:rFonts w:ascii="Calibri" w:eastAsia="Calibri" w:hAnsi="Calibri" w:cs="Calibri"/>
          <w:lang w:val="es-ES"/>
        </w:rPr>
        <w:t>(2013)</w:t>
      </w:r>
      <w:r w:rsidRPr="0735D306">
        <w:rPr>
          <w:rFonts w:ascii="Calibri" w:eastAsia="Calibri" w:hAnsi="Calibri" w:cs="Calibri"/>
          <w:color w:val="222222"/>
        </w:rPr>
        <w:t xml:space="preserve">) </w:t>
      </w:r>
      <w:proofErr w:type="spellStart"/>
      <w:r w:rsidRPr="0735D306">
        <w:rPr>
          <w:rFonts w:ascii="Calibri" w:eastAsia="Calibri" w:hAnsi="Calibri" w:cs="Calibri"/>
          <w:color w:val="222222"/>
        </w:rPr>
        <w:t>Cabibihan</w:t>
      </w:r>
      <w:proofErr w:type="spellEnd"/>
      <w:r w:rsidRPr="0735D306">
        <w:rPr>
          <w:rFonts w:ascii="Calibri" w:eastAsia="Calibri" w:hAnsi="Calibri" w:cs="Calibri"/>
          <w:color w:val="222222"/>
        </w:rPr>
        <w:t xml:space="preserve">, JJ., Javed, H., Ang, M. </w:t>
      </w:r>
      <w:r w:rsidRPr="0735D306">
        <w:rPr>
          <w:rFonts w:ascii="Calibri" w:eastAsia="Calibri" w:hAnsi="Calibri" w:cs="Calibri"/>
          <w:i/>
          <w:iCs/>
          <w:color w:val="222222"/>
        </w:rPr>
        <w:t>et al.</w:t>
      </w:r>
      <w:r w:rsidRPr="0735D306">
        <w:rPr>
          <w:rFonts w:ascii="Calibri" w:eastAsia="Calibri" w:hAnsi="Calibri" w:cs="Calibri"/>
          <w:color w:val="222222"/>
        </w:rPr>
        <w:t xml:space="preserve"> Why Robots? A Survey on the Roles and Benefits of Social Robots in the Therapy of Children with Autism. </w:t>
      </w:r>
      <w:r w:rsidRPr="0735D306">
        <w:rPr>
          <w:rFonts w:ascii="Calibri" w:eastAsia="Calibri" w:hAnsi="Calibri" w:cs="Calibri"/>
          <w:i/>
          <w:iCs/>
          <w:color w:val="222222"/>
        </w:rPr>
        <w:t>Int J of Soc Robotics</w:t>
      </w:r>
      <w:r w:rsidRPr="0735D306">
        <w:rPr>
          <w:rFonts w:ascii="Calibri" w:eastAsia="Calibri" w:hAnsi="Calibri" w:cs="Calibri"/>
          <w:color w:val="222222"/>
        </w:rPr>
        <w:t xml:space="preserve"> </w:t>
      </w:r>
      <w:r w:rsidRPr="0735D306">
        <w:rPr>
          <w:rFonts w:ascii="Calibri" w:eastAsia="Calibri" w:hAnsi="Calibri" w:cs="Calibri"/>
          <w:b/>
          <w:bCs/>
          <w:color w:val="222222"/>
        </w:rPr>
        <w:t>5</w:t>
      </w:r>
      <w:r w:rsidRPr="0735D306">
        <w:rPr>
          <w:rFonts w:ascii="Calibri" w:eastAsia="Calibri" w:hAnsi="Calibri" w:cs="Calibri"/>
          <w:color w:val="222222"/>
        </w:rPr>
        <w:t xml:space="preserve">, 593–618 (2013). </w:t>
      </w:r>
      <w:hyperlink r:id="rId23">
        <w:r w:rsidRPr="0735D306">
          <w:rPr>
            <w:rStyle w:val="Hyperlink"/>
            <w:rFonts w:ascii="Calibri" w:eastAsia="Calibri" w:hAnsi="Calibri" w:cs="Calibri"/>
          </w:rPr>
          <w:t>https://doi.org/10.1007/s12369-013-0202-2</w:t>
        </w:r>
      </w:hyperlink>
    </w:p>
    <w:p w14:paraId="37AE45E5" w14:textId="0FB76D4A" w:rsidR="5F1BD97D" w:rsidRPr="00A80167" w:rsidRDefault="5F1BD97D" w:rsidP="0735D306">
      <w:pPr>
        <w:rPr>
          <w:rFonts w:ascii="Calibri" w:eastAsia="Calibri" w:hAnsi="Calibri" w:cs="Calibri"/>
        </w:rPr>
      </w:pPr>
      <w:r w:rsidRPr="00A80167">
        <w:rPr>
          <w:rFonts w:ascii="Calibri" w:eastAsia="Calibri" w:hAnsi="Calibri" w:cs="Calibri"/>
        </w:rPr>
        <w:t>(</w:t>
      </w:r>
      <w:r w:rsidR="1E90296A" w:rsidRPr="00A80167">
        <w:rPr>
          <w:rFonts w:ascii="Calibri" w:eastAsia="Calibri" w:hAnsi="Calibri" w:cs="Calibri"/>
        </w:rPr>
        <w:t>Diehl</w:t>
      </w:r>
      <w:r w:rsidR="0431257D" w:rsidRPr="00A80167">
        <w:rPr>
          <w:rFonts w:ascii="Calibri" w:eastAsia="Calibri" w:hAnsi="Calibri" w:cs="Calibri"/>
        </w:rPr>
        <w:t xml:space="preserve"> </w:t>
      </w:r>
      <w:r w:rsidR="1E90296A" w:rsidRPr="00A80167">
        <w:rPr>
          <w:rFonts w:ascii="Calibri" w:eastAsia="Calibri" w:hAnsi="Calibri" w:cs="Calibri"/>
        </w:rPr>
        <w:t xml:space="preserve"> et al. (2012)</w:t>
      </w:r>
      <w:r w:rsidR="1E90296A" w:rsidRPr="0735D306">
        <w:rPr>
          <w:rFonts w:ascii="Calibri" w:eastAsia="Calibri" w:hAnsi="Calibri" w:cs="Calibri"/>
          <w:color w:val="222222"/>
        </w:rPr>
        <w:t xml:space="preserve">)Diehl JJ, Schmitt LM, Villano M, Crowell CR. The Clinical Use of Robots for Individuals with Autism Spectrum Disorders: A Critical Review. Res Autism </w:t>
      </w:r>
      <w:proofErr w:type="spellStart"/>
      <w:r w:rsidR="1E90296A" w:rsidRPr="0735D306">
        <w:rPr>
          <w:rFonts w:ascii="Calibri" w:eastAsia="Calibri" w:hAnsi="Calibri" w:cs="Calibri"/>
          <w:color w:val="222222"/>
        </w:rPr>
        <w:t>Spectr</w:t>
      </w:r>
      <w:proofErr w:type="spellEnd"/>
      <w:r w:rsidR="1E90296A" w:rsidRPr="0735D306">
        <w:rPr>
          <w:rFonts w:ascii="Calibri" w:eastAsia="Calibri" w:hAnsi="Calibri" w:cs="Calibri"/>
          <w:color w:val="222222"/>
        </w:rPr>
        <w:t xml:space="preserve"> </w:t>
      </w:r>
      <w:proofErr w:type="spellStart"/>
      <w:r w:rsidR="1E90296A" w:rsidRPr="0735D306">
        <w:rPr>
          <w:rFonts w:ascii="Calibri" w:eastAsia="Calibri" w:hAnsi="Calibri" w:cs="Calibri"/>
          <w:color w:val="222222"/>
        </w:rPr>
        <w:t>Disord</w:t>
      </w:r>
      <w:proofErr w:type="spellEnd"/>
      <w:r w:rsidR="1E90296A" w:rsidRPr="0735D306">
        <w:rPr>
          <w:rFonts w:ascii="Calibri" w:eastAsia="Calibri" w:hAnsi="Calibri" w:cs="Calibri"/>
          <w:color w:val="222222"/>
        </w:rPr>
        <w:t xml:space="preserve">. 2012 Jan;6(1):249-262. </w:t>
      </w:r>
      <w:proofErr w:type="spellStart"/>
      <w:r w:rsidR="1E90296A" w:rsidRPr="0735D306">
        <w:rPr>
          <w:rFonts w:ascii="Calibri" w:eastAsia="Calibri" w:hAnsi="Calibri" w:cs="Calibri"/>
          <w:color w:val="222222"/>
        </w:rPr>
        <w:t>doi</w:t>
      </w:r>
      <w:proofErr w:type="spellEnd"/>
      <w:r w:rsidR="1E90296A" w:rsidRPr="0735D306">
        <w:rPr>
          <w:rFonts w:ascii="Calibri" w:eastAsia="Calibri" w:hAnsi="Calibri" w:cs="Calibri"/>
          <w:color w:val="222222"/>
        </w:rPr>
        <w:t>: 10.1016/j.rasd.2011.05.006. PMID: 22125579; PMCID: PMC3223958.</w:t>
      </w:r>
    </w:p>
    <w:p w14:paraId="7BF05888" w14:textId="090D4A04" w:rsidR="1F2AE0F4" w:rsidRDefault="1F2AE0F4" w:rsidP="1F2AE0F4">
      <w:pPr>
        <w:spacing w:after="0"/>
        <w:jc w:val="both"/>
        <w:rPr>
          <w:rFonts w:ascii="Calibri" w:eastAsia="Calibri" w:hAnsi="Calibri" w:cs="Calibri"/>
        </w:rPr>
      </w:pPr>
    </w:p>
    <w:p w14:paraId="7248C975" w14:textId="2B52CE84" w:rsidR="1F2AE0F4" w:rsidRDefault="1913FDDA" w:rsidP="0735D306">
      <w:pPr>
        <w:spacing w:after="0"/>
        <w:jc w:val="both"/>
        <w:rPr>
          <w:rFonts w:ascii="Calibri" w:eastAsia="Calibri" w:hAnsi="Calibri" w:cs="Calibri"/>
          <w:color w:val="222222"/>
        </w:rPr>
      </w:pPr>
      <w:r w:rsidRPr="00A80167">
        <w:rPr>
          <w:rFonts w:ascii="Calibri" w:eastAsia="Calibri" w:hAnsi="Calibri" w:cs="Calibri"/>
        </w:rPr>
        <w:lastRenderedPageBreak/>
        <w:t>(Begum et al. (2016)</w:t>
      </w:r>
      <w:r w:rsidRPr="0735D306">
        <w:rPr>
          <w:rFonts w:ascii="Calibri" w:eastAsia="Calibri" w:hAnsi="Calibri" w:cs="Calibri"/>
          <w:color w:val="222222"/>
        </w:rPr>
        <w:t>)</w:t>
      </w:r>
      <w:r w:rsidRPr="0735D306">
        <w:rPr>
          <w:rFonts w:ascii="Calibri" w:eastAsia="Calibri" w:hAnsi="Calibri" w:cs="Calibri"/>
        </w:rPr>
        <w:t xml:space="preserve"> Begum, M., Serna, R.W. &amp; </w:t>
      </w:r>
      <w:proofErr w:type="spellStart"/>
      <w:r w:rsidRPr="0735D306">
        <w:rPr>
          <w:rFonts w:ascii="Calibri" w:eastAsia="Calibri" w:hAnsi="Calibri" w:cs="Calibri"/>
        </w:rPr>
        <w:t>Yanco</w:t>
      </w:r>
      <w:proofErr w:type="spellEnd"/>
      <w:r w:rsidRPr="0735D306">
        <w:rPr>
          <w:rFonts w:ascii="Calibri" w:eastAsia="Calibri" w:hAnsi="Calibri" w:cs="Calibri"/>
        </w:rPr>
        <w:t>, H.A. Are Robots Ready to Deliver Autism Interventions? A Comprehensive Review. Int J of Soc Robotics 8, 157–181 (2016). https://doi.org/10.1007/s12369-016-0346-y</w:t>
      </w:r>
    </w:p>
    <w:sectPr w:rsidR="1F2AE0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izabeth.sanchez@urosario.edu.co" w:date="2024-07-11T18:13:00Z" w:initials="el">
    <w:p w14:paraId="23BD1DAE" w14:textId="61F7B8B6" w:rsidR="1F2AE0F4" w:rsidRDefault="1F2AE0F4">
      <w:r>
        <w:t>Redacción más variable y humana a través de la revisión de palabras, conexion, uniformidad de los parrafoas. Citación APA.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BD1D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3BD76EF" w16cex:dateUtc="2024-07-11T21:13:00Z">
    <w16cex:extLst>
      <w16:ext xmlns:cr="http://schemas.microsoft.com/office/comments/2020/reactions" xmlns="" w16:uri="{CE6994B0-6A32-4C9F-8C6B-6E91EDA988CE}">
        <cr:reactions xmlns:cr="http://schemas.microsoft.com/office/comments/2020/reactions">
          <cr:reaction reactionType="1">
            <cr:reactionInfo dateUtc="2024-07-12T18:48:38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GgieqbRyklqVT" int2:id="e1fQAsSg">
      <int2:state int2:value="Rejected" int2:type="AugLoop_Text_Critique"/>
    </int2:textHash>
    <int2:bookmark int2:bookmarkName="_Int_1Xd4dxRx" int2:invalidationBookmarkName="" int2:hashCode="LLtufk5OUcLRDn" int2:id="MA0pkTKD">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C8C"/>
    <w:multiLevelType w:val="hybridMultilevel"/>
    <w:tmpl w:val="01EE8424"/>
    <w:lvl w:ilvl="0" w:tplc="C6CC26FA">
      <w:start w:val="1"/>
      <w:numFmt w:val="bullet"/>
      <w:lvlText w:val=""/>
      <w:lvlJc w:val="left"/>
      <w:pPr>
        <w:ind w:left="720" w:hanging="360"/>
      </w:pPr>
      <w:rPr>
        <w:rFonts w:ascii="Symbol" w:hAnsi="Symbol" w:hint="default"/>
      </w:rPr>
    </w:lvl>
    <w:lvl w:ilvl="1" w:tplc="D2021A7E">
      <w:start w:val="1"/>
      <w:numFmt w:val="bullet"/>
      <w:lvlText w:val="o"/>
      <w:lvlJc w:val="left"/>
      <w:pPr>
        <w:ind w:left="1440" w:hanging="360"/>
      </w:pPr>
      <w:rPr>
        <w:rFonts w:ascii="Courier New" w:hAnsi="Courier New" w:hint="default"/>
      </w:rPr>
    </w:lvl>
    <w:lvl w:ilvl="2" w:tplc="BF42E9D0">
      <w:start w:val="1"/>
      <w:numFmt w:val="bullet"/>
      <w:lvlText w:val=""/>
      <w:lvlJc w:val="left"/>
      <w:pPr>
        <w:ind w:left="2160" w:hanging="360"/>
      </w:pPr>
      <w:rPr>
        <w:rFonts w:ascii="Wingdings" w:hAnsi="Wingdings" w:hint="default"/>
      </w:rPr>
    </w:lvl>
    <w:lvl w:ilvl="3" w:tplc="885E0DCC">
      <w:start w:val="1"/>
      <w:numFmt w:val="bullet"/>
      <w:lvlText w:val=""/>
      <w:lvlJc w:val="left"/>
      <w:pPr>
        <w:ind w:left="2880" w:hanging="360"/>
      </w:pPr>
      <w:rPr>
        <w:rFonts w:ascii="Symbol" w:hAnsi="Symbol" w:hint="default"/>
      </w:rPr>
    </w:lvl>
    <w:lvl w:ilvl="4" w:tplc="B11C35EC">
      <w:start w:val="1"/>
      <w:numFmt w:val="bullet"/>
      <w:lvlText w:val="o"/>
      <w:lvlJc w:val="left"/>
      <w:pPr>
        <w:ind w:left="3600" w:hanging="360"/>
      </w:pPr>
      <w:rPr>
        <w:rFonts w:ascii="Courier New" w:hAnsi="Courier New" w:hint="default"/>
      </w:rPr>
    </w:lvl>
    <w:lvl w:ilvl="5" w:tplc="0FA468CC">
      <w:start w:val="1"/>
      <w:numFmt w:val="bullet"/>
      <w:lvlText w:val=""/>
      <w:lvlJc w:val="left"/>
      <w:pPr>
        <w:ind w:left="4320" w:hanging="360"/>
      </w:pPr>
      <w:rPr>
        <w:rFonts w:ascii="Wingdings" w:hAnsi="Wingdings" w:hint="default"/>
      </w:rPr>
    </w:lvl>
    <w:lvl w:ilvl="6" w:tplc="D772CB60">
      <w:start w:val="1"/>
      <w:numFmt w:val="bullet"/>
      <w:lvlText w:val=""/>
      <w:lvlJc w:val="left"/>
      <w:pPr>
        <w:ind w:left="5040" w:hanging="360"/>
      </w:pPr>
      <w:rPr>
        <w:rFonts w:ascii="Symbol" w:hAnsi="Symbol" w:hint="default"/>
      </w:rPr>
    </w:lvl>
    <w:lvl w:ilvl="7" w:tplc="BF0CD44E">
      <w:start w:val="1"/>
      <w:numFmt w:val="bullet"/>
      <w:lvlText w:val="o"/>
      <w:lvlJc w:val="left"/>
      <w:pPr>
        <w:ind w:left="5760" w:hanging="360"/>
      </w:pPr>
      <w:rPr>
        <w:rFonts w:ascii="Courier New" w:hAnsi="Courier New" w:hint="default"/>
      </w:rPr>
    </w:lvl>
    <w:lvl w:ilvl="8" w:tplc="4F2CBE78">
      <w:start w:val="1"/>
      <w:numFmt w:val="bullet"/>
      <w:lvlText w:val=""/>
      <w:lvlJc w:val="left"/>
      <w:pPr>
        <w:ind w:left="6480" w:hanging="360"/>
      </w:pPr>
      <w:rPr>
        <w:rFonts w:ascii="Wingdings" w:hAnsi="Wingdings" w:hint="default"/>
      </w:rPr>
    </w:lvl>
  </w:abstractNum>
  <w:abstractNum w:abstractNumId="1" w15:restartNumberingAfterBreak="0">
    <w:nsid w:val="0332D373"/>
    <w:multiLevelType w:val="hybridMultilevel"/>
    <w:tmpl w:val="778EF74E"/>
    <w:lvl w:ilvl="0" w:tplc="3230C1CC">
      <w:start w:val="1"/>
      <w:numFmt w:val="bullet"/>
      <w:lvlText w:val=""/>
      <w:lvlJc w:val="left"/>
      <w:pPr>
        <w:ind w:left="720" w:hanging="360"/>
      </w:pPr>
      <w:rPr>
        <w:rFonts w:ascii="Symbol" w:hAnsi="Symbol" w:hint="default"/>
      </w:rPr>
    </w:lvl>
    <w:lvl w:ilvl="1" w:tplc="5B1009F0">
      <w:start w:val="1"/>
      <w:numFmt w:val="bullet"/>
      <w:lvlText w:val="o"/>
      <w:lvlJc w:val="left"/>
      <w:pPr>
        <w:ind w:left="1440" w:hanging="360"/>
      </w:pPr>
      <w:rPr>
        <w:rFonts w:ascii="Courier New" w:hAnsi="Courier New" w:hint="default"/>
      </w:rPr>
    </w:lvl>
    <w:lvl w:ilvl="2" w:tplc="82768F94">
      <w:start w:val="1"/>
      <w:numFmt w:val="bullet"/>
      <w:lvlText w:val=""/>
      <w:lvlJc w:val="left"/>
      <w:pPr>
        <w:ind w:left="2160" w:hanging="360"/>
      </w:pPr>
      <w:rPr>
        <w:rFonts w:ascii="Wingdings" w:hAnsi="Wingdings" w:hint="default"/>
      </w:rPr>
    </w:lvl>
    <w:lvl w:ilvl="3" w:tplc="C1D461C6">
      <w:start w:val="1"/>
      <w:numFmt w:val="bullet"/>
      <w:lvlText w:val=""/>
      <w:lvlJc w:val="left"/>
      <w:pPr>
        <w:ind w:left="2880" w:hanging="360"/>
      </w:pPr>
      <w:rPr>
        <w:rFonts w:ascii="Symbol" w:hAnsi="Symbol" w:hint="default"/>
      </w:rPr>
    </w:lvl>
    <w:lvl w:ilvl="4" w:tplc="7D50DA26">
      <w:start w:val="1"/>
      <w:numFmt w:val="bullet"/>
      <w:lvlText w:val="o"/>
      <w:lvlJc w:val="left"/>
      <w:pPr>
        <w:ind w:left="3600" w:hanging="360"/>
      </w:pPr>
      <w:rPr>
        <w:rFonts w:ascii="Courier New" w:hAnsi="Courier New" w:hint="default"/>
      </w:rPr>
    </w:lvl>
    <w:lvl w:ilvl="5" w:tplc="8F6ED8A0">
      <w:start w:val="1"/>
      <w:numFmt w:val="bullet"/>
      <w:lvlText w:val=""/>
      <w:lvlJc w:val="left"/>
      <w:pPr>
        <w:ind w:left="4320" w:hanging="360"/>
      </w:pPr>
      <w:rPr>
        <w:rFonts w:ascii="Wingdings" w:hAnsi="Wingdings" w:hint="default"/>
      </w:rPr>
    </w:lvl>
    <w:lvl w:ilvl="6" w:tplc="292264DA">
      <w:start w:val="1"/>
      <w:numFmt w:val="bullet"/>
      <w:lvlText w:val=""/>
      <w:lvlJc w:val="left"/>
      <w:pPr>
        <w:ind w:left="5040" w:hanging="360"/>
      </w:pPr>
      <w:rPr>
        <w:rFonts w:ascii="Symbol" w:hAnsi="Symbol" w:hint="default"/>
      </w:rPr>
    </w:lvl>
    <w:lvl w:ilvl="7" w:tplc="6B563F98">
      <w:start w:val="1"/>
      <w:numFmt w:val="bullet"/>
      <w:lvlText w:val="o"/>
      <w:lvlJc w:val="left"/>
      <w:pPr>
        <w:ind w:left="5760" w:hanging="360"/>
      </w:pPr>
      <w:rPr>
        <w:rFonts w:ascii="Courier New" w:hAnsi="Courier New" w:hint="default"/>
      </w:rPr>
    </w:lvl>
    <w:lvl w:ilvl="8" w:tplc="275092FC">
      <w:start w:val="1"/>
      <w:numFmt w:val="bullet"/>
      <w:lvlText w:val=""/>
      <w:lvlJc w:val="left"/>
      <w:pPr>
        <w:ind w:left="6480" w:hanging="360"/>
      </w:pPr>
      <w:rPr>
        <w:rFonts w:ascii="Wingdings" w:hAnsi="Wingdings" w:hint="default"/>
      </w:rPr>
    </w:lvl>
  </w:abstractNum>
  <w:abstractNum w:abstractNumId="2" w15:restartNumberingAfterBreak="0">
    <w:nsid w:val="0F666460"/>
    <w:multiLevelType w:val="multilevel"/>
    <w:tmpl w:val="E0C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B819"/>
    <w:multiLevelType w:val="hybridMultilevel"/>
    <w:tmpl w:val="86282F62"/>
    <w:lvl w:ilvl="0" w:tplc="432ED26C">
      <w:start w:val="1"/>
      <w:numFmt w:val="decimal"/>
      <w:lvlText w:val="%1."/>
      <w:lvlJc w:val="left"/>
      <w:pPr>
        <w:ind w:left="360" w:hanging="360"/>
      </w:pPr>
    </w:lvl>
    <w:lvl w:ilvl="1" w:tplc="2E025414">
      <w:start w:val="1"/>
      <w:numFmt w:val="lowerLetter"/>
      <w:lvlText w:val="%2."/>
      <w:lvlJc w:val="left"/>
      <w:pPr>
        <w:ind w:left="1080" w:hanging="360"/>
      </w:pPr>
    </w:lvl>
    <w:lvl w:ilvl="2" w:tplc="E6608CE6">
      <w:start w:val="1"/>
      <w:numFmt w:val="lowerRoman"/>
      <w:lvlText w:val="%3."/>
      <w:lvlJc w:val="right"/>
      <w:pPr>
        <w:ind w:left="1800" w:hanging="180"/>
      </w:pPr>
    </w:lvl>
    <w:lvl w:ilvl="3" w:tplc="FBA6B5B4">
      <w:start w:val="1"/>
      <w:numFmt w:val="decimal"/>
      <w:lvlText w:val="%4."/>
      <w:lvlJc w:val="left"/>
      <w:pPr>
        <w:ind w:left="2520" w:hanging="360"/>
      </w:pPr>
    </w:lvl>
    <w:lvl w:ilvl="4" w:tplc="57361FFC">
      <w:start w:val="1"/>
      <w:numFmt w:val="lowerLetter"/>
      <w:lvlText w:val="%5."/>
      <w:lvlJc w:val="left"/>
      <w:pPr>
        <w:ind w:left="3240" w:hanging="360"/>
      </w:pPr>
    </w:lvl>
    <w:lvl w:ilvl="5" w:tplc="881291DE">
      <w:start w:val="1"/>
      <w:numFmt w:val="lowerRoman"/>
      <w:lvlText w:val="%6."/>
      <w:lvlJc w:val="right"/>
      <w:pPr>
        <w:ind w:left="3960" w:hanging="180"/>
      </w:pPr>
    </w:lvl>
    <w:lvl w:ilvl="6" w:tplc="7EF4C1C4">
      <w:start w:val="1"/>
      <w:numFmt w:val="decimal"/>
      <w:lvlText w:val="%7."/>
      <w:lvlJc w:val="left"/>
      <w:pPr>
        <w:ind w:left="4680" w:hanging="360"/>
      </w:pPr>
    </w:lvl>
    <w:lvl w:ilvl="7" w:tplc="1AA82676">
      <w:start w:val="1"/>
      <w:numFmt w:val="lowerLetter"/>
      <w:lvlText w:val="%8."/>
      <w:lvlJc w:val="left"/>
      <w:pPr>
        <w:ind w:left="5400" w:hanging="360"/>
      </w:pPr>
    </w:lvl>
    <w:lvl w:ilvl="8" w:tplc="F912C156">
      <w:start w:val="1"/>
      <w:numFmt w:val="lowerRoman"/>
      <w:lvlText w:val="%9."/>
      <w:lvlJc w:val="right"/>
      <w:pPr>
        <w:ind w:left="6120" w:hanging="180"/>
      </w:pPr>
    </w:lvl>
  </w:abstractNum>
  <w:abstractNum w:abstractNumId="4" w15:restartNumberingAfterBreak="0">
    <w:nsid w:val="12A45888"/>
    <w:multiLevelType w:val="multilevel"/>
    <w:tmpl w:val="605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C64"/>
    <w:multiLevelType w:val="multilevel"/>
    <w:tmpl w:val="F20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16F7F"/>
    <w:multiLevelType w:val="hybridMultilevel"/>
    <w:tmpl w:val="A7FAC62C"/>
    <w:lvl w:ilvl="0" w:tplc="436CD512">
      <w:start w:val="1"/>
      <w:numFmt w:val="decimal"/>
      <w:lvlText w:val="%1."/>
      <w:lvlJc w:val="left"/>
      <w:pPr>
        <w:ind w:left="360" w:hanging="360"/>
      </w:pPr>
    </w:lvl>
    <w:lvl w:ilvl="1" w:tplc="AAA60C88">
      <w:start w:val="1"/>
      <w:numFmt w:val="lowerLetter"/>
      <w:lvlText w:val="%2."/>
      <w:lvlJc w:val="left"/>
      <w:pPr>
        <w:ind w:left="1080" w:hanging="360"/>
      </w:pPr>
    </w:lvl>
    <w:lvl w:ilvl="2" w:tplc="FD96E9C8">
      <w:start w:val="1"/>
      <w:numFmt w:val="lowerRoman"/>
      <w:lvlText w:val="%3."/>
      <w:lvlJc w:val="right"/>
      <w:pPr>
        <w:ind w:left="1800" w:hanging="180"/>
      </w:pPr>
    </w:lvl>
    <w:lvl w:ilvl="3" w:tplc="3F285766">
      <w:start w:val="1"/>
      <w:numFmt w:val="decimal"/>
      <w:lvlText w:val="%4."/>
      <w:lvlJc w:val="left"/>
      <w:pPr>
        <w:ind w:left="2520" w:hanging="360"/>
      </w:pPr>
    </w:lvl>
    <w:lvl w:ilvl="4" w:tplc="4DA2CCB8">
      <w:start w:val="1"/>
      <w:numFmt w:val="lowerLetter"/>
      <w:lvlText w:val="%5."/>
      <w:lvlJc w:val="left"/>
      <w:pPr>
        <w:ind w:left="3240" w:hanging="360"/>
      </w:pPr>
    </w:lvl>
    <w:lvl w:ilvl="5" w:tplc="2E0ABD66">
      <w:start w:val="1"/>
      <w:numFmt w:val="lowerRoman"/>
      <w:lvlText w:val="%6."/>
      <w:lvlJc w:val="right"/>
      <w:pPr>
        <w:ind w:left="3960" w:hanging="180"/>
      </w:pPr>
    </w:lvl>
    <w:lvl w:ilvl="6" w:tplc="73FE4CE2">
      <w:start w:val="1"/>
      <w:numFmt w:val="decimal"/>
      <w:lvlText w:val="%7."/>
      <w:lvlJc w:val="left"/>
      <w:pPr>
        <w:ind w:left="4680" w:hanging="360"/>
      </w:pPr>
    </w:lvl>
    <w:lvl w:ilvl="7" w:tplc="C8F4B6DC">
      <w:start w:val="1"/>
      <w:numFmt w:val="lowerLetter"/>
      <w:lvlText w:val="%8."/>
      <w:lvlJc w:val="left"/>
      <w:pPr>
        <w:ind w:left="5400" w:hanging="360"/>
      </w:pPr>
    </w:lvl>
    <w:lvl w:ilvl="8" w:tplc="A530B426">
      <w:start w:val="1"/>
      <w:numFmt w:val="lowerRoman"/>
      <w:lvlText w:val="%9."/>
      <w:lvlJc w:val="right"/>
      <w:pPr>
        <w:ind w:left="6120" w:hanging="180"/>
      </w:pPr>
    </w:lvl>
  </w:abstractNum>
  <w:abstractNum w:abstractNumId="7" w15:restartNumberingAfterBreak="0">
    <w:nsid w:val="4A8B0D70"/>
    <w:multiLevelType w:val="multilevel"/>
    <w:tmpl w:val="845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17ED0"/>
    <w:multiLevelType w:val="hybridMultilevel"/>
    <w:tmpl w:val="07442CC8"/>
    <w:lvl w:ilvl="0" w:tplc="496C116A">
      <w:start w:val="1"/>
      <w:numFmt w:val="decimal"/>
      <w:lvlText w:val="%1."/>
      <w:lvlJc w:val="left"/>
      <w:pPr>
        <w:ind w:left="360" w:hanging="360"/>
      </w:pPr>
    </w:lvl>
    <w:lvl w:ilvl="1" w:tplc="684A771C">
      <w:start w:val="1"/>
      <w:numFmt w:val="lowerLetter"/>
      <w:lvlText w:val="%2."/>
      <w:lvlJc w:val="left"/>
      <w:pPr>
        <w:ind w:left="1080" w:hanging="360"/>
      </w:pPr>
    </w:lvl>
    <w:lvl w:ilvl="2" w:tplc="D9E8430A">
      <w:start w:val="1"/>
      <w:numFmt w:val="lowerRoman"/>
      <w:lvlText w:val="%3."/>
      <w:lvlJc w:val="right"/>
      <w:pPr>
        <w:ind w:left="1800" w:hanging="180"/>
      </w:pPr>
    </w:lvl>
    <w:lvl w:ilvl="3" w:tplc="4FEC8768">
      <w:start w:val="1"/>
      <w:numFmt w:val="decimal"/>
      <w:lvlText w:val="%4."/>
      <w:lvlJc w:val="left"/>
      <w:pPr>
        <w:ind w:left="2520" w:hanging="360"/>
      </w:pPr>
    </w:lvl>
    <w:lvl w:ilvl="4" w:tplc="2B50F78A">
      <w:start w:val="1"/>
      <w:numFmt w:val="lowerLetter"/>
      <w:lvlText w:val="%5."/>
      <w:lvlJc w:val="left"/>
      <w:pPr>
        <w:ind w:left="3240" w:hanging="360"/>
      </w:pPr>
    </w:lvl>
    <w:lvl w:ilvl="5" w:tplc="FA924AB0">
      <w:start w:val="1"/>
      <w:numFmt w:val="lowerRoman"/>
      <w:lvlText w:val="%6."/>
      <w:lvlJc w:val="right"/>
      <w:pPr>
        <w:ind w:left="3960" w:hanging="180"/>
      </w:pPr>
    </w:lvl>
    <w:lvl w:ilvl="6" w:tplc="B5FC02EC">
      <w:start w:val="1"/>
      <w:numFmt w:val="decimal"/>
      <w:lvlText w:val="%7."/>
      <w:lvlJc w:val="left"/>
      <w:pPr>
        <w:ind w:left="4680" w:hanging="360"/>
      </w:pPr>
    </w:lvl>
    <w:lvl w:ilvl="7" w:tplc="79925E54">
      <w:start w:val="1"/>
      <w:numFmt w:val="lowerLetter"/>
      <w:lvlText w:val="%8."/>
      <w:lvlJc w:val="left"/>
      <w:pPr>
        <w:ind w:left="5400" w:hanging="360"/>
      </w:pPr>
    </w:lvl>
    <w:lvl w:ilvl="8" w:tplc="10B44364">
      <w:start w:val="1"/>
      <w:numFmt w:val="lowerRoman"/>
      <w:lvlText w:val="%9."/>
      <w:lvlJc w:val="right"/>
      <w:pPr>
        <w:ind w:left="6120" w:hanging="180"/>
      </w:pPr>
    </w:lvl>
  </w:abstractNum>
  <w:num w:numId="1" w16cid:durableId="674038529">
    <w:abstractNumId w:val="8"/>
  </w:num>
  <w:num w:numId="2" w16cid:durableId="805319005">
    <w:abstractNumId w:val="6"/>
  </w:num>
  <w:num w:numId="3" w16cid:durableId="1225724707">
    <w:abstractNumId w:val="3"/>
  </w:num>
  <w:num w:numId="4" w16cid:durableId="1215852784">
    <w:abstractNumId w:val="0"/>
  </w:num>
  <w:num w:numId="5" w16cid:durableId="1784962871">
    <w:abstractNumId w:val="1"/>
  </w:num>
  <w:num w:numId="6" w16cid:durableId="1718434946">
    <w:abstractNumId w:val="5"/>
  </w:num>
  <w:num w:numId="7" w16cid:durableId="52775445">
    <w:abstractNumId w:val="2"/>
  </w:num>
  <w:num w:numId="8" w16cid:durableId="2108500961">
    <w:abstractNumId w:val="7"/>
  </w:num>
  <w:num w:numId="9" w16cid:durableId="1434779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080B45"/>
    <w:rsid w:val="00147B8F"/>
    <w:rsid w:val="00257AE4"/>
    <w:rsid w:val="002A6515"/>
    <w:rsid w:val="0032190A"/>
    <w:rsid w:val="0039DE4D"/>
    <w:rsid w:val="0040263E"/>
    <w:rsid w:val="00466DC4"/>
    <w:rsid w:val="00530805"/>
    <w:rsid w:val="006B028F"/>
    <w:rsid w:val="00874342"/>
    <w:rsid w:val="008F2D01"/>
    <w:rsid w:val="009E4CC7"/>
    <w:rsid w:val="00A0DA76"/>
    <w:rsid w:val="00A401C6"/>
    <w:rsid w:val="00A50D70"/>
    <w:rsid w:val="00A80167"/>
    <w:rsid w:val="00B2170B"/>
    <w:rsid w:val="00B45E0E"/>
    <w:rsid w:val="00BB6963"/>
    <w:rsid w:val="00C14F62"/>
    <w:rsid w:val="00DB3A5A"/>
    <w:rsid w:val="00EC369E"/>
    <w:rsid w:val="00FEF92A"/>
    <w:rsid w:val="01262C87"/>
    <w:rsid w:val="015E6131"/>
    <w:rsid w:val="01BB415F"/>
    <w:rsid w:val="01D88DB9"/>
    <w:rsid w:val="0210F2C4"/>
    <w:rsid w:val="0255F8D7"/>
    <w:rsid w:val="026863D8"/>
    <w:rsid w:val="02E04937"/>
    <w:rsid w:val="03249B9A"/>
    <w:rsid w:val="0339CED8"/>
    <w:rsid w:val="03BC5E59"/>
    <w:rsid w:val="03E0CADC"/>
    <w:rsid w:val="0431257D"/>
    <w:rsid w:val="0444708C"/>
    <w:rsid w:val="04986FEB"/>
    <w:rsid w:val="049DEA90"/>
    <w:rsid w:val="04EDCAA6"/>
    <w:rsid w:val="05154B4E"/>
    <w:rsid w:val="052E56B5"/>
    <w:rsid w:val="05B829CD"/>
    <w:rsid w:val="05CF56BC"/>
    <w:rsid w:val="05F8790E"/>
    <w:rsid w:val="068AE369"/>
    <w:rsid w:val="0735D306"/>
    <w:rsid w:val="076AFE8E"/>
    <w:rsid w:val="07B13020"/>
    <w:rsid w:val="07D17F9C"/>
    <w:rsid w:val="07E2DE1D"/>
    <w:rsid w:val="092A2B4A"/>
    <w:rsid w:val="092F9D07"/>
    <w:rsid w:val="09352AEE"/>
    <w:rsid w:val="09AB22C2"/>
    <w:rsid w:val="09D03051"/>
    <w:rsid w:val="09E77129"/>
    <w:rsid w:val="09F88E5E"/>
    <w:rsid w:val="0A01A014"/>
    <w:rsid w:val="0A15BA4C"/>
    <w:rsid w:val="0A6B7DE9"/>
    <w:rsid w:val="0C48085C"/>
    <w:rsid w:val="0C499B8C"/>
    <w:rsid w:val="0D8D4849"/>
    <w:rsid w:val="0DDED771"/>
    <w:rsid w:val="0DE3027C"/>
    <w:rsid w:val="0DEFF69A"/>
    <w:rsid w:val="0E6B15F1"/>
    <w:rsid w:val="0E95BD88"/>
    <w:rsid w:val="0EF5C866"/>
    <w:rsid w:val="0F8CEF33"/>
    <w:rsid w:val="0FF1B931"/>
    <w:rsid w:val="10C8EC4F"/>
    <w:rsid w:val="10D14341"/>
    <w:rsid w:val="110993D7"/>
    <w:rsid w:val="11B50554"/>
    <w:rsid w:val="126F3C32"/>
    <w:rsid w:val="12F61899"/>
    <w:rsid w:val="13105BF1"/>
    <w:rsid w:val="1357AAE8"/>
    <w:rsid w:val="138CF1C5"/>
    <w:rsid w:val="13D60997"/>
    <w:rsid w:val="14481B7A"/>
    <w:rsid w:val="14C107BA"/>
    <w:rsid w:val="14F7A702"/>
    <w:rsid w:val="15239299"/>
    <w:rsid w:val="152848A5"/>
    <w:rsid w:val="155E3B4B"/>
    <w:rsid w:val="160ABE04"/>
    <w:rsid w:val="16441575"/>
    <w:rsid w:val="16585BD0"/>
    <w:rsid w:val="16BFF3FE"/>
    <w:rsid w:val="171F8B7A"/>
    <w:rsid w:val="177D7329"/>
    <w:rsid w:val="17CD48F8"/>
    <w:rsid w:val="17D0F1D8"/>
    <w:rsid w:val="18C5AF61"/>
    <w:rsid w:val="190DB70E"/>
    <w:rsid w:val="1913FDDA"/>
    <w:rsid w:val="195E299D"/>
    <w:rsid w:val="19AADE97"/>
    <w:rsid w:val="19BBFB49"/>
    <w:rsid w:val="19D0B824"/>
    <w:rsid w:val="1A09F2BF"/>
    <w:rsid w:val="1A32D20A"/>
    <w:rsid w:val="1A59ADF9"/>
    <w:rsid w:val="1A8533AD"/>
    <w:rsid w:val="1AC15BD5"/>
    <w:rsid w:val="1B400F01"/>
    <w:rsid w:val="1B950E9A"/>
    <w:rsid w:val="1BED16DD"/>
    <w:rsid w:val="1C9A409D"/>
    <w:rsid w:val="1CFCA8B9"/>
    <w:rsid w:val="1D712247"/>
    <w:rsid w:val="1DB74932"/>
    <w:rsid w:val="1DE06E14"/>
    <w:rsid w:val="1DFF5B27"/>
    <w:rsid w:val="1E73D8F9"/>
    <w:rsid w:val="1E90296A"/>
    <w:rsid w:val="1F2AE0F4"/>
    <w:rsid w:val="1FA45E2B"/>
    <w:rsid w:val="1FFF220E"/>
    <w:rsid w:val="20AC3798"/>
    <w:rsid w:val="20C86DA2"/>
    <w:rsid w:val="21085ECB"/>
    <w:rsid w:val="2139DB36"/>
    <w:rsid w:val="214FC223"/>
    <w:rsid w:val="223914B7"/>
    <w:rsid w:val="225434D8"/>
    <w:rsid w:val="225DDA69"/>
    <w:rsid w:val="2287C3D2"/>
    <w:rsid w:val="2342D75E"/>
    <w:rsid w:val="237B5FED"/>
    <w:rsid w:val="238C515D"/>
    <w:rsid w:val="23A507F0"/>
    <w:rsid w:val="23B574E9"/>
    <w:rsid w:val="23E5F214"/>
    <w:rsid w:val="23F0773D"/>
    <w:rsid w:val="2460DB65"/>
    <w:rsid w:val="248E663C"/>
    <w:rsid w:val="24FA5A53"/>
    <w:rsid w:val="2538FA27"/>
    <w:rsid w:val="2578D328"/>
    <w:rsid w:val="26295791"/>
    <w:rsid w:val="269DBFA6"/>
    <w:rsid w:val="275EEA96"/>
    <w:rsid w:val="275F54A3"/>
    <w:rsid w:val="27D6FD5F"/>
    <w:rsid w:val="281B95DC"/>
    <w:rsid w:val="28DAE8B6"/>
    <w:rsid w:val="290606AB"/>
    <w:rsid w:val="2A0C909D"/>
    <w:rsid w:val="2AC5DAC4"/>
    <w:rsid w:val="2B29F348"/>
    <w:rsid w:val="2B77190F"/>
    <w:rsid w:val="2B9C4B9C"/>
    <w:rsid w:val="2BE19302"/>
    <w:rsid w:val="2C21DE87"/>
    <w:rsid w:val="2C57FE1D"/>
    <w:rsid w:val="2D13C5B6"/>
    <w:rsid w:val="2D288081"/>
    <w:rsid w:val="2D70083D"/>
    <w:rsid w:val="2D8252D0"/>
    <w:rsid w:val="2DEF7A94"/>
    <w:rsid w:val="2E09B9A7"/>
    <w:rsid w:val="2E1DEE8D"/>
    <w:rsid w:val="2E57E7AC"/>
    <w:rsid w:val="2E88AA7A"/>
    <w:rsid w:val="2EFC6CAC"/>
    <w:rsid w:val="2F0197DB"/>
    <w:rsid w:val="2F436E23"/>
    <w:rsid w:val="2F4A1067"/>
    <w:rsid w:val="2FD9FEDA"/>
    <w:rsid w:val="3064021F"/>
    <w:rsid w:val="314F546A"/>
    <w:rsid w:val="31B51836"/>
    <w:rsid w:val="32836401"/>
    <w:rsid w:val="32903D3F"/>
    <w:rsid w:val="32E5D774"/>
    <w:rsid w:val="33347A55"/>
    <w:rsid w:val="339C62F3"/>
    <w:rsid w:val="33A536C0"/>
    <w:rsid w:val="33D41EE0"/>
    <w:rsid w:val="33F801D8"/>
    <w:rsid w:val="340223C9"/>
    <w:rsid w:val="34342526"/>
    <w:rsid w:val="346CD27C"/>
    <w:rsid w:val="350A4517"/>
    <w:rsid w:val="352E8C0E"/>
    <w:rsid w:val="3545BD9C"/>
    <w:rsid w:val="354D80C2"/>
    <w:rsid w:val="360B4045"/>
    <w:rsid w:val="3621F7AF"/>
    <w:rsid w:val="3629BD95"/>
    <w:rsid w:val="3680FABA"/>
    <w:rsid w:val="36DC3BBF"/>
    <w:rsid w:val="36F2CC82"/>
    <w:rsid w:val="371FBEAE"/>
    <w:rsid w:val="37491BE2"/>
    <w:rsid w:val="3766BEEB"/>
    <w:rsid w:val="37747630"/>
    <w:rsid w:val="378122BD"/>
    <w:rsid w:val="37A26806"/>
    <w:rsid w:val="37E496C6"/>
    <w:rsid w:val="37ED452A"/>
    <w:rsid w:val="37F3FD9C"/>
    <w:rsid w:val="38BCCFC6"/>
    <w:rsid w:val="38E66F8A"/>
    <w:rsid w:val="391F757B"/>
    <w:rsid w:val="3958E722"/>
    <w:rsid w:val="396A4808"/>
    <w:rsid w:val="39A39F5A"/>
    <w:rsid w:val="3A14604F"/>
    <w:rsid w:val="3A40513B"/>
    <w:rsid w:val="3A667D23"/>
    <w:rsid w:val="3AEA28B8"/>
    <w:rsid w:val="3B6DC201"/>
    <w:rsid w:val="3BE43088"/>
    <w:rsid w:val="3BF6FE95"/>
    <w:rsid w:val="3C542A2C"/>
    <w:rsid w:val="3CB5AC2A"/>
    <w:rsid w:val="3CF97B94"/>
    <w:rsid w:val="3D13E98E"/>
    <w:rsid w:val="3D8BE193"/>
    <w:rsid w:val="3DCC4589"/>
    <w:rsid w:val="3DDC0937"/>
    <w:rsid w:val="3DE1CA96"/>
    <w:rsid w:val="3EA5D46F"/>
    <w:rsid w:val="3EEA4A4F"/>
    <w:rsid w:val="3FD88F80"/>
    <w:rsid w:val="3FFBBAC4"/>
    <w:rsid w:val="404F1E83"/>
    <w:rsid w:val="406CD6AF"/>
    <w:rsid w:val="408E92EF"/>
    <w:rsid w:val="408FA1A4"/>
    <w:rsid w:val="409EA570"/>
    <w:rsid w:val="40A96945"/>
    <w:rsid w:val="411197B7"/>
    <w:rsid w:val="414D2DD8"/>
    <w:rsid w:val="4165B2B8"/>
    <w:rsid w:val="416B38DF"/>
    <w:rsid w:val="41B4F93B"/>
    <w:rsid w:val="4223A6F5"/>
    <w:rsid w:val="42327984"/>
    <w:rsid w:val="427FAD85"/>
    <w:rsid w:val="42ED382A"/>
    <w:rsid w:val="4313BB89"/>
    <w:rsid w:val="431B7B30"/>
    <w:rsid w:val="43304687"/>
    <w:rsid w:val="436F911D"/>
    <w:rsid w:val="43EBC7FF"/>
    <w:rsid w:val="441E9277"/>
    <w:rsid w:val="457F827A"/>
    <w:rsid w:val="45D2D263"/>
    <w:rsid w:val="45F80CEA"/>
    <w:rsid w:val="468BB961"/>
    <w:rsid w:val="46B2DA20"/>
    <w:rsid w:val="46F7FA7A"/>
    <w:rsid w:val="479598B2"/>
    <w:rsid w:val="47C41FD2"/>
    <w:rsid w:val="482D820A"/>
    <w:rsid w:val="486FF52D"/>
    <w:rsid w:val="48EF5FA2"/>
    <w:rsid w:val="496FB1F2"/>
    <w:rsid w:val="49B138F7"/>
    <w:rsid w:val="49C9B97D"/>
    <w:rsid w:val="49EC94E8"/>
    <w:rsid w:val="4ACC478E"/>
    <w:rsid w:val="4AE3D9FB"/>
    <w:rsid w:val="4AF29FC7"/>
    <w:rsid w:val="4B1A9C43"/>
    <w:rsid w:val="4B3EAF25"/>
    <w:rsid w:val="4B74C98F"/>
    <w:rsid w:val="4B92773B"/>
    <w:rsid w:val="4BAF356B"/>
    <w:rsid w:val="4BC5E190"/>
    <w:rsid w:val="4C4C7796"/>
    <w:rsid w:val="4D7143D0"/>
    <w:rsid w:val="4D9444BE"/>
    <w:rsid w:val="4DF663A7"/>
    <w:rsid w:val="4DFD1BA7"/>
    <w:rsid w:val="4E0E0DAB"/>
    <w:rsid w:val="4E2B16A1"/>
    <w:rsid w:val="4E8AC64A"/>
    <w:rsid w:val="4EA6AA34"/>
    <w:rsid w:val="4ECC821A"/>
    <w:rsid w:val="4ED34D0E"/>
    <w:rsid w:val="4F2F42C6"/>
    <w:rsid w:val="4FC2221F"/>
    <w:rsid w:val="4FEB3EDA"/>
    <w:rsid w:val="4FFD72BC"/>
    <w:rsid w:val="5037E17E"/>
    <w:rsid w:val="50D59183"/>
    <w:rsid w:val="50D83E40"/>
    <w:rsid w:val="519D5DCF"/>
    <w:rsid w:val="51C65204"/>
    <w:rsid w:val="51EAAC0C"/>
    <w:rsid w:val="51F36990"/>
    <w:rsid w:val="52312822"/>
    <w:rsid w:val="52346ECC"/>
    <w:rsid w:val="52357785"/>
    <w:rsid w:val="530639CE"/>
    <w:rsid w:val="53666966"/>
    <w:rsid w:val="538AC3F8"/>
    <w:rsid w:val="53F28270"/>
    <w:rsid w:val="545CD57A"/>
    <w:rsid w:val="54D6CED9"/>
    <w:rsid w:val="54EFF70E"/>
    <w:rsid w:val="552A1605"/>
    <w:rsid w:val="565A6357"/>
    <w:rsid w:val="568E5C84"/>
    <w:rsid w:val="56CEBF05"/>
    <w:rsid w:val="5790194A"/>
    <w:rsid w:val="57B34156"/>
    <w:rsid w:val="5810F2F8"/>
    <w:rsid w:val="58AE5101"/>
    <w:rsid w:val="58C7984E"/>
    <w:rsid w:val="58F4FEF6"/>
    <w:rsid w:val="592B59EC"/>
    <w:rsid w:val="5960AEB1"/>
    <w:rsid w:val="597F0039"/>
    <w:rsid w:val="59D8CA72"/>
    <w:rsid w:val="59F80466"/>
    <w:rsid w:val="59FAA33C"/>
    <w:rsid w:val="5A04B106"/>
    <w:rsid w:val="5A099CC2"/>
    <w:rsid w:val="5A703B9B"/>
    <w:rsid w:val="5A733DDA"/>
    <w:rsid w:val="5A831203"/>
    <w:rsid w:val="5B005D42"/>
    <w:rsid w:val="5B1DE0CF"/>
    <w:rsid w:val="5BD4BE48"/>
    <w:rsid w:val="5BF021E7"/>
    <w:rsid w:val="5BF69ED6"/>
    <w:rsid w:val="5CAF58DF"/>
    <w:rsid w:val="5D611DBC"/>
    <w:rsid w:val="5DE143E3"/>
    <w:rsid w:val="5DFD3765"/>
    <w:rsid w:val="5E4C37AE"/>
    <w:rsid w:val="5EC897E4"/>
    <w:rsid w:val="5ED71FDC"/>
    <w:rsid w:val="5F048740"/>
    <w:rsid w:val="5F1BD97D"/>
    <w:rsid w:val="5F7153FD"/>
    <w:rsid w:val="60462515"/>
    <w:rsid w:val="60742C0C"/>
    <w:rsid w:val="609B0912"/>
    <w:rsid w:val="60DE0F96"/>
    <w:rsid w:val="6114BCA9"/>
    <w:rsid w:val="616B85F2"/>
    <w:rsid w:val="61B1063E"/>
    <w:rsid w:val="62375818"/>
    <w:rsid w:val="628990B7"/>
    <w:rsid w:val="62A0C1D5"/>
    <w:rsid w:val="62A75B4D"/>
    <w:rsid w:val="62FF1275"/>
    <w:rsid w:val="6332EE8B"/>
    <w:rsid w:val="633984DD"/>
    <w:rsid w:val="634063E4"/>
    <w:rsid w:val="634F483A"/>
    <w:rsid w:val="63B7FB61"/>
    <w:rsid w:val="640C2792"/>
    <w:rsid w:val="640E90D1"/>
    <w:rsid w:val="649B484F"/>
    <w:rsid w:val="64ABAF91"/>
    <w:rsid w:val="650B411B"/>
    <w:rsid w:val="65111EC0"/>
    <w:rsid w:val="65EFEF16"/>
    <w:rsid w:val="6630AF6E"/>
    <w:rsid w:val="6646FF10"/>
    <w:rsid w:val="665FA111"/>
    <w:rsid w:val="6728635F"/>
    <w:rsid w:val="674F5921"/>
    <w:rsid w:val="6760538D"/>
    <w:rsid w:val="67730844"/>
    <w:rsid w:val="67DEDC88"/>
    <w:rsid w:val="6842341E"/>
    <w:rsid w:val="68E7B98C"/>
    <w:rsid w:val="69E0B4EB"/>
    <w:rsid w:val="69F21A03"/>
    <w:rsid w:val="69F9CDA7"/>
    <w:rsid w:val="69FA5807"/>
    <w:rsid w:val="6A21A86F"/>
    <w:rsid w:val="6A252B58"/>
    <w:rsid w:val="6A646762"/>
    <w:rsid w:val="6AD9196E"/>
    <w:rsid w:val="6B19FC29"/>
    <w:rsid w:val="6B5C40B6"/>
    <w:rsid w:val="6B6BEECA"/>
    <w:rsid w:val="6C36C503"/>
    <w:rsid w:val="6C49FC4A"/>
    <w:rsid w:val="6C700135"/>
    <w:rsid w:val="6CD92BFD"/>
    <w:rsid w:val="6D1023DD"/>
    <w:rsid w:val="6D464904"/>
    <w:rsid w:val="6DA4F0F5"/>
    <w:rsid w:val="6DD8BA2B"/>
    <w:rsid w:val="6E868E48"/>
    <w:rsid w:val="700D4CF1"/>
    <w:rsid w:val="703DB67C"/>
    <w:rsid w:val="704AD576"/>
    <w:rsid w:val="70D07413"/>
    <w:rsid w:val="7110EDFE"/>
    <w:rsid w:val="71A81D63"/>
    <w:rsid w:val="71B5A3A0"/>
    <w:rsid w:val="71F1E934"/>
    <w:rsid w:val="71FC4C6B"/>
    <w:rsid w:val="723E8E9F"/>
    <w:rsid w:val="726D0143"/>
    <w:rsid w:val="729B3B5F"/>
    <w:rsid w:val="7300BB2E"/>
    <w:rsid w:val="7315139D"/>
    <w:rsid w:val="7386571E"/>
    <w:rsid w:val="738FEFAD"/>
    <w:rsid w:val="740C70D6"/>
    <w:rsid w:val="7421D9D5"/>
    <w:rsid w:val="744528C2"/>
    <w:rsid w:val="74C45709"/>
    <w:rsid w:val="7547A99A"/>
    <w:rsid w:val="75890FA3"/>
    <w:rsid w:val="75AF89B8"/>
    <w:rsid w:val="76733A2B"/>
    <w:rsid w:val="76BE65B8"/>
    <w:rsid w:val="76C3DE30"/>
    <w:rsid w:val="76C65339"/>
    <w:rsid w:val="76FC1C49"/>
    <w:rsid w:val="77210F6F"/>
    <w:rsid w:val="776A9A27"/>
    <w:rsid w:val="777EDDB1"/>
    <w:rsid w:val="77976EDD"/>
    <w:rsid w:val="77DFC670"/>
    <w:rsid w:val="77E4047E"/>
    <w:rsid w:val="780037DA"/>
    <w:rsid w:val="7825ECB4"/>
    <w:rsid w:val="783A22CA"/>
    <w:rsid w:val="7880562B"/>
    <w:rsid w:val="78BCD882"/>
    <w:rsid w:val="7946D58F"/>
    <w:rsid w:val="7967644C"/>
    <w:rsid w:val="797EB597"/>
    <w:rsid w:val="798DCFAD"/>
    <w:rsid w:val="7BA6A6B4"/>
    <w:rsid w:val="7CC2224D"/>
    <w:rsid w:val="7CC6AFD7"/>
    <w:rsid w:val="7CCF9515"/>
    <w:rsid w:val="7CECFE4A"/>
    <w:rsid w:val="7D8A3BCB"/>
    <w:rsid w:val="7DA12E38"/>
    <w:rsid w:val="7E198C09"/>
    <w:rsid w:val="7E6EC207"/>
    <w:rsid w:val="7EA18FCF"/>
    <w:rsid w:val="7EA34DE2"/>
    <w:rsid w:val="7EBB1A85"/>
    <w:rsid w:val="7EE5DF8A"/>
    <w:rsid w:val="7F305370"/>
    <w:rsid w:val="7F3876F4"/>
    <w:rsid w:val="7F5603E1"/>
    <w:rsid w:val="7FD50BFD"/>
    <w:rsid w:val="7FF2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1187">
      <w:bodyDiv w:val="1"/>
      <w:marLeft w:val="0"/>
      <w:marRight w:val="0"/>
      <w:marTop w:val="0"/>
      <w:marBottom w:val="0"/>
      <w:divBdr>
        <w:top w:val="none" w:sz="0" w:space="0" w:color="auto"/>
        <w:left w:val="none" w:sz="0" w:space="0" w:color="auto"/>
        <w:bottom w:val="none" w:sz="0" w:space="0" w:color="auto"/>
        <w:right w:val="none" w:sz="0" w:space="0" w:color="auto"/>
      </w:divBdr>
    </w:div>
    <w:div w:id="21351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uredu-my.sharepoint.com/:w:/g/personal/elizabeth_sanchez_urosario_edu_co/ESJwvZRNLrFElzBImG9G-fEBV7B0gzHpQ8dUtbcQf7g-Jw?e=rrM7rs" TargetMode="External"/><Relationship Id="rId18" Type="http://schemas.openxmlformats.org/officeDocument/2006/relationships/hyperlink" Target="https://doi.org/10.3389/fpubh.2017.0001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reateabilityinc.com/2020/05/27/how-assistive-technology-helps-people-with-intellectual-disabilities-achieve-independence/" TargetMode="Externa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un-dco.org/stories/how-achieve-digital-accessibility-and-disability-inclusion-year-un-indonesias-journey,%20https://un-dco.org/stories/how-achieve-digital-accessibility-and-disability-inclusion-year-un-indonesias-journey"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esapublications.un.org/un-desa-voice/things-you-need-to-know/june-2024/4-things-you-should-know-about-rethinking" TargetMode="External"/><Relationship Id="rId20" Type="http://schemas.openxmlformats.org/officeDocument/2006/relationships/hyperlink" Target="https://doi.org/10.3390/soc13110231"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ess.un.org/en/2022/sgsm21321.doc.htm" TargetMode="External"/><Relationship Id="rId23" Type="http://schemas.openxmlformats.org/officeDocument/2006/relationships/hyperlink" Target="https://doi.org/10.1007/s12369-013-0202-2" TargetMode="External"/><Relationship Id="rId10" Type="http://schemas.openxmlformats.org/officeDocument/2006/relationships/image" Target="media/image1.png"/><Relationship Id="rId19" Type="http://schemas.openxmlformats.org/officeDocument/2006/relationships/hyperlink" Target="https://doi.org/10.1007/s41252-020-00179-2"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22201/iij.24487872e.2008.8.252" TargetMode="External"/><Relationship Id="rId22" Type="http://schemas.openxmlformats.org/officeDocument/2006/relationships/hyperlink" Target="https://doi.org/10.1136/bmjopen-2017-017533"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50D75-97CB-444A-912C-C1BBC5CE7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15552</Words>
  <Characters>85541</Characters>
  <Application>Microsoft Office Word</Application>
  <DocSecurity>0</DocSecurity>
  <Lines>712</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Mauricio Gonzalez Vargas</dc:creator>
  <cp:keywords/>
  <dc:description/>
  <cp:lastModifiedBy>Andres Mauricio Gonzalez Vargas</cp:lastModifiedBy>
  <cp:revision>3</cp:revision>
  <dcterms:created xsi:type="dcterms:W3CDTF">2024-10-28T22:54:00Z</dcterms:created>
  <dcterms:modified xsi:type="dcterms:W3CDTF">2024-10-28T22:59:00Z</dcterms:modified>
</cp:coreProperties>
</file>