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6DBF954E" w14:textId="410BF6C5" w:rsidR="00080B45" w:rsidRPr="00EC369E" w:rsidRDefault="00080B45" w:rsidP="38E66F8A"/>
    <w:p w14:paraId="3A5A4029" w14:textId="7AE35B50" w:rsidR="00080B45" w:rsidRPr="00EC369E" w:rsidRDefault="00C14F62" w:rsidP="38E66F8A">
      <w:commentRangeStart w:id="0"/>
      <w:commentRangeEnd w:id="0"/>
      <w:r>
        <w:commentReference w:id="0"/>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765A2099"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define that the</w:t>
      </w:r>
      <w:r w:rsidR="09AB22C2" w:rsidRPr="1F2AE0F4">
        <w:rPr>
          <w:rFonts w:ascii="Calibri" w:eastAsia="Calibri" w:hAnsi="Calibri" w:cs="Calibri"/>
          <w:color w:val="000000" w:themeColor="text1"/>
        </w:rPr>
        <w:t xml:space="preserve"> intellectual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The United Nations, within the framework of the Sustainable Development Goals, emphasizes the need to address ongoing barriers to the inclusion and participation of Persons with Disabilities (PwD)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PwD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PwD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(Toboso Martín, M &amp; Arnau Ripollés,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PwD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has underlined the importance of technological innovation in creating accessible futures and the necessity of international </w:t>
      </w:r>
      <w:r w:rsidRPr="00EC369E">
        <w:rPr>
          <w:rFonts w:ascii="Calibri" w:eastAsia="Calibri" w:hAnsi="Calibri" w:cs="Calibri"/>
          <w:color w:val="000000" w:themeColor="text1"/>
        </w:rPr>
        <w:lastRenderedPageBreak/>
        <w:t>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r w:rsidR="0444708C" w:rsidRPr="1F2AE0F4">
        <w:rPr>
          <w:rFonts w:ascii="Calibri" w:eastAsia="Calibri" w:hAnsi="Calibri" w:cs="Calibri"/>
        </w:rPr>
        <w:t>Marinaci,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The methodology describes the process used to search for and select articles and information, where inclusion and exclusion criteria were applied, in addition to using a variety of filters and criteria to ensure the inclusion of relevant studies and the robustness of the analysis. </w:t>
      </w:r>
      <w:r w:rsidRPr="1F2AE0F4">
        <w:rPr>
          <w:rFonts w:ascii="Calibri" w:eastAsia="Calibri" w:hAnsi="Calibri" w:cs="Calibri"/>
          <w:color w:val="000000" w:themeColor="text1"/>
        </w:rPr>
        <w:lastRenderedPageBreak/>
        <w:t>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 the discussion 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specifically Scopus, PubMed, LENS, and Semantic Scholar, to identify studies investi-</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and training of individuals with intellectual and developmental disabilities, particu-</w:t>
      </w:r>
      <w:r w:rsidR="00C14F62">
        <w:br/>
      </w:r>
      <w:r w:rsidRPr="38E66F8A">
        <w:rPr>
          <w:rFonts w:ascii="Calibri" w:eastAsia="Calibri" w:hAnsi="Calibri" w:cs="Calibri"/>
        </w:rPr>
        <w:t>larly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”cogni-</w:t>
      </w:r>
      <w:r w:rsidR="00C14F62">
        <w:br/>
      </w:r>
      <w:r w:rsidRPr="38E66F8A">
        <w:rPr>
          <w:rFonts w:ascii="Calibri" w:eastAsia="Calibri" w:hAnsi="Calibri" w:cs="Calibri"/>
        </w:rPr>
        <w:t>tive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2. Is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r w:rsidRPr="2B77190F">
        <w:rPr>
          <w:rFonts w:ascii="Calibri" w:eastAsia="Calibri" w:hAnsi="Calibri" w:cs="Calibri"/>
        </w:rPr>
        <w:t>dren,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r w:rsidRPr="2B77190F">
        <w:rPr>
          <w:rFonts w:ascii="Calibri" w:eastAsia="Calibri" w:hAnsi="Calibri" w:cs="Calibri"/>
        </w:rPr>
        <w:t>cific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\ref{tab:my-table}.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13">
        <w:r w:rsidRPr="1F2AE0F4">
          <w:rPr>
            <w:rStyle w:val="Hyperlink"/>
            <w:rFonts w:ascii="Calibri" w:eastAsia="Calibri" w:hAnsi="Calibri" w:cs="Calibri"/>
          </w:rPr>
          <w:t>Review_FORTIVA_Tabla.docx</w:t>
        </w:r>
      </w:hyperlink>
    </w:p>
    <w:p w14:paraId="20B7F549" w14:textId="6FE29F00"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28CD3A2">
            <wp:extent cx="6927494" cy="2456815"/>
            <wp:effectExtent l="0" t="0" r="6985" b="635"/>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B0C3B2" w14:textId="77777777" w:rsidR="00543AFB" w:rsidRDefault="00543AFB" w:rsidP="00A8016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r>
              <w:rPr>
                <w:rFonts w:eastAsia="Calibri"/>
                <w:lang w:val="es-ES"/>
              </w:rPr>
              <w:t>Skill</w:t>
            </w:r>
            <w:r w:rsidR="001A65DE">
              <w:rPr>
                <w:rFonts w:eastAsia="Calibri"/>
                <w:lang w:val="es-ES"/>
              </w:rPr>
              <w:t>s</w:t>
            </w:r>
            <w:r>
              <w:rPr>
                <w:rFonts w:eastAsia="Calibri"/>
                <w:lang w:val="es-ES"/>
              </w:rPr>
              <w:t xml:space="preserve"> Catego</w:t>
            </w:r>
            <w:r w:rsidR="00035BF4">
              <w:rPr>
                <w:rFonts w:eastAsia="Calibri"/>
                <w:lang w:val="es-ES"/>
              </w:rPr>
              <w:t>ry</w:t>
            </w:r>
          </w:p>
        </w:tc>
        <w:tc>
          <w:tcPr>
            <w:tcW w:w="7228" w:type="dxa"/>
          </w:tcPr>
          <w:p w14:paraId="6F7708FA" w14:textId="106F0CDF" w:rsidR="00543AFB" w:rsidRDefault="00543AFB" w:rsidP="00A80167">
            <w:pPr>
              <w:rPr>
                <w:rFonts w:eastAsia="Calibri"/>
                <w:lang w:val="es-ES"/>
              </w:rPr>
            </w:pPr>
            <w:r>
              <w:rPr>
                <w:rFonts w:eastAsia="Calibri"/>
                <w:lang w:val="es-ES"/>
              </w:rPr>
              <w:t xml:space="preserve">Relevant </w:t>
            </w:r>
            <w:r w:rsidR="00035BF4">
              <w:rPr>
                <w:rFonts w:eastAsia="Calibri"/>
                <w:lang w:val="es-ES"/>
              </w:rPr>
              <w:t>Articles</w:t>
            </w:r>
          </w:p>
        </w:tc>
      </w:tr>
      <w:tr w:rsidR="00543AFB" w:rsidRPr="00120362"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Social Communication</w:t>
            </w:r>
          </w:p>
        </w:tc>
        <w:tc>
          <w:tcPr>
            <w:tcW w:w="7228" w:type="dxa"/>
          </w:tcPr>
          <w:p w14:paraId="4E975135" w14:textId="3C61A908" w:rsidR="00543AFB" w:rsidRDefault="00543AFB" w:rsidP="00A80167">
            <w:pPr>
              <w:rPr>
                <w:rFonts w:eastAsia="Calibri"/>
                <w:lang w:val="es-ES"/>
              </w:rPr>
            </w:pPr>
            <w:r w:rsidRPr="00543AFB">
              <w:rPr>
                <w:lang w:val="es-ES"/>
              </w:rPr>
              <w:t>Lee et al., 2013; Carlson et al., 2018; Kajopoulos et al., 2015; Silvera-Tawil et al., 2018; Talaei-Khoeli et al., 2017; Tobar et al., 2021; Taheri et al., 2016, Taheri et al., 2019; Silva et al., 2023; Miskam et al., 2013; She &amp; Ren, 202; Scassellati et al., 2018; Zhanatkyzy et al., 2020; and Marathaki et al.</w:t>
            </w:r>
            <w:r w:rsidR="00352C84">
              <w:rPr>
                <w:lang w:val="es-ES"/>
              </w:rPr>
              <w:t xml:space="preserve">, </w:t>
            </w:r>
            <w:r w:rsidRPr="00352C84">
              <w:rPr>
                <w:lang w:val="es-ES"/>
              </w:rPr>
              <w:t>2022</w:t>
            </w:r>
            <w:r w:rsidR="00352C84">
              <w:rPr>
                <w:lang w:val="es-ES"/>
              </w:rPr>
              <w:t>.</w:t>
            </w:r>
          </w:p>
        </w:tc>
      </w:tr>
      <w:tr w:rsidR="00543AFB" w:rsidRPr="00120362"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Social Cognition</w:t>
            </w:r>
          </w:p>
        </w:tc>
        <w:tc>
          <w:tcPr>
            <w:tcW w:w="7228" w:type="dxa"/>
          </w:tcPr>
          <w:p w14:paraId="617DB870" w14:textId="1E256212" w:rsidR="00543AFB" w:rsidRPr="00543AFB" w:rsidRDefault="00543AFB" w:rsidP="00A80167">
            <w:pPr>
              <w:rPr>
                <w:lang w:val="es-ES"/>
              </w:rPr>
            </w:pPr>
            <w:r w:rsidRPr="00543AFB">
              <w:rPr>
                <w:lang w:val="es-ES"/>
              </w:rPr>
              <w:t>Scassellati, 2018; Alnajjar et al., 2021; Carlson et al., 2018; Charron et al., 2017; Kajopoulos et al., 2015; Lebersfeld et al., 2018; Li et al., 2020; Tartarisco et al., 2022</w:t>
            </w:r>
            <w:r w:rsidR="00352C84">
              <w:rPr>
                <w:lang w:val="es-ES"/>
              </w:rPr>
              <w:t xml:space="preserve">; </w:t>
            </w:r>
            <w:r w:rsidRPr="00543AFB">
              <w:rPr>
                <w:lang w:val="es-ES"/>
              </w:rPr>
              <w:t>Valadao et al., 2016; Bonarini et al., 2014; Conti et al., 2020; Marathaki et al., 2022; Simlesa et al., 2022</w:t>
            </w:r>
            <w:r w:rsidR="00352C84">
              <w:rPr>
                <w:lang w:val="es-ES"/>
              </w:rPr>
              <w:t xml:space="preserve">; </w:t>
            </w:r>
            <w:r w:rsidRPr="00543AFB">
              <w:rPr>
                <w:lang w:val="es-ES"/>
              </w:rPr>
              <w:t>Marino et al., 2020; Wood et al., 2017; Wood et al., 2019</w:t>
            </w:r>
            <w:r w:rsidR="00352C84">
              <w:rPr>
                <w:lang w:val="es-ES"/>
              </w:rPr>
              <w:t xml:space="preserve">; </w:t>
            </w:r>
            <w:r w:rsidRPr="00543AFB">
              <w:rPr>
                <w:lang w:val="es-ES"/>
              </w:rPr>
              <w:t>Abdelmohsen &amp; Arafa, 2021; Tobar et al., 2021; Rakhymbayeva &amp;</w:t>
            </w:r>
            <w:r w:rsidR="00763583">
              <w:rPr>
                <w:lang w:val="es-ES"/>
              </w:rPr>
              <w:t xml:space="preserve"> </w:t>
            </w:r>
            <w:r w:rsidRPr="00543AFB">
              <w:rPr>
                <w:lang w:val="es-ES"/>
              </w:rPr>
              <w:t>Sandygulova, 2021</w:t>
            </w:r>
            <w:r w:rsidR="00352C84">
              <w:rPr>
                <w:lang w:val="es-ES"/>
              </w:rPr>
              <w:t>.</w:t>
            </w:r>
          </w:p>
        </w:tc>
      </w:tr>
      <w:tr w:rsidR="00543AFB" w:rsidRPr="00120362"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r w:rsidRPr="00543AFB">
              <w:rPr>
                <w:lang w:val="es-ES"/>
              </w:rPr>
              <w:t>Alnajjar et al., 2021; Wanglavan et al., 2019; Welch et al., 2023</w:t>
            </w:r>
            <w:r w:rsidR="00352C84">
              <w:rPr>
                <w:lang w:val="es-ES"/>
              </w:rPr>
              <w:t xml:space="preserve">; </w:t>
            </w:r>
            <w:r w:rsidRPr="00543AFB">
              <w:rPr>
                <w:lang w:val="es-ES"/>
              </w:rPr>
              <w:t>Pérez-Vazquez et al., 2022; Sakka &amp; Gaboriau, 2017</w:t>
            </w:r>
            <w:r w:rsidR="00352C84">
              <w:rPr>
                <w:lang w:val="es-ES"/>
              </w:rPr>
              <w:t xml:space="preserve">; </w:t>
            </w:r>
            <w:r w:rsidRPr="00543AFB">
              <w:rPr>
                <w:lang w:val="es-ES"/>
              </w:rPr>
              <w:t>Papadopoulou et al., 2022; Zamin et al., 2019; Shahriar et al., 2021</w:t>
            </w:r>
            <w:r w:rsidR="00352C84">
              <w:rPr>
                <w:lang w:val="es-ES"/>
              </w:rPr>
              <w:t xml:space="preserve">; </w:t>
            </w:r>
            <w:r w:rsidRPr="00352C84">
              <w:rPr>
                <w:lang w:val="es-ES"/>
              </w:rPr>
              <w:t>Bonarini et al., 2014; Robles-Bykbaev et al., 2018</w:t>
            </w:r>
            <w:r w:rsidR="00352C84">
              <w:rPr>
                <w:lang w:val="es-ES"/>
              </w:rPr>
              <w:t xml:space="preserve">; </w:t>
            </w:r>
            <w:r w:rsidRPr="00352C84">
              <w:rPr>
                <w:lang w:val="es-ES"/>
              </w:rPr>
              <w:t>Taheri et al., 2016, 2019</w:t>
            </w:r>
          </w:p>
        </w:tc>
      </w:tr>
      <w:tr w:rsidR="00543AFB" w:rsidRPr="00120362" w14:paraId="4D98EEBB" w14:textId="77777777" w:rsidTr="00035BF4">
        <w:tc>
          <w:tcPr>
            <w:tcW w:w="2122" w:type="dxa"/>
          </w:tcPr>
          <w:p w14:paraId="6FA97311" w14:textId="52FDF801" w:rsidR="00543AFB" w:rsidRDefault="00543AFB" w:rsidP="00A80167">
            <w:pPr>
              <w:rPr>
                <w:rFonts w:eastAsia="Calibri"/>
                <w:lang w:val="es-ES"/>
              </w:rPr>
            </w:pPr>
            <w:r>
              <w:rPr>
                <w:rFonts w:eastAsia="Calibri"/>
                <w:lang w:val="es-ES"/>
              </w:rPr>
              <w:t>Language and Speech</w:t>
            </w:r>
          </w:p>
        </w:tc>
        <w:tc>
          <w:tcPr>
            <w:tcW w:w="7228" w:type="dxa"/>
          </w:tcPr>
          <w:p w14:paraId="52B03974" w14:textId="78FFED3C" w:rsidR="00543AFB" w:rsidRPr="00543AFB" w:rsidRDefault="00543AFB" w:rsidP="00A80167">
            <w:pPr>
              <w:rPr>
                <w:lang w:val="es-ES"/>
              </w:rPr>
            </w:pPr>
            <w:r w:rsidRPr="00543AFB">
              <w:rPr>
                <w:lang w:val="es-ES"/>
              </w:rPr>
              <w:t>Alnajjar et al., 2021; Brivio et al., 2021; Che Hamid et al., 2013</w:t>
            </w:r>
            <w:r w:rsidR="00352C84">
              <w:rPr>
                <w:lang w:val="es-ES"/>
              </w:rPr>
              <w:t xml:space="preserve">; </w:t>
            </w:r>
            <w:r w:rsidRPr="00352C84">
              <w:rPr>
                <w:lang w:val="es-ES"/>
              </w:rPr>
              <w:t>Hong et al., 2022; Shah et al., 2023</w:t>
            </w:r>
            <w:r w:rsidR="00352C84">
              <w:rPr>
                <w:lang w:val="es-ES"/>
              </w:rPr>
              <w:t xml:space="preserve">; </w:t>
            </w:r>
            <w:r w:rsidRPr="00543AFB">
              <w:rPr>
                <w:lang w:val="es-ES"/>
              </w:rPr>
              <w:t>Bharatharaj et al., 2016; Cervera et al., n.d.</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r w:rsidRPr="00352C84">
              <w:rPr>
                <w:lang w:val="es-ES"/>
              </w:rPr>
              <w:t>Taheri et al., 2016, 2018, 2019</w:t>
            </w:r>
            <w:r w:rsidR="00352C84">
              <w:rPr>
                <w:lang w:val="es-ES"/>
              </w:rPr>
              <w:t xml:space="preserve">; </w:t>
            </w:r>
            <w:r w:rsidRPr="00352C84">
              <w:rPr>
                <w:lang w:val="es-ES"/>
              </w:rPr>
              <w:t>Robles-Bykbaev et al., 2018</w:t>
            </w:r>
            <w:r w:rsidR="00352C84">
              <w:rPr>
                <w:lang w:val="es-ES"/>
              </w:rPr>
              <w:t xml:space="preserve">; </w:t>
            </w:r>
            <w:r w:rsidRPr="00352C84">
              <w:rPr>
                <w:lang w:val="es-ES"/>
              </w:rPr>
              <w:t>She &amp; Ren, 2021</w:t>
            </w:r>
            <w:r w:rsidR="00352C84">
              <w:rPr>
                <w:lang w:val="es-ES"/>
              </w:rPr>
              <w:t xml:space="preserve">; </w:t>
            </w:r>
            <w:r w:rsidRPr="00543AFB">
              <w:rPr>
                <w:lang w:val="es-ES"/>
              </w:rPr>
              <w:t>Zamin et al., 2019; Zhanatkyzy et al., 2020</w:t>
            </w:r>
            <w:r w:rsidR="00352C84">
              <w:rPr>
                <w:lang w:val="es-ES"/>
              </w:rPr>
              <w:t>.</w:t>
            </w:r>
          </w:p>
        </w:tc>
      </w:tr>
      <w:tr w:rsidR="00543AFB" w:rsidRPr="00120362" w14:paraId="565DA27E" w14:textId="77777777" w:rsidTr="00035BF4">
        <w:tc>
          <w:tcPr>
            <w:tcW w:w="2122" w:type="dxa"/>
          </w:tcPr>
          <w:p w14:paraId="7F0B62BB" w14:textId="7080EEE8" w:rsidR="00543AFB" w:rsidRDefault="00543AFB" w:rsidP="00A80167">
            <w:pPr>
              <w:rPr>
                <w:rFonts w:eastAsia="Calibri"/>
                <w:lang w:val="es-ES"/>
              </w:rPr>
            </w:pPr>
            <w:r>
              <w:rPr>
                <w:rFonts w:eastAsia="Calibri"/>
                <w:lang w:val="es-ES"/>
              </w:rPr>
              <w:t>Emotional Intelligence</w:t>
            </w:r>
          </w:p>
        </w:tc>
        <w:tc>
          <w:tcPr>
            <w:tcW w:w="7228" w:type="dxa"/>
          </w:tcPr>
          <w:p w14:paraId="72D7A83A" w14:textId="6206F444" w:rsidR="00543AFB" w:rsidRPr="00352C84" w:rsidRDefault="00352C84" w:rsidP="00A80167">
            <w:pPr>
              <w:rPr>
                <w:lang w:val="es-ES"/>
              </w:rPr>
            </w:pPr>
            <w:r w:rsidRPr="00352C84">
              <w:rPr>
                <w:lang w:val="es-ES"/>
              </w:rPr>
              <w:t>Abdelmohsen &amp; Arafa, 2021; Costa et al., 2014; Lebersfeld et al., 2018</w:t>
            </w:r>
            <w:r>
              <w:rPr>
                <w:lang w:val="es-ES"/>
              </w:rPr>
              <w:t xml:space="preserve">; </w:t>
            </w:r>
            <w:r w:rsidRPr="00352C84">
              <w:rPr>
                <w:lang w:val="es-ES"/>
              </w:rPr>
              <w:t>Marino et al., 2020; Tartarisco et al., 2022</w:t>
            </w:r>
            <w:r>
              <w:rPr>
                <w:lang w:val="es-ES"/>
              </w:rPr>
              <w:t xml:space="preserve">; </w:t>
            </w:r>
            <w:r w:rsidRPr="00352C84">
              <w:rPr>
                <w:lang w:val="es-ES"/>
              </w:rPr>
              <w:t>Silva et al., 2023; Sakka &amp; Gaboriau, 2017</w:t>
            </w:r>
            <w:r>
              <w:rPr>
                <w:lang w:val="es-ES"/>
              </w:rPr>
              <w:t xml:space="preserve">; </w:t>
            </w:r>
            <w:r w:rsidRPr="00352C84">
              <w:rPr>
                <w:lang w:val="es-ES"/>
              </w:rPr>
              <w:t>Brivio et al., 2021; Bonarini et al., 2016</w:t>
            </w:r>
            <w:r>
              <w:rPr>
                <w:lang w:val="es-ES"/>
              </w:rPr>
              <w:t xml:space="preserve">; </w:t>
            </w:r>
            <w:r w:rsidRPr="00352C84">
              <w:rPr>
                <w:lang w:val="es-ES"/>
              </w:rPr>
              <w:lastRenderedPageBreak/>
              <w:t>Kim et al., 2021; Zhanatkyzy et al., 2020</w:t>
            </w:r>
            <w:r>
              <w:rPr>
                <w:lang w:val="es-ES"/>
              </w:rPr>
              <w:t xml:space="preserve">; </w:t>
            </w:r>
            <w:r w:rsidRPr="00352C84">
              <w:rPr>
                <w:lang w:val="es-ES"/>
              </w:rPr>
              <w:t>Sandygulova et al., 2019</w:t>
            </w:r>
            <w:r>
              <w:rPr>
                <w:lang w:val="es-ES"/>
              </w:rPr>
              <w:t xml:space="preserve">; </w:t>
            </w:r>
            <w:r w:rsidRPr="00352C84">
              <w:rPr>
                <w:lang w:val="es-ES"/>
              </w:rPr>
              <w:t>Giannopulu, 2013; Robles-Bykbaev et al., 2018</w:t>
            </w:r>
            <w:r>
              <w:rPr>
                <w:lang w:val="es-ES"/>
              </w:rPr>
              <w:t>.</w:t>
            </w:r>
          </w:p>
        </w:tc>
      </w:tr>
      <w:tr w:rsidR="00543AFB" w:rsidRPr="00120362" w14:paraId="3F19B638" w14:textId="77777777" w:rsidTr="00035BF4">
        <w:tc>
          <w:tcPr>
            <w:tcW w:w="2122" w:type="dxa"/>
          </w:tcPr>
          <w:p w14:paraId="612FAB7D" w14:textId="14977C45" w:rsidR="00543AFB" w:rsidRDefault="00543AFB" w:rsidP="00A80167">
            <w:pPr>
              <w:rPr>
                <w:rFonts w:eastAsia="Calibri"/>
                <w:lang w:val="es-ES"/>
              </w:rPr>
            </w:pPr>
            <w:r>
              <w:rPr>
                <w:rFonts w:eastAsia="Calibri"/>
                <w:lang w:val="es-ES"/>
              </w:rPr>
              <w:lastRenderedPageBreak/>
              <w:t>Physical and motor</w:t>
            </w:r>
          </w:p>
        </w:tc>
        <w:tc>
          <w:tcPr>
            <w:tcW w:w="7228" w:type="dxa"/>
          </w:tcPr>
          <w:p w14:paraId="7CD2D3F1" w14:textId="72082876" w:rsidR="00543AFB" w:rsidRPr="00352C84" w:rsidRDefault="00352C84" w:rsidP="00352C84">
            <w:pPr>
              <w:rPr>
                <w:lang w:val="es-ES"/>
              </w:rPr>
            </w:pPr>
            <w:r w:rsidRPr="00352C84">
              <w:rPr>
                <w:lang w:val="es-ES"/>
              </w:rPr>
              <w:t>Alnajjar et al., 2021; Brivio et al., 2021</w:t>
            </w:r>
            <w:r>
              <w:rPr>
                <w:lang w:val="es-ES"/>
              </w:rPr>
              <w:t xml:space="preserve">; </w:t>
            </w:r>
            <w:r w:rsidRPr="00352C84">
              <w:rPr>
                <w:lang w:val="es-ES"/>
              </w:rPr>
              <w:t>Casellato et al., 2017</w:t>
            </w:r>
            <w:r>
              <w:rPr>
                <w:lang w:val="es-ES"/>
              </w:rPr>
              <w:t xml:space="preserve">; </w:t>
            </w:r>
            <w:r w:rsidRPr="00352C84">
              <w:rPr>
                <w:lang w:val="es-ES"/>
              </w:rPr>
              <w:t>Bugnariu et al., 2013; Chevalier et al., n.d.; Conti et al., 2020</w:t>
            </w:r>
            <w:r>
              <w:rPr>
                <w:lang w:val="es-ES"/>
              </w:rPr>
              <w:t xml:space="preserve">; </w:t>
            </w:r>
            <w:r w:rsidRPr="00352C84">
              <w:rPr>
                <w:lang w:val="es-ES"/>
              </w:rPr>
              <w:t>Moorthy &amp; Pugazhenthi, 2016, 2017</w:t>
            </w:r>
            <w:r>
              <w:rPr>
                <w:lang w:val="es-ES"/>
              </w:rPr>
              <w:t xml:space="preserve">; </w:t>
            </w:r>
            <w:r w:rsidRPr="00352C84">
              <w:rPr>
                <w:lang w:val="es-ES"/>
              </w:rPr>
              <w:t>Taheri et al., 2016, 2018, 2019</w:t>
            </w:r>
            <w:r>
              <w:rPr>
                <w:lang w:val="es-ES"/>
              </w:rPr>
              <w:t xml:space="preserve">; </w:t>
            </w:r>
            <w:r w:rsidRPr="00352C84">
              <w:rPr>
                <w:lang w:val="es-ES"/>
              </w:rPr>
              <w:t>Bonarini et al., 2014, 2016</w:t>
            </w:r>
            <w:r>
              <w:rPr>
                <w:lang w:val="es-ES"/>
              </w:rPr>
              <w:t xml:space="preserve">; </w:t>
            </w:r>
            <w:r w:rsidRPr="00352C84">
              <w:rPr>
                <w:lang w:val="es-ES"/>
              </w:rPr>
              <w:t>Robles-Bykbaev et al., 2018;</w:t>
            </w:r>
            <w:r>
              <w:rPr>
                <w:lang w:val="es-ES"/>
              </w:rPr>
              <w:t xml:space="preserve"> </w:t>
            </w:r>
            <w:r w:rsidRPr="00352C84">
              <w:rPr>
                <w:lang w:val="es-ES"/>
              </w:rPr>
              <w:t>Sandygulova et al., 2019</w:t>
            </w:r>
            <w:r>
              <w:rPr>
                <w:lang w:val="es-ES"/>
              </w:rPr>
              <w:t xml:space="preserve">; </w:t>
            </w:r>
            <w:r w:rsidRPr="00352C84">
              <w:rPr>
                <w:lang w:val="es-ES"/>
              </w:rPr>
              <w:t>Zanatta et al., 2023</w:t>
            </w:r>
            <w:r>
              <w:rPr>
                <w:lang w:val="es-ES"/>
              </w:rPr>
              <w:t>.</w:t>
            </w:r>
          </w:p>
        </w:tc>
      </w:tr>
      <w:tr w:rsidR="00543AFB" w:rsidRPr="00120362" w14:paraId="194D0537" w14:textId="77777777" w:rsidTr="00035BF4">
        <w:tc>
          <w:tcPr>
            <w:tcW w:w="2122" w:type="dxa"/>
          </w:tcPr>
          <w:p w14:paraId="76C6C8DF" w14:textId="0E9183FD" w:rsidR="00543AFB" w:rsidRDefault="00543AFB" w:rsidP="00A80167">
            <w:pPr>
              <w:rPr>
                <w:rFonts w:eastAsia="Calibri"/>
                <w:lang w:val="es-ES"/>
              </w:rPr>
            </w:pPr>
            <w:r>
              <w:rPr>
                <w:rFonts w:eastAsia="Calibri"/>
                <w:lang w:val="es-ES"/>
              </w:rPr>
              <w:t>Self-management and adaptive</w:t>
            </w:r>
          </w:p>
        </w:tc>
        <w:tc>
          <w:tcPr>
            <w:tcW w:w="7228" w:type="dxa"/>
          </w:tcPr>
          <w:p w14:paraId="43150AD2" w14:textId="4D96CD86" w:rsidR="00543AFB" w:rsidRPr="00352C84" w:rsidRDefault="00352C84" w:rsidP="00A80167">
            <w:pPr>
              <w:rPr>
                <w:lang w:val="es-ES"/>
              </w:rPr>
            </w:pPr>
            <w:r w:rsidRPr="00352C84">
              <w:rPr>
                <w:lang w:val="es-ES"/>
              </w:rPr>
              <w:t>Attawibulkul et al., 2019; Park &amp; Kwon, 2016; Moorthy &amp; Pugazhenthi, 2017</w:t>
            </w:r>
            <w:r>
              <w:rPr>
                <w:lang w:val="es-ES"/>
              </w:rPr>
              <w:t xml:space="preserve">; </w:t>
            </w:r>
            <w:r w:rsidRPr="00352C84">
              <w:rPr>
                <w:lang w:val="es-ES"/>
              </w:rPr>
              <w:t>Costa et al., 2013; Sakka &amp; Gaboriau, 2017; Brivio et al., 2021; Filiou, 2022</w:t>
            </w:r>
            <w:r>
              <w:rPr>
                <w:lang w:val="es-ES"/>
              </w:rPr>
              <w:t xml:space="preserve">; </w:t>
            </w:r>
            <w:r w:rsidRPr="00352C84">
              <w:rPr>
                <w:lang w:val="es-ES"/>
              </w:rPr>
              <w:t>Bonarini et al., 2014, 2016;</w:t>
            </w:r>
            <w:r>
              <w:rPr>
                <w:lang w:val="es-ES"/>
              </w:rPr>
              <w:t xml:space="preserve"> </w:t>
            </w:r>
            <w:r w:rsidRPr="00352C84">
              <w:rPr>
                <w:lang w:val="es-ES"/>
              </w:rPr>
              <w:t>Lemaignan et al., 2022</w:t>
            </w:r>
            <w:r>
              <w:rPr>
                <w:lang w:val="es-ES"/>
              </w:rPr>
              <w:t xml:space="preserve">; </w:t>
            </w:r>
            <w:r w:rsidRPr="00352C84">
              <w:rPr>
                <w:lang w:val="es-ES"/>
              </w:rPr>
              <w:t>Nanou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42CD9F88"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otor skills</w:t>
      </w:r>
      <w:r w:rsidR="00147B8F">
        <w:rPr>
          <w:rFonts w:eastAsia="Calibri"/>
        </w:rPr>
        <w:t>, and</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456A756B" w14:textId="5C2587D1" w:rsidR="008867BF" w:rsidRDefault="008867BF" w:rsidP="00A80167">
      <w:r w:rsidRPr="006032B3">
        <w:rPr>
          <w:highlight w:val="yellow"/>
        </w:rPr>
        <w:t>Silva et al., 2023 (General); Miskam et al., 2013; She &amp; Ren, 202; Scassellati et al., 2018; Zhanatkyzy et al., 2020; Tobar et al., 2021; and Marathaki et al. (2022)</w:t>
      </w:r>
    </w:p>
    <w:p w14:paraId="6FCBF81D" w14:textId="11EC2991"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r w:rsidR="001412EC" w:rsidRPr="00257AE4">
        <w:t>Kajopoulos et al., 2015</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Talaei-Khoei- 2017</w:t>
      </w:r>
      <w:r w:rsidR="0065241C">
        <w:t>; )</w:t>
      </w:r>
      <w:r w:rsidR="00257AE4" w:rsidRPr="00257AE4">
        <w:t>.</w:t>
      </w:r>
    </w:p>
    <w:p w14:paraId="0236CA05" w14:textId="507AA1DA" w:rsidR="006032B3" w:rsidRPr="006032B3" w:rsidRDefault="006032B3" w:rsidP="00A80167">
      <w:r w:rsidRPr="006032B3">
        <w:rPr>
          <w:highlight w:val="yellow"/>
        </w:rPr>
        <w:t>(Scassellati, 2018; Alnajjar et al., 2021; Carlson et al., 2018; Charron et al., 2017; Kajopoulos et al., 2015) (Costa et al., 2014; Lebersfeld et al., 2018; Li et al., 2020; Tartarisco et al., 2022) (Valadao et al., 2016; Bonarini et al., 2014; Conti et al., 2020; Marathaki et al., 2022; Simlesa et al., 2022), (Marino et al., 2020; Wood et al., 2017; Wood et al., 2019) (Abdelmohsen &amp; Arafa, 2021; Tobar et al., 2021; Rakhymbayeva &amp; Sandygulova, 2021)</w:t>
      </w:r>
    </w:p>
    <w:p w14:paraId="1217AD28" w14:textId="01366576"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lastRenderedPageBreak/>
        <w:t>(Alnajjar et al., 2021; Wanglavan et al., 2019; Welch et al., 2023) (Pérez-Vazquez et al., 2022; Sakka &amp; Gaboriau, 2017) (Papadopoulou et al., 2022; Zamin et al., 2019; Shahriar et al., 2021) (Bonarini et al., 2014; Robles-Bykbaev et al., 2018) (Taheri et al., 2016, 2019)</w:t>
      </w:r>
    </w:p>
    <w:p w14:paraId="57AA0051" w14:textId="45AB244A"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(Bharatharaj et al., 2016; Cervera et al., n.d.) (Papadopoulou et al., 2022) (Pennington et al., 2014) (Taheri et al., 2016, 2018, 2019) (Robles-Bykbaev et al., 2018) (She &amp; Ren, 2021) (Zamin et al., 2019; Zhanatkyzy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(Abdelmohsen &amp; Arafa, 2021; Costa et al., 2014; Lebersfeld et al., 2018) (Marino et al., 2020; Tartarisco et al., 2022) (Silva et al., 2023; Sakka &amp; Gaboriau, 2017) (Brivio et al., 2021; Bonarini et al., 2016) (Kim et al., 2021; Zhanatkyzy et al., 2020) (Sandygulova et al., 2019) (Giannopulu, 2013; Robles-Bykbaev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(Casellato et al., 2017) (Bugnariu et al., 2013; Chevalier et al., n.d.; Conti et al., 2020) (Moorthy &amp; Pugazhenthi, 2016, 2017) (Taheri et al., 2016, 2018, 2019) (Bonarini et al., 2014, 2016) (Robles-Bykbaev et al., 2018; Sandygulova et al., 2019) (Zanatta et al., 2023).</w:t>
      </w:r>
    </w:p>
    <w:p w14:paraId="4CE9E5CA" w14:textId="1DEF4887" w:rsidR="00466DC4" w:rsidRDefault="00CE3F5B" w:rsidP="00C34B72">
      <w:pPr>
        <w:jc w:val="both"/>
      </w:pPr>
      <w:r>
        <w:t>Aditionally,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lastRenderedPageBreak/>
        <w:t>(Attawibulkul et al., 2019; Park &amp; Kwon, 2016; Moorthy &amp; Pugazhenthi, 2017) (Costa et al., 2013; Sakka &amp; Gaboriau, 2017; Brivio et al., 2021; Filiou, 2022) (Bonarini et al., 2014, 2016; Lemaignan et al., 2022) (Nanou et al., 2021; Lindsay, 2020) (Reardon et al., 2018)</w:t>
      </w:r>
    </w:p>
    <w:p w14:paraId="1ADFFFD0" w14:textId="648C8165"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elacomgrade"/>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Scassellati, 2018; Abdelmohsen &amp; Arafa, 2021; Valadao et al., 2016; Carlson et al., 2018; Kajopoulos et al., 2015; Che Hamid et al., 2013; She &amp; Ren, 2021; Marino et al., 2020; Miskam et al., 2013; Lebersfeld et al., 2018; Brivio et al., 2021</w:t>
            </w:r>
            <w:r>
              <w:t xml:space="preserve">; </w:t>
            </w:r>
            <w:r w:rsidRPr="00466DC4">
              <w:t>Scassellati et al., 2018</w:t>
            </w:r>
            <w:r>
              <w:t xml:space="preserve">; </w:t>
            </w:r>
            <w:r w:rsidRPr="00466DC4">
              <w:t>Mavadati et al., 2014; Yin &amp; Tung, 2013</w:t>
            </w:r>
            <w:r>
              <w:t xml:space="preserve">; </w:t>
            </w:r>
            <w:r w:rsidRPr="00466DC4">
              <w:t>Sandygulova et al., 2019</w:t>
            </w:r>
            <w:r>
              <w:t>.</w:t>
            </w:r>
          </w:p>
        </w:tc>
      </w:tr>
      <w:tr w:rsidR="00035BF4" w:rsidRPr="00120362"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Silvera-Tawil et al., 2018; Lemaignan et al., 2022; Kim et al., 2021; Taheri et al., 2018; Charron et al., 2017; Nanou et al., 2021; Santos et al., 2023; Sartorato et al., 2017.</w:t>
            </w:r>
          </w:p>
        </w:tc>
      </w:tr>
      <w:tr w:rsidR="00035BF4" w:rsidRPr="00120362"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r w:rsidRPr="004C2456">
              <w:rPr>
                <w:lang w:val="es-ES"/>
              </w:rPr>
              <w:t>Bharatharaj et al., 2017; Brivio et al., 2021; Lebersfeld et al., 2018; Marzano et al., 2021.</w:t>
            </w:r>
            <w:r w:rsidRPr="00204F51">
              <w:rPr>
                <w:lang w:val="es-ES"/>
              </w:rPr>
              <w:t>Mavadati et al., 2014</w:t>
            </w:r>
            <w:r>
              <w:rPr>
                <w:lang w:val="es-ES"/>
              </w:rPr>
              <w:t xml:space="preserve">; </w:t>
            </w:r>
            <w:r w:rsidRPr="00204F51">
              <w:rPr>
                <w:lang w:val="es-ES"/>
              </w:rPr>
              <w:t>Shimaya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r w:rsidRPr="00204F51">
              <w:rPr>
                <w:lang w:val="es-ES"/>
              </w:rPr>
              <w:t>Sakka &amp; Gaboriau, 2017</w:t>
            </w:r>
            <w:r>
              <w:rPr>
                <w:lang w:val="es-ES"/>
              </w:rPr>
              <w:t xml:space="preserve">; </w:t>
            </w:r>
            <w:r w:rsidRPr="00204F51">
              <w:rPr>
                <w:lang w:val="es-ES"/>
              </w:rPr>
              <w:t>Santos et al., 2023;</w:t>
            </w:r>
            <w:r>
              <w:rPr>
                <w:lang w:val="es-ES"/>
              </w:rPr>
              <w:t xml:space="preserve"> </w:t>
            </w:r>
            <w:r w:rsidRPr="00204F51">
              <w:rPr>
                <w:lang w:val="es-ES"/>
              </w:rPr>
              <w:t>Sartorato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r w:rsidRPr="004C2456">
              <w:t>Attawibulkul et al., 2019; Brivio et al., 2021; Bonarini et al., 2014, 2016; Papadopoulou et al., 2022; Park &amp; Kwon, 2016; Sandygulova et al., 2019; Zhanatkyzy et al., 2020; Yun et al., 2014; Casellato et al., 2017; Chaldi &amp; Mantzanidou,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Silvera-Tawil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lastRenderedPageBreak/>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(Scassellati, 2018; Abdelmohsen &amp; Arafa, 2021; Valadao et al., 2016), joint attention (Carlson et al., 2018; Kajopoulos et al., 2015)</w:t>
      </w:r>
      <w:r w:rsidR="00443529" w:rsidRPr="00626F34">
        <w:rPr>
          <w:highlight w:val="yellow"/>
        </w:rPr>
        <w:t xml:space="preserve"> (Che Hamid et al., 2013; She &amp; Ren, 2021) (Marino et al., 2020) (Miskam et al., 2013) (Lebersfeld et al., 2018) (Brivio et al., 2021) (Scassellati et al., 2018) (Mavadati et al., 2014; Yin &amp; Tung, 2013) (Sandygulova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466DC4">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(2018) (ages 13-19), and Lemaignan et al. (2022) (ages 12-16). Other studies focused on younger participants or mixed age groups, such as Kim et al. (2021) (ages 6-16), Taheri et al. (2018) (ages 6-15), Charron et al. (2017) (8-year-old), and Nanou et al. (2021) (ages 10-11). Review papers (Santos et al., 2023; Sartorato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(Bharatharaj et al., 2017; Brivio et al., 2021; Lebersfeld et al., 2018; Marzano et al., 2021) (Mavadati et al., 2014) (Shimaya et al., 2016, 2019) (Li et al., 2020) (Wood et al., 2019) (Sakka &amp; Gaboriau, 2017) (Santos et al., 2023; Sartorato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lastRenderedPageBreak/>
        <w:t>(Attawibulkul et al., 2019; Brivio et al., 2021; Bonarini et al., 2014, 2016) (Papadopoulou et al., 2022; Park &amp; Kwon, 2016) (Sandygulova et al., 2019; Zhanatkyzy et al., 2020) (Yun et al., 2014) (Casellato et al., 2017; Chaldi &amp; Mantzanidou, 2021)</w:t>
      </w:r>
    </w:p>
    <w:p w14:paraId="030C33E5" w14:textId="77777777"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120362"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r w:rsidRPr="001A65DE">
              <w:rPr>
                <w:lang w:val="es-ES"/>
              </w:rPr>
              <w:t>Scassellati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Valadao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r w:rsidRPr="00843B8C">
              <w:rPr>
                <w:lang w:val="es-ES"/>
              </w:rPr>
              <w:t>Nanou et al.</w:t>
            </w:r>
            <w:r w:rsidR="00843B8C">
              <w:rPr>
                <w:lang w:val="es-ES"/>
              </w:rPr>
              <w:t xml:space="preserve">, </w:t>
            </w:r>
            <w:r w:rsidRPr="001A65DE">
              <w:rPr>
                <w:lang w:val="es-ES"/>
              </w:rPr>
              <w:t>2021</w:t>
            </w:r>
            <w:r w:rsidR="00843B8C">
              <w:rPr>
                <w:lang w:val="es-ES"/>
              </w:rPr>
              <w:t xml:space="preserve">; </w:t>
            </w:r>
            <w:r w:rsidRPr="001A65DE">
              <w:rPr>
                <w:lang w:val="es-ES"/>
              </w:rPr>
              <w:t>Shimaya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r w:rsidRPr="001A65DE">
              <w:rPr>
                <w:lang w:val="es-ES"/>
              </w:rPr>
              <w:t>Kajopoulos et al., 2015</w:t>
            </w:r>
            <w:r w:rsidR="00843B8C">
              <w:rPr>
                <w:lang w:val="es-ES"/>
              </w:rPr>
              <w:t xml:space="preserve">; </w:t>
            </w:r>
            <w:r w:rsidRPr="001A65DE">
              <w:rPr>
                <w:lang w:val="es-ES"/>
              </w:rPr>
              <w:t>Silvera-Tawil et al., 2018</w:t>
            </w:r>
            <w:r w:rsidR="00843B8C">
              <w:rPr>
                <w:lang w:val="es-ES"/>
              </w:rPr>
              <w:t xml:space="preserve">; </w:t>
            </w:r>
            <w:r w:rsidRPr="00843B8C">
              <w:rPr>
                <w:lang w:val="es-ES"/>
              </w:rPr>
              <w:t>Costa et al., 2014</w:t>
            </w:r>
            <w:r w:rsidR="00843B8C">
              <w:rPr>
                <w:lang w:val="es-ES"/>
              </w:rPr>
              <w:t xml:space="preserve">; </w:t>
            </w:r>
            <w:r w:rsidRPr="00843B8C">
              <w:rPr>
                <w:lang w:val="es-ES"/>
              </w:rPr>
              <w:t>Giannopulu</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lastRenderedPageBreak/>
              <w:t>Communication and language</w:t>
            </w:r>
          </w:p>
        </w:tc>
        <w:tc>
          <w:tcPr>
            <w:tcW w:w="6945" w:type="dxa"/>
          </w:tcPr>
          <w:p w14:paraId="1EBDA207" w14:textId="7F40135E" w:rsidR="001A65DE" w:rsidRDefault="00843B8C" w:rsidP="006B028F">
            <w:r w:rsidRPr="00843B8C">
              <w:t>Alnajjar et al., 2021; Agel et al., 2020; Hossain et al., 2020; Brivio et al., 2021; Carlson et al., 2018; Bharatharaj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2D8059F8" w:rsidR="001A65DE" w:rsidRDefault="001A65DE" w:rsidP="00843B8C">
            <w:r>
              <w:t>Miskam et al., 2013; Marathaki et al., 2022</w:t>
            </w:r>
            <w:r w:rsidR="00843B8C">
              <w:t xml:space="preserve">; </w:t>
            </w:r>
            <w:r>
              <w:t>Lemaignan et al.,</w:t>
            </w:r>
            <w:r w:rsidR="00843B8C">
              <w:t xml:space="preserve"> </w:t>
            </w:r>
            <w:r>
              <w:t>2022; Zhanatkyzy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Robles-Bykbaev et al.</w:t>
            </w:r>
            <w:r w:rsidR="00843B8C">
              <w:t xml:space="preserve">, </w:t>
            </w:r>
            <w:r>
              <w:t>2018</w:t>
            </w:r>
            <w:r w:rsidR="00843B8C">
              <w:t>.</w:t>
            </w:r>
          </w:p>
        </w:tc>
      </w:tr>
      <w:tr w:rsidR="001A65DE" w:rsidRPr="00120362"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r w:rsidRPr="001A65DE">
              <w:rPr>
                <w:lang w:val="es-ES"/>
              </w:rPr>
              <w:t>Miskam et al., 2013; Sandygulova et al., 2019; Zhanatkyzy et al.,</w:t>
            </w:r>
            <w:r w:rsidR="00843B8C">
              <w:rPr>
                <w:lang w:val="es-ES"/>
              </w:rPr>
              <w:t xml:space="preserve"> </w:t>
            </w:r>
            <w:r w:rsidRPr="001A65DE">
              <w:rPr>
                <w:lang w:val="es-ES"/>
              </w:rPr>
              <w:t>2020</w:t>
            </w:r>
            <w:r w:rsidR="00843B8C">
              <w:rPr>
                <w:lang w:val="es-ES"/>
              </w:rPr>
              <w:t xml:space="preserve">; </w:t>
            </w:r>
            <w:r w:rsidRPr="001A65DE">
              <w:rPr>
                <w:lang w:val="es-ES"/>
              </w:rPr>
              <w:t>Silva et al., 2023; Scassellati et al., 2018</w:t>
            </w:r>
            <w:r w:rsidR="00843B8C">
              <w:rPr>
                <w:lang w:val="es-ES"/>
              </w:rPr>
              <w:t xml:space="preserve">; </w:t>
            </w:r>
            <w:r w:rsidRPr="001A65DE">
              <w:rPr>
                <w:lang w:val="es-ES"/>
              </w:rPr>
              <w:t>Li et al., 2020;</w:t>
            </w:r>
            <w:r w:rsidR="00843B8C">
              <w:rPr>
                <w:lang w:val="es-ES"/>
              </w:rPr>
              <w:t xml:space="preserve"> </w:t>
            </w:r>
            <w:r w:rsidRPr="001A65DE">
              <w:rPr>
                <w:lang w:val="es-ES"/>
              </w:rPr>
              <w:t>Alnajjar et al., 2021</w:t>
            </w:r>
            <w:r w:rsidR="00843B8C">
              <w:rPr>
                <w:lang w:val="es-ES"/>
              </w:rPr>
              <w:t xml:space="preserve">; </w:t>
            </w:r>
            <w:r w:rsidRPr="001A65DE">
              <w:rPr>
                <w:lang w:val="es-ES"/>
              </w:rPr>
              <w:t>Tobar et al., 2021</w:t>
            </w:r>
            <w:r w:rsidR="00843B8C">
              <w:rPr>
                <w:lang w:val="es-ES"/>
              </w:rPr>
              <w:t>; L</w:t>
            </w:r>
            <w:r w:rsidRPr="001A65DE">
              <w:rPr>
                <w:lang w:val="es-ES"/>
              </w:rPr>
              <w:t>emaignan et al</w:t>
            </w:r>
            <w:r w:rsidR="00843B8C">
              <w:rPr>
                <w:lang w:val="es-ES"/>
              </w:rPr>
              <w:t xml:space="preserve">., </w:t>
            </w:r>
            <w:r w:rsidRPr="00843B8C">
              <w:rPr>
                <w:lang w:val="es-ES"/>
              </w:rPr>
              <w:t>2022</w:t>
            </w:r>
            <w:r w:rsidR="00843B8C">
              <w:rPr>
                <w:lang w:val="es-ES"/>
              </w:rPr>
              <w:t>.</w:t>
            </w:r>
          </w:p>
        </w:tc>
      </w:tr>
      <w:tr w:rsidR="001A65DE" w:rsidRPr="00120362"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r w:rsidRPr="00843B8C">
              <w:rPr>
                <w:lang w:val="es-ES"/>
              </w:rPr>
              <w:t>Miskam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Marathaki et al.</w:t>
            </w:r>
            <w:r w:rsidR="00843B8C" w:rsidRPr="00843B8C">
              <w:rPr>
                <w:lang w:val="es-ES"/>
              </w:rPr>
              <w:t xml:space="preserve">, </w:t>
            </w:r>
            <w:r w:rsidRPr="00843B8C">
              <w:rPr>
                <w:lang w:val="es-ES"/>
              </w:rPr>
              <w:t>2022</w:t>
            </w:r>
            <w:r w:rsidR="00843B8C" w:rsidRPr="00843B8C">
              <w:rPr>
                <w:lang w:val="es-ES"/>
              </w:rPr>
              <w:t xml:space="preserve">; </w:t>
            </w:r>
            <w:r w:rsidRPr="001A65DE">
              <w:rPr>
                <w:lang w:val="es-ES"/>
              </w:rPr>
              <w:t>Lemaignan et al., 2022</w:t>
            </w:r>
            <w:r w:rsidR="00843B8C">
              <w:rPr>
                <w:lang w:val="es-ES"/>
              </w:rPr>
              <w:t xml:space="preserve">; </w:t>
            </w:r>
            <w:r w:rsidRPr="001A65DE">
              <w:rPr>
                <w:lang w:val="es-ES"/>
              </w:rPr>
              <w:t>Hamzah et al., 2014</w:t>
            </w:r>
            <w:r w:rsidR="00843B8C">
              <w:rPr>
                <w:lang w:val="es-ES"/>
              </w:rPr>
              <w:t xml:space="preserve">; </w:t>
            </w:r>
            <w:r w:rsidRPr="001A65DE">
              <w:rPr>
                <w:lang w:val="es-ES"/>
              </w:rPr>
              <w:t>Sakka &amp;</w:t>
            </w:r>
            <w:r w:rsidR="00843B8C">
              <w:rPr>
                <w:lang w:val="es-ES"/>
              </w:rPr>
              <w:t xml:space="preserve"> </w:t>
            </w:r>
            <w:r w:rsidRPr="001A65DE">
              <w:rPr>
                <w:lang w:val="es-ES"/>
              </w:rPr>
              <w:t>Gaboriau, 2017</w:t>
            </w:r>
            <w:r w:rsidR="00843B8C">
              <w:rPr>
                <w:lang w:val="es-ES"/>
              </w:rPr>
              <w:t xml:space="preserve">; </w:t>
            </w:r>
            <w:r w:rsidRPr="001A65DE">
              <w:rPr>
                <w:lang w:val="es-ES"/>
              </w:rPr>
              <w:t>Silva et al., 2023</w:t>
            </w:r>
            <w:r w:rsidR="00843B8C">
              <w:rPr>
                <w:lang w:val="es-ES"/>
              </w:rPr>
              <w:t xml:space="preserve">; </w:t>
            </w:r>
            <w:r w:rsidRPr="001A65DE">
              <w:rPr>
                <w:lang w:val="es-ES"/>
              </w:rPr>
              <w:t>Marathaki et al., 2022</w:t>
            </w:r>
            <w:r w:rsidR="00843B8C">
              <w:rPr>
                <w:lang w:val="es-ES"/>
              </w:rPr>
              <w:t xml:space="preserve">; </w:t>
            </w:r>
            <w:r w:rsidRPr="001A65DE">
              <w:rPr>
                <w:lang w:val="es-ES"/>
              </w:rPr>
              <w:t>Brivio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r w:rsidRPr="001A65DE">
              <w:rPr>
                <w:lang w:val="es-ES"/>
              </w:rPr>
              <w:t>Bonarini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120362"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Che Hamid et al., 2013; Miskam et al., 2013; Hamzah et al., 2014; Peng et al., 2018; Taheri et al., 2016; Bharatharaj et al., 2018; Brivio et al., 2021; Marathaki et al., 2022; Sandygulova et al., 2019;</w:t>
            </w:r>
            <w:r>
              <w:rPr>
                <w:lang w:val="es-ES"/>
              </w:rPr>
              <w:t xml:space="preserve"> </w:t>
            </w:r>
            <w:r w:rsidRPr="00843B8C">
              <w:rPr>
                <w:lang w:val="es-ES"/>
              </w:rPr>
              <w:t>Yun et al., 2016; Lemaignan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Pérez-Vazquez et al., 2022; Nanou et al., 2021; Robles-Bykbaev et al., 2018; Shahriar et al., 2021; Reardon et al.</w:t>
            </w:r>
            <w:r>
              <w:rPr>
                <w:lang w:val="es-ES"/>
              </w:rPr>
              <w:t xml:space="preserve">, </w:t>
            </w:r>
            <w:r w:rsidRPr="00843B8C">
              <w:rPr>
                <w:lang w:val="es-ES"/>
              </w:rPr>
              <w:t>2018</w:t>
            </w:r>
            <w:r>
              <w:rPr>
                <w:lang w:val="es-ES"/>
              </w:rPr>
              <w:t xml:space="preserve">; </w:t>
            </w:r>
            <w:r w:rsidRPr="00843B8C">
              <w:rPr>
                <w:lang w:val="es-ES"/>
              </w:rPr>
              <w:t>Lindsay, 2020; Sakka &amp; Gaboriau, 2017;</w:t>
            </w:r>
            <w:r>
              <w:rPr>
                <w:lang w:val="es-ES"/>
              </w:rPr>
              <w:t xml:space="preserve"> </w:t>
            </w:r>
            <w:r w:rsidRPr="00843B8C">
              <w:rPr>
                <w:lang w:val="es-ES"/>
              </w:rPr>
              <w:t xml:space="preserve">Chevalier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w:t>
      </w:r>
      <w:r w:rsidR="001E00BC">
        <w:t>Scassellati et al. (2018)</w:t>
      </w:r>
      <w:r w:rsidR="001E00BC">
        <w:t>)</w:t>
      </w:r>
      <w:r w:rsidR="00D74B4F">
        <w:t>, and collaborative tasks</w:t>
      </w:r>
      <w:r w:rsidR="00A8261A">
        <w:t xml:space="preserve"> (</w:t>
      </w:r>
      <w:r w:rsidR="00A8261A">
        <w:t>Nanou et al. (2021)</w:t>
      </w:r>
      <w:r w:rsidR="00A8261A">
        <w:t>)</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r w:rsidR="00A8261A">
        <w:t>(Kajopoulos et al., 2015)</w:t>
      </w:r>
      <w:r w:rsidR="00825756">
        <w:t>, communication</w:t>
      </w:r>
      <w:r w:rsidR="00A8261A">
        <w:t xml:space="preserve"> </w:t>
      </w:r>
      <w:r w:rsidR="00A8261A">
        <w:t>(Silvera-Tawil et al., 2018)</w:t>
      </w:r>
      <w:r w:rsidR="00825756">
        <w:t xml:space="preserve"> and </w:t>
      </w:r>
      <w:r w:rsidR="009B0117">
        <w:t>emotional recognition</w:t>
      </w:r>
      <w:r w:rsidR="001E00BC">
        <w:t xml:space="preserve"> (</w:t>
      </w:r>
      <w:r w:rsidR="001E00BC">
        <w:t>Marino et al. (2020)</w:t>
      </w:r>
      <w:r w:rsidR="00292A5A">
        <w:t xml:space="preserve">, </w:t>
      </w:r>
      <w:r w:rsidR="00292A5A">
        <w:t>Costa et al., 2014</w:t>
      </w:r>
      <w:r w:rsidR="001E00BC">
        <w:t>)</w:t>
      </w:r>
      <w:r w:rsidR="002868AF">
        <w:t xml:space="preserve">. Both </w:t>
      </w:r>
      <w:r w:rsidR="00776E19">
        <w:t>structured protocols</w:t>
      </w:r>
      <w:r w:rsidR="00A8261A">
        <w:t xml:space="preserve"> (</w:t>
      </w:r>
      <w:r w:rsidR="00A8261A">
        <w:t>Shimaya et al. (2016) and Silva et al. (2023)</w:t>
      </w:r>
      <w:r w:rsidR="00A8261A">
        <w:t>)</w:t>
      </w:r>
      <w:r w:rsidR="00776E19">
        <w:t xml:space="preserve"> and spontaneous interactions</w:t>
      </w:r>
      <w:r w:rsidR="00292A5A">
        <w:t xml:space="preserve"> (</w:t>
      </w:r>
      <w:r w:rsidR="00292A5A">
        <w:t>Giannopulu (2013)</w:t>
      </w:r>
      <w:r w:rsidR="00292A5A">
        <w:t>)</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w:t>
      </w:r>
      <w:r w:rsidR="008E4624">
        <w:t xml:space="preserve">(Alnajjar et al., 2021; Agel et al., </w:t>
      </w:r>
      <w:r w:rsidR="008E4624">
        <w:lastRenderedPageBreak/>
        <w:t>2020; Hossain et al., 2020)</w:t>
      </w:r>
      <w:r w:rsidR="00A96103">
        <w:t>, joint attention task</w:t>
      </w:r>
      <w:r w:rsidR="00E81154">
        <w:t>s</w:t>
      </w:r>
      <w:r w:rsidR="008E4624">
        <w:t xml:space="preserve"> </w:t>
      </w:r>
      <w:r w:rsidR="008E4624">
        <w:t>(Brivio et al., 2021; Carlson et al., 2018)</w:t>
      </w:r>
      <w:r w:rsidR="00E81154">
        <w:t xml:space="preserve"> and language learning exercises</w:t>
      </w:r>
      <w:r w:rsidR="00963693">
        <w:t xml:space="preserve"> </w:t>
      </w:r>
      <w:r w:rsidR="00963693">
        <w:t>(Bharatharaj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w:t>
      </w:r>
      <w:r w:rsidR="00963693">
        <w:t>(She &amp; Ren, 2021; Welch et al., 2023)</w:t>
      </w:r>
      <w:r w:rsidR="00271191">
        <w:t>.</w:t>
      </w:r>
    </w:p>
    <w:p w14:paraId="71D6D934" w14:textId="571D16B9" w:rsidR="00372DAF" w:rsidRDefault="00963693" w:rsidP="006B028F">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w:t>
      </w:r>
      <w:r w:rsidR="00B71391">
        <w:t>Robles-Bykbaev et al. (2018)</w:t>
      </w:r>
      <w:r w:rsidR="00B71391">
        <w:t>)</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r w:rsidR="00442257">
        <w:t>(Miskam et al., 2013; Marathaki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r w:rsidR="005D49B7">
        <w:t>(Lemaignan et al., 2022; Zhanatkyzy et al., 2020)</w:t>
      </w:r>
      <w:r w:rsidR="005D49B7">
        <w:t xml:space="preserve"> and </w:t>
      </w:r>
      <w:r w:rsidR="0095720E">
        <w:t>for doing structured exercises</w:t>
      </w:r>
      <w:r w:rsidR="0019269A">
        <w:t xml:space="preserve"> (</w:t>
      </w:r>
      <w:r w:rsidR="0019269A">
        <w:t>Moorthy &amp; Pugazhenthi (2016)</w:t>
      </w:r>
      <w:r w:rsidR="0019269A">
        <w:t xml:space="preserve">, </w:t>
      </w:r>
      <w:r w:rsidR="0019269A">
        <w:t>Subramani et al. (2017)</w:t>
      </w:r>
      <w:r w:rsidR="0019269A">
        <w:t>)</w:t>
      </w:r>
      <w:r w:rsidR="00F6561A">
        <w:t>.</w:t>
      </w:r>
      <w:r w:rsidR="0019269A">
        <w:t xml:space="preserve"> On the other hand, some </w:t>
      </w:r>
      <w:r w:rsidR="00DB4B40">
        <w:t xml:space="preserve">studies incorporated musical elements </w:t>
      </w:r>
      <w:r w:rsidR="00B71391">
        <w:t>into movement-based interventions (</w:t>
      </w:r>
      <w:r w:rsidR="00B71391">
        <w:t>Taheri et al., 2016, 2019; Peng et al., 2018</w:t>
      </w:r>
      <w:r w:rsidR="00B71391">
        <w:t xml:space="preserve">). </w:t>
      </w:r>
      <w:r w:rsidR="00BC3C04">
        <w:t xml:space="preserve"> </w:t>
      </w:r>
      <w:r w:rsidR="00BC3C04">
        <w:t>The complexity of activities varied widely, from simple body awareness exercises (Costa et al., 2013) to sophisticated interactive scenarios (Hamzah et al., 2014).</w:t>
      </w:r>
    </w:p>
    <w:p w14:paraId="61B91B83" w14:textId="78F26992" w:rsidR="00D84AC6" w:rsidRPr="00D84AC6" w:rsidRDefault="00D84AC6" w:rsidP="00120362">
      <w:pPr>
        <w:rPr>
          <w:u w:val="single"/>
        </w:rPr>
      </w:pPr>
      <w:r>
        <w:t>####</w:t>
      </w:r>
    </w:p>
    <w:p w14:paraId="3FF44CCD" w14:textId="2627D8E9" w:rsidR="00120362" w:rsidRDefault="00120362" w:rsidP="00120362">
      <w:r>
        <w:t>25 papers out of 97 (25.8%) implemented emotion and expression recognition activities with robots. These studies primarily focused on teaching emotional recognition skills through interactive exercises with social robots. Many used humanoid robots like NAO to display and teach facial expressions and emotional states (Miskam et al., 2013; Sandygulova et al., 2019; Zhanatkyzy et al., 2020). Some researchers incorporated emotion recognition into storytelling and interactive gameplay (Silva et al., 2023; Scassellati et al., 2018). Others took a more technological approach, developing systems with advanced recognition algorithms (Li et al., 2020; Alnajjar et al., 2021). The interventions often combined multiple modalities of emotional expression, such as gesture recognition alongside facial expressions (Tobar et al., 2021). Some studies, like Lemaignan et al. (2022), implemented mood reporting systems to reinforce emotional awareness. These diverse approaches demonstrate the potential of robotic interventions in enhancing emotional recognition skills for individuals with intellectual disabilities.</w:t>
      </w:r>
    </w:p>
    <w:p w14:paraId="3DAD6479" w14:textId="77777777" w:rsidR="00120362" w:rsidRDefault="00120362" w:rsidP="006B028F"/>
    <w:p w14:paraId="0674D7F2" w14:textId="7D96ED7C" w:rsidR="006B028F" w:rsidRDefault="006B028F" w:rsidP="006B028F">
      <w:r>
        <w:t xml:space="preserve">22 papers implemented storytelling and play-based activities with robots. These interventions showcased a wide range of approaches and objectives. Many studies utilized humanoid robots, particularly NAO, for interactive storytelling and play. Che Hamid et al. </w:t>
      </w:r>
      <w:r>
        <w:lastRenderedPageBreak/>
        <w:t>(2013) and Miskam et al. (2013) developed specific storytelling modules, while Marathaki et al. (2022) incorporated symbolic play activities. The storytelling methods varied, from structured social stories (Silva et al., 2023) to interactive story creation (Lemaignan et al., 2022). Some researchers combined storytelling with other elements, such as music (Hamzah et al., 2014) or programming (Sakka &amp; Gaboriau, 2017). The objectives of these activities were diverse, targeting social communication skills (Silva et al., 2023), symbolic play, and imitation skills (Marathaki et al., 2022). Some studies, like Brivio et al. (2021) and Bonarini et al. (2016), explored the use of soft, mobile robots for more engaging play-based interactions, demonstrating the adaptability of robotic interventions in this domain.</w:t>
      </w:r>
    </w:p>
    <w:p w14:paraId="4651FFDD" w14:textId="77777777" w:rsidR="006B028F" w:rsidRDefault="006B028F" w:rsidP="006B028F">
      <w:r>
        <w:t>20 papers out of 96 (20.8%) incorporated music and rhythm activities with robots. These interventions included various forms of musical engagement, such as singing, dancing, instrument playing, and rhythm-based exercises. Many studies utilized humanoid robots, particularly NAO, for music-based interventions (Che Hamid et al., 2013; Miskam et al., 2013; Hamzah et al., 2014). Some researchers explored more specialized musical applications, like Peng et al. (2018) using a vibraphone and Taheri et al. (2016) incorporating xylophone and drum activities. The musical activities served various therapeutic and educational purposes, from enhancing social engagement (Bharatharaj et al., 2018; Brivio et al., 2021) to developing symbolic play and imitation skills (Marathaki et al., 2022; Sandygulova et al., 2019). Many studies integrated music as a reinforcement strategy or engagement tool (Yun et al., 2016; Lemaignan et al., 2022). The implementation of these musical activities varied in complexity and purpose, ranging from simple song playback to structured musical instruction.</w:t>
      </w:r>
    </w:p>
    <w:p w14:paraId="52D1AA2F" w14:textId="77777777" w:rsidR="006B028F" w:rsidRDefault="006B028F" w:rsidP="006B028F"/>
    <w:p w14:paraId="507AB24D" w14:textId="77777777" w:rsidR="006B028F" w:rsidRDefault="006B028F" w:rsidP="006B028F">
      <w:r>
        <w:t xml:space="preserve">16 papers out of 97 (16.5%) incorporated executive function and cognitive activities using robots. These interventions focused on developing cognitive skills through various robotic platforms and programming tasks. Some studies used specialized robots, like Pérez-Vazquez et al. (2022) employing Bee-Bot for enhancing executive functions, and Nanou et al. (2021) using LEGO Mindstorms for programming exercises. Many interventions integrated multiple approaches, such as Robles-Bykbaev et al. (2018) developing a hybrid system with multi-sensory stimulation rooms and robotic assistants. Mathematical and computational thinking were prominent focuses, with studies like Shahriar et al. (2021) and Reardon et al. (2018) incorporating mathematical exercises and geometric reasoning tasks. Programming activities were frequently used as cognitive development tools (Lindsay, 2020; Sakka &amp; Gaboriau, 2017). Some researchers implemented game-based approaches, like Chevalier et al. (n.d.) using "Simon says" to evaluate executive function </w:t>
      </w:r>
      <w:r>
        <w:lastRenderedPageBreak/>
        <w:t>skills. These diverse methods highlight the potential of robotic interventions in enhancing cognitive abilities for individuals with intellectual disabilities.</w:t>
      </w:r>
    </w:p>
    <w:p w14:paraId="0E171D07" w14:textId="77777777" w:rsidR="006B028F" w:rsidRDefault="006B028F" w:rsidP="006B028F"/>
    <w:p w14:paraId="72D7AC71" w14:textId="5D5B59D0"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745014B7" w14:textId="5346AD60"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50D2A2B"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90CBB0E" w14:textId="1870DA49" w:rsidR="008F2D01" w:rsidRDefault="704AD576" w:rsidP="38E66F8A">
      <w:pPr>
        <w:spacing w:after="0"/>
        <w:jc w:val="both"/>
        <w:rPr>
          <w:rFonts w:ascii="Calibri" w:eastAsia="Calibri" w:hAnsi="Calibri" w:cs="Calibri"/>
        </w:rPr>
      </w:pPr>
      <w:r w:rsidRPr="38E66F8A">
        <w:rPr>
          <w:rFonts w:ascii="Calibri" w:eastAsia="Calibri" w:hAnsi="Calibri" w:cs="Calibri"/>
        </w:rPr>
        <w:t xml:space="preserve"> </w:t>
      </w:r>
    </w:p>
    <w:tbl>
      <w:tblPr>
        <w:tblStyle w:val="Tabelacomgrade"/>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Scassellati., 2018; Valadao et al., 2016; Bharatharaj et al., 2017;</w:t>
            </w:r>
            <w:r>
              <w:t xml:space="preserve"> Attawibulkul et al., 2019; Bonarini et al., 2014; Welch et al., 2023; </w:t>
            </w:r>
            <w:r w:rsidRPr="00F30B05">
              <w:t>Wanglavan et al., 2019;</w:t>
            </w:r>
            <w:r>
              <w:t xml:space="preserve"> </w:t>
            </w:r>
            <w:r w:rsidRPr="00F30B05">
              <w:t>Bharatharaj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Alnajjar et al., 2021; Cervera et al., n.d.; Charron et al., 2017; Conti et al., 2020; De Korte et al., 2020; Costa et al., 2013; Wood et al., 2017, 2019; Bugnariu et al., 2013; Costa et al., 2014; Li et al., 202</w:t>
            </w:r>
            <w:r w:rsidR="00853883" w:rsidRPr="00853883">
              <w:t xml:space="preserve">0; </w:t>
            </w:r>
            <w:r w:rsidRPr="00853883">
              <w:t>Lindsay, 2020; Marzano et al., 2021; Zamin et al., 2019</w:t>
            </w:r>
            <w:r w:rsidR="00853883" w:rsidRPr="00853883">
              <w:t>;</w:t>
            </w:r>
            <w:r w:rsidR="00853883">
              <w:t xml:space="preserve"> </w:t>
            </w:r>
            <w:r w:rsidRPr="00853883">
              <w:t>Chaldi &amp; Mantzanidou, 2021; Pérez-Vazquez et al., 2022</w:t>
            </w:r>
            <w:r w:rsidR="00853883">
              <w:t xml:space="preserve">; </w:t>
            </w:r>
            <w:r w:rsidRPr="00853883">
              <w:t>Giannopulu, 2013;</w:t>
            </w:r>
            <w:r w:rsidR="00853883">
              <w:t xml:space="preserve"> </w:t>
            </w:r>
            <w:r w:rsidRPr="00853883">
              <w:t>Puyon &amp; Giannopulu,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r>
              <w:t>Casellato et al., 2017</w:t>
            </w:r>
            <w:r w:rsidR="00853883">
              <w:t>.</w:t>
            </w:r>
          </w:p>
        </w:tc>
      </w:tr>
      <w:tr w:rsidR="00F30B05" w:rsidRPr="00120362" w14:paraId="0DCB88B8" w14:textId="77777777" w:rsidTr="00F30B05">
        <w:tc>
          <w:tcPr>
            <w:tcW w:w="4675" w:type="dxa"/>
          </w:tcPr>
          <w:p w14:paraId="0B58FD3D" w14:textId="071BB6D8" w:rsidR="00F30B05" w:rsidRDefault="00F30B05" w:rsidP="008F2D01">
            <w:r>
              <w:t>Commercial non-robots</w:t>
            </w:r>
          </w:p>
        </w:tc>
        <w:tc>
          <w:tcPr>
            <w:tcW w:w="4675" w:type="dxa"/>
          </w:tcPr>
          <w:p w14:paraId="6FF7BAF0" w14:textId="2F171486" w:rsidR="00F30B05" w:rsidRPr="00853883" w:rsidRDefault="00F30B05" w:rsidP="008F2D01">
            <w:pPr>
              <w:rPr>
                <w:lang w:val="es-ES"/>
              </w:rPr>
            </w:pPr>
            <w:r w:rsidRPr="00853883">
              <w:rPr>
                <w:lang w:val="es-ES"/>
              </w:rPr>
              <w:t>Bonarini et al., 2014</w:t>
            </w:r>
            <w:r w:rsidR="00C777E1">
              <w:rPr>
                <w:lang w:val="es-ES"/>
              </w:rPr>
              <w:t>, 2016</w:t>
            </w:r>
            <w:r w:rsidRPr="00853883">
              <w:rPr>
                <w:lang w:val="es-ES"/>
              </w:rPr>
              <w:t>; Taheri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r w:rsidRPr="00853883">
              <w:rPr>
                <w:lang w:val="es-ES"/>
              </w:rPr>
              <w:t>Sandygulova et al., 2019;</w:t>
            </w:r>
            <w:r w:rsidR="00853883" w:rsidRPr="00853883">
              <w:rPr>
                <w:lang w:val="es-ES"/>
              </w:rPr>
              <w:t xml:space="preserve"> </w:t>
            </w:r>
            <w:r w:rsidRPr="00853883">
              <w:rPr>
                <w:lang w:val="es-ES"/>
              </w:rPr>
              <w:t>Soleiman et al., 2014</w:t>
            </w:r>
            <w:r w:rsidR="00853883" w:rsidRPr="00853883">
              <w:rPr>
                <w:lang w:val="es-ES"/>
              </w:rPr>
              <w:t xml:space="preserve">; </w:t>
            </w:r>
            <w:r w:rsidRPr="00853883">
              <w:rPr>
                <w:lang w:val="es-ES"/>
              </w:rPr>
              <w:t>Mavadati et al., 2014</w:t>
            </w:r>
            <w:r w:rsidR="00853883" w:rsidRPr="00853883">
              <w:rPr>
                <w:lang w:val="es-ES"/>
              </w:rPr>
              <w:t xml:space="preserve">; </w:t>
            </w:r>
            <w:r w:rsidRPr="00853883">
              <w:rPr>
                <w:lang w:val="es-ES"/>
              </w:rPr>
              <w:t xml:space="preserve">Lee et al., </w:t>
            </w:r>
            <w:r w:rsidRPr="00853883">
              <w:rPr>
                <w:lang w:val="es-ES"/>
              </w:rPr>
              <w:lastRenderedPageBreak/>
              <w:t>2013</w:t>
            </w:r>
            <w:r w:rsidR="00853883" w:rsidRPr="00853883">
              <w:rPr>
                <w:lang w:val="es-ES"/>
              </w:rPr>
              <w:t xml:space="preserve">; </w:t>
            </w:r>
            <w:r w:rsidRPr="00853883">
              <w:rPr>
                <w:lang w:val="es-ES"/>
              </w:rPr>
              <w:t>Subramani et al., 2017</w:t>
            </w:r>
            <w:r w:rsidR="00853883" w:rsidRPr="00853883">
              <w:rPr>
                <w:lang w:val="es-ES"/>
              </w:rPr>
              <w:t xml:space="preserve">; </w:t>
            </w:r>
            <w:r w:rsidRPr="00853883">
              <w:rPr>
                <w:lang w:val="es-ES"/>
              </w:rPr>
              <w:t>Bugnariu et al., 2013</w:t>
            </w:r>
            <w:r w:rsidR="00853883" w:rsidRPr="00853883">
              <w:rPr>
                <w:lang w:val="es-ES"/>
              </w:rPr>
              <w:t xml:space="preserve">; </w:t>
            </w:r>
            <w:r w:rsidRPr="00853883">
              <w:rPr>
                <w:lang w:val="es-ES"/>
              </w:rPr>
              <w:t>Casellato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r w:rsidRPr="00853883">
              <w:rPr>
                <w:lang w:val="es-ES"/>
              </w:rPr>
              <w:t>Tartarisco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lastRenderedPageBreak/>
              <w:t>Commercial software</w:t>
            </w:r>
          </w:p>
        </w:tc>
        <w:tc>
          <w:tcPr>
            <w:tcW w:w="4675" w:type="dxa"/>
          </w:tcPr>
          <w:p w14:paraId="043A471E" w14:textId="1232DB27" w:rsidR="00F30B05" w:rsidRPr="00853883" w:rsidRDefault="00F30B05" w:rsidP="00853883">
            <w:r>
              <w:t>Conti et al., 2020; Che Hamid et al., 2013; Hamzah et al., 2014; Marathaki et al., 2022; Park &amp; Kwon, 2016; Sakka &amp; Gaboriau, 2017; Sandygulova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r w:rsidRPr="00853883">
              <w:t>Bugnariu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r w:rsidRPr="00853883">
              <w:t>Bharatharaj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r w:rsidRPr="00853883">
              <w:t>Bonarini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Robles-Bykbaev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r w:rsidRPr="00853883">
              <w:t>Binotte et al., 2017</w:t>
            </w:r>
            <w:r w:rsidR="00853883">
              <w:t xml:space="preserve">; </w:t>
            </w:r>
            <w:r>
              <w:t>Wanglavan et al., 2019</w:t>
            </w:r>
            <w:r w:rsidR="00853883">
              <w:t xml:space="preserve">; </w:t>
            </w:r>
            <w:r>
              <w:t>Giannopulu, 2013</w:t>
            </w:r>
            <w:r w:rsidR="00853883">
              <w:t>.</w:t>
            </w:r>
          </w:p>
        </w:tc>
      </w:tr>
      <w:tr w:rsidR="00F30B05" w:rsidRPr="00120362"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r w:rsidRPr="00F30B05">
              <w:rPr>
                <w:lang w:val="es-ES"/>
              </w:rPr>
              <w:t>Scassellati, 2018</w:t>
            </w:r>
            <w:r w:rsidR="00853883">
              <w:rPr>
                <w:lang w:val="es-ES"/>
              </w:rPr>
              <w:t xml:space="preserve">; </w:t>
            </w:r>
            <w:r w:rsidRPr="00F30B05">
              <w:rPr>
                <w:lang w:val="es-ES"/>
              </w:rPr>
              <w:t>Robles-Bykbaev et al., 2018</w:t>
            </w:r>
            <w:r w:rsidR="00853883">
              <w:rPr>
                <w:lang w:val="es-ES"/>
              </w:rPr>
              <w:t xml:space="preserve">; </w:t>
            </w:r>
            <w:r w:rsidRPr="00F30B05">
              <w:rPr>
                <w:lang w:val="es-ES"/>
              </w:rPr>
              <w:t>Subramani et al., 2017</w:t>
            </w:r>
            <w:r w:rsidR="00853883">
              <w:rPr>
                <w:lang w:val="es-ES"/>
              </w:rPr>
              <w:t xml:space="preserve">; </w:t>
            </w:r>
            <w:r w:rsidRPr="00F30B05">
              <w:rPr>
                <w:lang w:val="es-ES"/>
              </w:rPr>
              <w:t>Alnajjar et al., 2021</w:t>
            </w:r>
            <w:r w:rsidR="00853883">
              <w:rPr>
                <w:lang w:val="es-ES"/>
              </w:rPr>
              <w:t xml:space="preserve">; </w:t>
            </w:r>
            <w:r w:rsidRPr="00F30B05">
              <w:rPr>
                <w:lang w:val="es-ES"/>
              </w:rPr>
              <w:t>Hossain et al., 2020</w:t>
            </w:r>
            <w:r w:rsidR="00853883">
              <w:rPr>
                <w:lang w:val="es-ES"/>
              </w:rPr>
              <w:t xml:space="preserve">; </w:t>
            </w:r>
            <w:r w:rsidRPr="00F30B05">
              <w:rPr>
                <w:lang w:val="es-ES"/>
              </w:rPr>
              <w:t>Brivio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1332F1F6" w:rsidR="008F2D01" w:rsidRDefault="008F2D01" w:rsidP="008F2D01">
      <w:r>
        <w:t xml:space="preserve">69 out of 96 papers (71.9%) reported using commercially available robots in their studies. The most frequently used commercial robot was the NAO humanoid robot by SoftBank Robotics, employed in 25 studies (Alnajjar et al., 2021; Cervera et al., n.d.; Charron et al., 2017; Conti et al., 2020; De Korte et al., 2020; among others). Other popular robots included the KASPAR robot (Costa et al., 2013; Wood et al., 2017, 2019), the Zeno/ZECA robot (Bugnariu et al., 2013; Costa et al., 2014; Li et al., 2020), LEGO robotics platforms (Lindsay, 2020; Marzano et al., 2021; Zamin et al., 2019), and specialized educational and therapeutic robots like the Bee-Bot (Chaldi &amp; Mantzanidou, 2021; Pérez-Vazquez et al., 2022), POL (Giannopulu, 2013; Puyon &amp; Giannopulu, 2013), and iRobiQ (Lee et al., 2013; Yun et al., 2014, 2016). Some studies used robotic arms and manipulation platforms, such </w:t>
      </w:r>
      <w:r>
        <w:lastRenderedPageBreak/>
        <w:t>as the OWI-535 Robotic Arm Edge kit (Moorthy &amp; Pugazhenthi, 2017) and the Phantom Omni haptic device (Casellato et al., 2017).</w:t>
      </w:r>
    </w:p>
    <w:p w14:paraId="476D4C8C" w14:textId="77777777"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(Bonarini et al., 2014; Bonarini et al., 2016; Taheri et al., 2016; Taheri et al., 2019; Taheri et al., 2018; Yun et al., 2014; Yun et al., 2016). Various cameras were also used, including webcams (Sandygulova et al., 2019; Soleiman et al., 2014), HD cameras (Mavadati et al., 2014), and specialized cameras like the ASUS XtionPro (Lee et al., 2013). Motion capture and tracking systems were employed, such as PTI Phoenix Technologies Motion Capture Equipment (Subramani et al., 2017) and 12-camera motion analysis systems (Bugnariu et al., 2013). Eye tracking technology like the Tobii Eye Tracker T60 (Casellato et al., 2017), physiological monitoring devices like the Empatica E4 wristband (Welch et al., 2023) and Zephyr heart rate variability chest belt (Tartarisco et al., 2022), mobile devices, and other specialized equipment were also utilized.</w:t>
      </w:r>
    </w:p>
    <w:p w14:paraId="78462FA3" w14:textId="77777777" w:rsidR="008F2D01" w:rsidRDefault="008F2D01" w:rsidP="008F2D01"/>
    <w:p w14:paraId="379E6AFD" w14:textId="77777777" w:rsidR="008F2D01" w:rsidRDefault="008F2D01" w:rsidP="008F2D01">
      <w:r>
        <w:t>37 out of 96 papers (38.5%) reported using commercially available software. The most frequently employed was Choregraphe, a robot programming platform for humanoid robots, used in multiple studies (Conti et al., 2020; Che Hamid et al., 2013; Hamzah et al., 2014; Marathaki et al., 2022; Park &amp; Kwon, 2016; Sakka &amp; Gaboriau, 2017; Sandygulova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AITalk for text-to-speech (Shimaya et al., 2016, 2019), The Observer XT for video analysis (Costa et al., 2014), development environments like Unity 3D (Abdelmohsen &amp; Arafa, 2021), LabVIEW (Bugnariu et al., 2013; Subramani et al., 2017), TiViPE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KiliRo (Bharatharaj et al., 2017, 2016, 2018) and RoboParrot (Soleiman et al., 2014) for improving learning and social interaction in children with autism, TeoG (Brivio et al., 2021) and Teo (Bonarini et al., 2016) for children with neurodevelopmental disorders. Humanoid or anthropomorphic platforms were developed, such as CommU (Shimaya et </w:t>
      </w:r>
      <w:r>
        <w:lastRenderedPageBreak/>
        <w:t>al., 2016, 2019), a custom humanoid robot by Hossain et al. (2020), and a 3D printed anthropomorphic robot (Robles-Bykbaev et al., 2018). Modular or adaptable platforms included KERO and a portable modular kit (Tobar et al., 2021), a modified robotic arm (Moorthy &amp; Pugazhenthi, 2017), and Jawi Alphabot using LEGO EV3 (Zamin et al., 2019). Mobile robots were also prevalent, such as MARIA (Valadao et al., 2016), N-MARIA (Binotte et al., 2017), BLISS (Wanglavan et al., 2019), and GIPY 1 and POL (Giannopulu,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(Robles-Bykbaev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81 out of 96 papers (84.4%) reported using custom developed software. The most common type was custom robot behavior control software, implemented in studies like Scassellati (2018), Valadao et al. (2016), and Bharatharaj et al. (2017) to program specific robot movements, responses, and interactions. Many studies developed custom interactive games and activities tailored to their therapeutic goals, such as a daily routine game (Attawibulkul et al., 2019) and motion-based touchless interactions (Bonarini et al., 2014). Custom algorithms were created for various analytical purposes, including machine learning for processing physiological signals (Welch et al., 2023), attention detection (Wanglavan et al., 2019), facial recognition (Bharatharaj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Jawi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lastRenderedPageBreak/>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5503534" w14:textId="77777777" w:rsidR="00853883" w:rsidRDefault="00853883" w:rsidP="00DB3A5A"/>
    <w:tbl>
      <w:tblPr>
        <w:tblStyle w:val="Tabelacomgrade"/>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120362"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w:t>
            </w:r>
            <w:r w:rsidR="00685A5D">
              <w:t xml:space="preserve">; </w:t>
            </w:r>
            <w:r w:rsidRPr="00685A5D">
              <w:t>Costa et al., 2013; Wood et al., 2017, 2019</w:t>
            </w:r>
            <w:r w:rsidR="00685A5D">
              <w:t xml:space="preserve">; </w:t>
            </w:r>
            <w:r w:rsidRPr="00685A5D">
              <w:t>Bugnariu et al., 2013; Li et al., 2020</w:t>
            </w:r>
            <w:r w:rsidR="00685A5D">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r w:rsidRPr="00D874D1">
              <w:rPr>
                <w:lang w:val="es-ES"/>
              </w:rPr>
              <w:t>Lemaignan et al., 2022</w:t>
            </w:r>
            <w:r w:rsidR="00685A5D">
              <w:rPr>
                <w:lang w:val="es-ES"/>
              </w:rPr>
              <w:t xml:space="preserve">; </w:t>
            </w:r>
            <w:r w:rsidRPr="00D874D1">
              <w:rPr>
                <w:lang w:val="es-ES"/>
              </w:rPr>
              <w:t>Chevalier et al., n.d.</w:t>
            </w:r>
            <w:r w:rsidR="00685A5D">
              <w:rPr>
                <w:lang w:val="es-ES"/>
              </w:rPr>
              <w:t xml:space="preserve">; </w:t>
            </w:r>
            <w:r w:rsidRPr="00D874D1">
              <w:rPr>
                <w:lang w:val="es-ES"/>
              </w:rPr>
              <w:t>Shimaya et al., 2016, 2019</w:t>
            </w:r>
            <w:r w:rsidR="00685A5D">
              <w:rPr>
                <w:lang w:val="es-ES"/>
              </w:rPr>
              <w:t xml:space="preserve">; </w:t>
            </w:r>
            <w:r w:rsidRPr="00D874D1">
              <w:rPr>
                <w:lang w:val="es-ES"/>
              </w:rPr>
              <w:t>Tartarisco et al., 2022</w:t>
            </w:r>
            <w:r w:rsidR="00685A5D">
              <w:rPr>
                <w:lang w:val="es-ES"/>
              </w:rPr>
              <w:t xml:space="preserve">; </w:t>
            </w:r>
            <w:r w:rsidRPr="00D874D1">
              <w:rPr>
                <w:lang w:val="es-ES"/>
              </w:rPr>
              <w:t>Peng et al., 2018</w:t>
            </w:r>
            <w:r w:rsidR="00685A5D">
              <w:rPr>
                <w:lang w:val="es-ES"/>
              </w:rPr>
              <w:t xml:space="preserve">; </w:t>
            </w:r>
            <w:r w:rsidRPr="00D874D1">
              <w:rPr>
                <w:lang w:val="es-ES"/>
              </w:rPr>
              <w:t>Tobar et al., 2021</w:t>
            </w:r>
            <w:r w:rsidR="00685A5D">
              <w:rPr>
                <w:lang w:val="es-ES"/>
              </w:rPr>
              <w:t xml:space="preserve">; </w:t>
            </w:r>
            <w:r w:rsidRPr="00D874D1">
              <w:rPr>
                <w:lang w:val="es-ES"/>
              </w:rPr>
              <w:t>Brivio et al., 2021</w:t>
            </w:r>
            <w:r w:rsidR="00685A5D">
              <w:rPr>
                <w:lang w:val="es-ES"/>
              </w:rPr>
              <w:t xml:space="preserve">; </w:t>
            </w:r>
            <w:r w:rsidRPr="00D874D1">
              <w:rPr>
                <w:lang w:val="es-ES"/>
              </w:rPr>
              <w:t>Abdelmohsen &amp; Arafa, 2021</w:t>
            </w:r>
            <w:r w:rsidR="00685A5D">
              <w:rPr>
                <w:lang w:val="es-ES"/>
              </w:rPr>
              <w:t>.</w:t>
            </w:r>
          </w:p>
        </w:tc>
      </w:tr>
      <w:tr w:rsidR="00853883" w:rsidRPr="00120362" w14:paraId="27EB5987" w14:textId="77777777" w:rsidTr="00685A5D">
        <w:tc>
          <w:tcPr>
            <w:tcW w:w="2263" w:type="dxa"/>
          </w:tcPr>
          <w:p w14:paraId="4ACB09B1" w14:textId="5166C8A8" w:rsidR="00853883" w:rsidRDefault="00853883" w:rsidP="00DB3A5A">
            <w:r>
              <w:t>Communication feedback</w:t>
            </w:r>
          </w:p>
        </w:tc>
        <w:tc>
          <w:tcPr>
            <w:tcW w:w="7087" w:type="dxa"/>
          </w:tcPr>
          <w:p w14:paraId="6A3FAD61" w14:textId="6D1E2ABC" w:rsidR="00853883" w:rsidRPr="00731C3B" w:rsidRDefault="00685A5D" w:rsidP="00731C3B">
            <w:pPr>
              <w:rPr>
                <w:lang w:val="es-ES"/>
              </w:rPr>
            </w:pPr>
            <w:r w:rsidRPr="00685A5D">
              <w:rPr>
                <w:lang w:val="es-ES"/>
              </w:rPr>
              <w:t>Charron et al., 2017; Conti et al., 2020; Papadopoulou et al., 2022;</w:t>
            </w:r>
            <w:r>
              <w:rPr>
                <w:lang w:val="es-ES"/>
              </w:rPr>
              <w:t xml:space="preserve"> </w:t>
            </w:r>
            <w:r w:rsidRPr="00685A5D">
              <w:rPr>
                <w:lang w:val="es-ES"/>
              </w:rPr>
              <w:t>Pennington et al., 2014</w:t>
            </w:r>
            <w:r>
              <w:rPr>
                <w:lang w:val="es-ES"/>
              </w:rPr>
              <w:t xml:space="preserve">; </w:t>
            </w:r>
            <w:r w:rsidRPr="00685A5D">
              <w:rPr>
                <w:lang w:val="es-ES"/>
              </w:rPr>
              <w:t>Valadao et al., 2016</w:t>
            </w:r>
            <w:r w:rsidR="004E49ED">
              <w:rPr>
                <w:lang w:val="es-ES"/>
              </w:rPr>
              <w:t xml:space="preserve">; </w:t>
            </w:r>
            <w:r w:rsidRPr="00685A5D">
              <w:rPr>
                <w:lang w:val="es-ES"/>
              </w:rPr>
              <w:t>Bonarini et al., 2016</w:t>
            </w:r>
            <w:r w:rsidR="004E49ED">
              <w:rPr>
                <w:lang w:val="es-ES"/>
              </w:rPr>
              <w:t>;</w:t>
            </w:r>
            <w:r w:rsidR="00731C3B">
              <w:rPr>
                <w:lang w:val="es-ES"/>
              </w:rPr>
              <w:t xml:space="preserve"> </w:t>
            </w:r>
            <w:r w:rsidRPr="00685A5D">
              <w:rPr>
                <w:lang w:val="es-ES"/>
              </w:rPr>
              <w:t>Tartarisco et al., 2022</w:t>
            </w:r>
            <w:r w:rsidR="00731C3B">
              <w:rPr>
                <w:lang w:val="es-ES"/>
              </w:rPr>
              <w:t xml:space="preserve">; </w:t>
            </w:r>
            <w:r w:rsidRPr="00685A5D">
              <w:rPr>
                <w:lang w:val="es-ES"/>
              </w:rPr>
              <w:t>Bugnariu et al., 2013; Marino et al., 2020</w:t>
            </w:r>
            <w:r w:rsidR="00731C3B">
              <w:rPr>
                <w:lang w:val="es-ES"/>
              </w:rPr>
              <w:t xml:space="preserve">; </w:t>
            </w:r>
            <w:r w:rsidRPr="00731C3B">
              <w:rPr>
                <w:lang w:val="es-ES"/>
              </w:rPr>
              <w:t>Boccanfuso et al., 2016</w:t>
            </w:r>
            <w:r w:rsidR="00731C3B">
              <w:rPr>
                <w:lang w:val="es-ES"/>
              </w:rPr>
              <w:t xml:space="preserve">; </w:t>
            </w:r>
            <w:r w:rsidRPr="00731C3B">
              <w:rPr>
                <w:lang w:val="es-ES"/>
              </w:rPr>
              <w:t>She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120362"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r w:rsidRPr="00D874D1">
              <w:rPr>
                <w:lang w:val="es-ES"/>
              </w:rPr>
              <w:t>Valadao et al., 2016; Bharatharaj et al., 2017; Boccanfuso et al., 2016</w:t>
            </w:r>
            <w:r w:rsidR="00731C3B">
              <w:rPr>
                <w:lang w:val="es-ES"/>
              </w:rPr>
              <w:t xml:space="preserve">; </w:t>
            </w:r>
            <w:r w:rsidRPr="00D874D1">
              <w:rPr>
                <w:lang w:val="es-ES"/>
              </w:rPr>
              <w:t>Brivio et al., 2021; Kim et al., 2021</w:t>
            </w:r>
            <w:r w:rsidR="00731C3B">
              <w:rPr>
                <w:lang w:val="es-ES"/>
              </w:rPr>
              <w:t xml:space="preserve">; </w:t>
            </w:r>
            <w:r w:rsidRPr="00D874D1">
              <w:rPr>
                <w:lang w:val="es-ES"/>
              </w:rPr>
              <w:t xml:space="preserve">Bonarini et al., 2014, </w:t>
            </w:r>
            <w:r w:rsidRPr="00D874D1">
              <w:rPr>
                <w:lang w:val="es-ES"/>
              </w:rPr>
              <w:lastRenderedPageBreak/>
              <w:t>2016; Taheri et al., 2019</w:t>
            </w:r>
            <w:r w:rsidR="00731C3B">
              <w:rPr>
                <w:lang w:val="es-ES"/>
              </w:rPr>
              <w:t xml:space="preserve">; </w:t>
            </w:r>
            <w:r w:rsidRPr="00D874D1">
              <w:rPr>
                <w:lang w:val="es-ES"/>
              </w:rPr>
              <w:t>Alnajjar et al., 2021; Conti et al., 2020</w:t>
            </w:r>
            <w:r w:rsidR="00731C3B">
              <w:rPr>
                <w:lang w:val="es-ES"/>
              </w:rPr>
              <w:t xml:space="preserve">; </w:t>
            </w:r>
            <w:r w:rsidRPr="00D874D1">
              <w:rPr>
                <w:lang w:val="es-ES"/>
              </w:rPr>
              <w:t>Casellato et al., 2017; Mavadati et al., 2014</w:t>
            </w:r>
            <w:r w:rsidR="00731C3B">
              <w:rPr>
                <w:lang w:val="es-ES"/>
              </w:rPr>
              <w:t xml:space="preserve">; </w:t>
            </w:r>
            <w:r w:rsidRPr="00731C3B">
              <w:rPr>
                <w:lang w:val="es-ES"/>
              </w:rPr>
              <w:t>Tartarisco et al., 2022</w:t>
            </w:r>
            <w:r w:rsidR="00731C3B">
              <w:rPr>
                <w:lang w:val="es-ES"/>
              </w:rPr>
              <w:t>.</w:t>
            </w:r>
          </w:p>
        </w:tc>
      </w:tr>
      <w:tr w:rsidR="00853883" w:rsidRPr="00120362" w14:paraId="4BDB22FA" w14:textId="77777777" w:rsidTr="00685A5D">
        <w:tc>
          <w:tcPr>
            <w:tcW w:w="2263" w:type="dxa"/>
          </w:tcPr>
          <w:p w14:paraId="75F7070A" w14:textId="64D79ED1" w:rsidR="00853883" w:rsidRDefault="00853883" w:rsidP="00DB3A5A">
            <w:r>
              <w:lastRenderedPageBreak/>
              <w:t>Control systems</w:t>
            </w:r>
          </w:p>
        </w:tc>
        <w:tc>
          <w:tcPr>
            <w:tcW w:w="7087" w:type="dxa"/>
          </w:tcPr>
          <w:p w14:paraId="20D5F9C1" w14:textId="32AC03BE" w:rsidR="00853883" w:rsidRPr="00D874D1" w:rsidRDefault="00D874D1" w:rsidP="00DB3A5A">
            <w:pPr>
              <w:rPr>
                <w:lang w:val="es-ES"/>
              </w:rPr>
            </w:pPr>
            <w:r w:rsidRPr="00D874D1">
              <w:rPr>
                <w:lang w:val="es-ES"/>
              </w:rPr>
              <w:t>Bharatharaj et al., 201</w:t>
            </w:r>
            <w:r w:rsidR="00EA3249">
              <w:rPr>
                <w:lang w:val="es-ES"/>
              </w:rPr>
              <w:t>6, 2017</w:t>
            </w:r>
            <w:r w:rsidRPr="00D874D1">
              <w:rPr>
                <w:lang w:val="es-ES"/>
              </w:rPr>
              <w:t>; Bonarini et al., 2016; Brivio et al., 2021</w:t>
            </w:r>
            <w:r w:rsidR="00731C3B">
              <w:rPr>
                <w:lang w:val="es-ES"/>
              </w:rPr>
              <w:t xml:space="preserve">; </w:t>
            </w:r>
            <w:r w:rsidRPr="00D874D1">
              <w:rPr>
                <w:lang w:val="es-ES"/>
              </w:rPr>
              <w:t>Agel et al., 2020; Attawibulkul et al., 2019</w:t>
            </w:r>
            <w:r w:rsidR="00731C3B">
              <w:rPr>
                <w:lang w:val="es-ES"/>
              </w:rPr>
              <w:t xml:space="preserve">; </w:t>
            </w:r>
            <w:r w:rsidRPr="00D874D1">
              <w:rPr>
                <w:lang w:val="es-ES"/>
              </w:rPr>
              <w:t>Chaldi &amp; Mantzanidou, 2021; Pérez-Vazquez et al., 2022</w:t>
            </w:r>
            <w:r w:rsidR="00731C3B">
              <w:rPr>
                <w:lang w:val="es-ES"/>
              </w:rPr>
              <w:t xml:space="preserve">; </w:t>
            </w:r>
            <w:r w:rsidRPr="00D874D1">
              <w:rPr>
                <w:lang w:val="es-ES"/>
              </w:rPr>
              <w:t>Li et al., 2020; Tartarisco et al., 2022</w:t>
            </w:r>
            <w:r w:rsidR="00731C3B">
              <w:rPr>
                <w:lang w:val="es-ES"/>
              </w:rPr>
              <w:t>.</w:t>
            </w:r>
          </w:p>
        </w:tc>
      </w:tr>
      <w:tr w:rsidR="00853883" w:rsidRPr="00120362"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r w:rsidRPr="00D874D1">
              <w:rPr>
                <w:lang w:val="es-ES"/>
              </w:rPr>
              <w:t>Brivio et al., 2021; Li et al., 2020; Marino et al., 2020; Pliasa &amp; Fachantidis, 2021</w:t>
            </w:r>
            <w:r w:rsidR="00731C3B">
              <w:rPr>
                <w:lang w:val="es-ES"/>
              </w:rPr>
              <w:t xml:space="preserve">; </w:t>
            </w:r>
            <w:r w:rsidRPr="00D874D1">
              <w:rPr>
                <w:lang w:val="es-ES"/>
              </w:rPr>
              <w:t>Abdelmohsen &amp; Arafa, 2021; Subramani et al., 2017</w:t>
            </w:r>
            <w:r w:rsidR="00731C3B">
              <w:rPr>
                <w:lang w:val="es-ES"/>
              </w:rPr>
              <w:t xml:space="preserve">; </w:t>
            </w:r>
            <w:r w:rsidRPr="00D874D1">
              <w:rPr>
                <w:lang w:val="es-ES"/>
              </w:rPr>
              <w:t>Attawibulkul et al., 2019</w:t>
            </w:r>
            <w:r w:rsidR="00731C3B">
              <w:rPr>
                <w:lang w:val="es-ES"/>
              </w:rPr>
              <w:t xml:space="preserve">; </w:t>
            </w:r>
            <w:r w:rsidRPr="00D874D1">
              <w:rPr>
                <w:lang w:val="es-ES"/>
              </w:rPr>
              <w:t>Tartarisco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Silvera-Tawil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120362"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r w:rsidRPr="00EA3249">
              <w:rPr>
                <w:lang w:val="es-ES"/>
              </w:rPr>
              <w:t>Bharatharaj et al., 2018; Bonarini et al., 2016; Costa et al., 2013;</w:t>
            </w:r>
            <w:r w:rsidR="00731C3B" w:rsidRPr="00EA3249">
              <w:rPr>
                <w:lang w:val="es-ES"/>
              </w:rPr>
              <w:t xml:space="preserve"> </w:t>
            </w:r>
            <w:r w:rsidRPr="00EA3249">
              <w:rPr>
                <w:lang w:val="es-ES"/>
              </w:rPr>
              <w:t>Sandygulova et al., 2019; Lee et al., 2014</w:t>
            </w:r>
            <w:r w:rsidR="00731C3B" w:rsidRPr="00EA3249">
              <w:rPr>
                <w:lang w:val="es-ES"/>
              </w:rPr>
              <w:t xml:space="preserve">; </w:t>
            </w:r>
            <w:r w:rsidRPr="00EA3249">
              <w:rPr>
                <w:lang w:val="es-ES"/>
              </w:rPr>
              <w:t>Boccanfuso et al., 2016; Brivio et al., 2021</w:t>
            </w:r>
            <w:r w:rsidR="00731C3B" w:rsidRPr="00EA3249">
              <w:rPr>
                <w:lang w:val="es-ES"/>
              </w:rPr>
              <w:t xml:space="preserve">; </w:t>
            </w:r>
            <w:r w:rsidRPr="00EA3249">
              <w:rPr>
                <w:lang w:val="es-ES"/>
              </w:rPr>
              <w:t>Tartarisco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r w:rsidRPr="00EA3249">
              <w:rPr>
                <w:lang w:val="es-ES"/>
              </w:rPr>
              <w:t>Soleiman et al., 2014</w:t>
            </w:r>
            <w:r w:rsidR="00731C3B" w:rsidRPr="00EA3249">
              <w:rPr>
                <w:lang w:val="es-ES"/>
              </w:rPr>
              <w:t xml:space="preserve">; </w:t>
            </w:r>
            <w:r w:rsidRPr="00EA3249">
              <w:rPr>
                <w:lang w:val="es-ES"/>
              </w:rPr>
              <w:t>Peng et al., 2018; She &amp; Ren, 2021</w:t>
            </w:r>
            <w:r w:rsidR="00731C3B" w:rsidRPr="00EA3249">
              <w:rPr>
                <w:lang w:val="es-ES"/>
              </w:rPr>
              <w:t xml:space="preserve">; </w:t>
            </w:r>
            <w:r w:rsidRPr="00EA3249">
              <w:rPr>
                <w:lang w:val="es-ES"/>
              </w:rPr>
              <w:t>Subramani et al., 2017</w:t>
            </w:r>
            <w:r w:rsidR="00731C3B" w:rsidRPr="00EA3249">
              <w:rPr>
                <w:lang w:val="es-ES"/>
              </w:rPr>
              <w:t>.</w:t>
            </w:r>
          </w:p>
        </w:tc>
      </w:tr>
      <w:tr w:rsidR="00853883" w:rsidRPr="00120362"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r w:rsidRPr="00685A5D">
              <w:rPr>
                <w:lang w:val="es-ES"/>
              </w:rPr>
              <w:t>Casellato et al.</w:t>
            </w:r>
            <w:r w:rsidR="00731C3B">
              <w:rPr>
                <w:lang w:val="es-ES"/>
              </w:rPr>
              <w:t xml:space="preserve">, </w:t>
            </w:r>
            <w:r w:rsidRPr="00685A5D">
              <w:rPr>
                <w:lang w:val="es-ES"/>
              </w:rPr>
              <w:t>2017</w:t>
            </w:r>
            <w:r w:rsidR="00731C3B">
              <w:rPr>
                <w:lang w:val="es-ES"/>
              </w:rPr>
              <w:t xml:space="preserve">; </w:t>
            </w:r>
            <w:r w:rsidRPr="00685A5D">
              <w:rPr>
                <w:lang w:val="es-ES"/>
              </w:rPr>
              <w:t>Lemaignan et al.</w:t>
            </w:r>
            <w:r w:rsidR="00731C3B">
              <w:rPr>
                <w:lang w:val="es-ES"/>
              </w:rPr>
              <w:t xml:space="preserve">, </w:t>
            </w:r>
            <w:r w:rsidRPr="00685A5D">
              <w:rPr>
                <w:lang w:val="es-ES"/>
              </w:rPr>
              <w:t>2022</w:t>
            </w:r>
            <w:r w:rsidR="00731C3B">
              <w:rPr>
                <w:lang w:val="es-ES"/>
              </w:rPr>
              <w:t xml:space="preserve">; </w:t>
            </w:r>
            <w:r w:rsidRPr="00685A5D">
              <w:rPr>
                <w:lang w:val="es-ES"/>
              </w:rPr>
              <w:t>Sartorato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r w:rsidRPr="00685A5D">
              <w:rPr>
                <w:lang w:val="es-ES"/>
              </w:rPr>
              <w:t>Subramani et al</w:t>
            </w:r>
            <w:r w:rsidR="00731C3B">
              <w:rPr>
                <w:lang w:val="es-ES"/>
              </w:rPr>
              <w:t>.,</w:t>
            </w:r>
            <w:r w:rsidRPr="00685A5D">
              <w:rPr>
                <w:lang w:val="es-ES"/>
              </w:rPr>
              <w:t xml:space="preserve"> 2017</w:t>
            </w:r>
            <w:r w:rsidR="00731C3B">
              <w:rPr>
                <w:lang w:val="es-ES"/>
              </w:rPr>
              <w:t xml:space="preserve">; </w:t>
            </w:r>
            <w:r w:rsidRPr="00685A5D">
              <w:rPr>
                <w:lang w:val="es-ES"/>
              </w:rPr>
              <w:t>Taheri et al.</w:t>
            </w:r>
            <w:r w:rsidR="00731C3B">
              <w:rPr>
                <w:lang w:val="es-ES"/>
              </w:rPr>
              <w:t xml:space="preserve">, </w:t>
            </w:r>
            <w:r w:rsidRPr="00731C3B">
              <w:rPr>
                <w:lang w:val="es-ES"/>
              </w:rPr>
              <w:t>2018</w:t>
            </w:r>
            <w:r w:rsidR="00731C3B">
              <w:rPr>
                <w:lang w:val="es-ES"/>
              </w:rPr>
              <w:t>;</w:t>
            </w:r>
          </w:p>
        </w:tc>
      </w:tr>
      <w:tr w:rsidR="00853883" w:rsidRPr="00120362"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63 out of the 97 papers (64.9%) reported using humanoid robots in their studies. The most frequently used humanoid robot was NAO, appearing in 25 studies (Alnajjar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 Other humanoid robots used included KASPAR (Costa et al., 2013; Wood et al., 2017, 2019), Zeno (Bugnariu et al., 2013; Li et al., 2020), ZECA (Costa et al., 2014; Silva et al., 2023), and Pepper (Lemaignan et al., 2022). Some studies used specialized humanoid robots like iCub (Chevalier et al., n.d.), CommU (Shimaya et al., 2016, 2019), QTrobot (Tartarisco et al., 2022), and DARwIn-OP (Peng et al., 2018). Additionally, some researchers developed custom humanoid robots like KERO (Tobar et al., 2021), TeoG (Brivio et al., 2021), and Jammo (Abdelmohsen &amp; Arafa, 2021).</w:t>
      </w:r>
    </w:p>
    <w:p w14:paraId="755571EA" w14:textId="712488B0" w:rsidR="00DB3A5A" w:rsidRDefault="00DB3A5A" w:rsidP="00DB3A5A">
      <w:r>
        <w:t xml:space="preserve">41 out of the 97 papers (42.3%) reported using control systems in their studies. The control systems identified can be categorized into autonomous navigation systems, mobile </w:t>
      </w:r>
      <w:r>
        <w:lastRenderedPageBreak/>
        <w:t>platforms, programmable robots, and teleoperated/remote-controlled systems. Autonomous navigation systems were implemented in multiple studies, with robots capable of independent movement and interaction (Bharatharaj et al., 2017; Bonarini et al., 2016; Brivio et al., 2021). Mobile platforms were another common implementation (Agel et al., 2020; Attawibulkul et al., 2019). Programmable robots, such as the Bee-Bot, were employed in several studies (Chaldi &amp; Mantzanidou, 2021; Pérez-Vazquez et al., 2022). Teleoperation and remote control systems were frequently utilized, allowing therapists or researchers to control the robots during interventions (Li et al., 2020; Bharatharaj et al., 2016; Tartarisco et al., 2022).</w:t>
      </w:r>
    </w:p>
    <w:p w14:paraId="7D7753DF" w14:textId="219CB449" w:rsidR="00DB3A5A" w:rsidRDefault="00DB3A5A" w:rsidP="00DB3A5A">
      <w:r>
        <w:t>55 out of the 97 papers (56.7%) incorporated visual sensors in their studies. The most commonly employed visual sensors were standard video cameras and webcams, used for behavior monitoring, interaction recording, and analysis (Valadao et al., 2016; Bharatharaj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(Bonarini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(Casellato et al., 2017; Mavadati et al., 2014). RGB-D sensors and depth cameras were also prominent, particularly in studies requiring precise motion tracking or gesture recognition (Tartarisco et al., 2022).</w:t>
      </w:r>
    </w:p>
    <w:p w14:paraId="2C666C36" w14:textId="13BD212D" w:rsidR="00DB3A5A" w:rsidRDefault="00DB3A5A" w:rsidP="00DB3A5A">
      <w:r>
        <w:t>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(Bharatharaj et al., 2018; Bonarini et al., 2016; Costa et al., 2013; Sandygulova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(Tartarisco et al., 2022), electrodermal activity, skin temperature, and blood volume pulse (Welch et al., 2023), and EMG sensors for detecting facial muscle activity (Kim et al., 2021). Other specialized sensors included ultrasonic sensors (Bharatharaj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lastRenderedPageBreak/>
        <w:t>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Pliasa &amp; Fachantidis, 2021). Desktop and larger display systems were also common (Abdelmohsen &amp; Arafa, 2021; Subramani et al., 2017). Several robotic platforms incorporated built-in display interfaces, such as the BLISS robot version 3 featuring an interactive touch screen (Attawibulkul et al., 2019) and QTrobot including a screen for presenting animated faces (Tartarisco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6 out of the 97 papers (6.2%) incorporated physical feedback mechanisms such as haptic interfaces or force-feedback systems. Casellato et al. (2017) utilized a robotic manipulandum that provided haptic force feedback for motor execution assessment. Lemaignan et al. (2022) implemented physical interaction through the social robot Pepper, specifically incorporating hugging activities as a form of physical feedback. Sartorato et al. (2017) developed touch-reactive response systems to enhance sensory processing capabilities. More sophisticated haptic implementations were observed in several studies, such as Silva et al. (2023) incorporating haptic feedback through an OPT device, Subramani et al. (2017) implementing force feedback mechanisms using force-torque sensors, and Taheri et al. (2018) employing the Phantom Omni device as a haptic interface.</w:t>
      </w:r>
    </w:p>
    <w:p w14:paraId="6D18881D" w14:textId="665A1ADD" w:rsidR="00080B45" w:rsidRDefault="00DB3A5A" w:rsidP="00731C3B">
      <w:r>
        <w:t xml:space="preserve">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(Bonarini et al., 2016), and QTrobot (Tartarisco et al., 2022). The communication feedback systems served various purposes, such as providing instructions or verbal feedback during therapeutic interventions (Bugnariu et al., 2013; Marino et al., 2020), facilitating emotional </w:t>
      </w:r>
      <w:r>
        <w:lastRenderedPageBreak/>
        <w:t>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elacomgrade"/>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Bharatharaj et al., 2017; Marino et al., 2020; Wood et al., 2019; Giannopulu,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Brivio et al., 2021; Bonarini et al., 2016</w:t>
            </w:r>
            <w:r w:rsidR="005F4C8C" w:rsidRPr="005F4C8C">
              <w:t xml:space="preserve">; </w:t>
            </w:r>
            <w:r w:rsidRPr="005F4C8C">
              <w:t>Sakka &amp; Gaboriau, 2017;</w:t>
            </w:r>
            <w:r w:rsidR="005F4C8C" w:rsidRPr="005F4C8C">
              <w:t xml:space="preserve"> </w:t>
            </w:r>
            <w:r w:rsidRPr="005F4C8C">
              <w:t>Tartarisco et al., 2022</w:t>
            </w:r>
            <w:r w:rsidR="005F4C8C" w:rsidRPr="005F4C8C">
              <w:t xml:space="preserve">; </w:t>
            </w:r>
            <w:r>
              <w:t>Chaldi &amp; Mantzanidou, 2021</w:t>
            </w:r>
            <w:r w:rsidR="005F4C8C">
              <w:t>.</w:t>
            </w:r>
            <w:r>
              <w:t xml:space="preserve"> </w:t>
            </w:r>
          </w:p>
        </w:tc>
      </w:tr>
      <w:tr w:rsidR="00731C3B" w:rsidRPr="00120362"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t>Signal processing</w:t>
            </w:r>
          </w:p>
        </w:tc>
        <w:tc>
          <w:tcPr>
            <w:tcW w:w="6520" w:type="dxa"/>
          </w:tcPr>
          <w:p w14:paraId="3D56FDF0" w14:textId="2625BBBF" w:rsidR="00731C3B" w:rsidRPr="005F4C8C" w:rsidRDefault="005F4C8C" w:rsidP="005F4C8C">
            <w:pPr>
              <w:rPr>
                <w:lang w:val="es-ES"/>
              </w:rPr>
            </w:pPr>
            <w:r w:rsidRPr="005F4C8C">
              <w:rPr>
                <w:lang w:val="es-ES"/>
              </w:rPr>
              <w:t>Alnajjar et al., 2021; Kim et al., 2021; Marino et al., 2020</w:t>
            </w:r>
            <w:r>
              <w:rPr>
                <w:lang w:val="es-ES"/>
              </w:rPr>
              <w:t xml:space="preserve">; </w:t>
            </w:r>
            <w:r w:rsidRPr="005F4C8C">
              <w:rPr>
                <w:lang w:val="es-ES"/>
              </w:rPr>
              <w:t>Lee et al., 2013</w:t>
            </w:r>
            <w:r>
              <w:rPr>
                <w:lang w:val="es-ES"/>
              </w:rPr>
              <w:t xml:space="preserve">; </w:t>
            </w:r>
            <w:r w:rsidRPr="005F4C8C">
              <w:rPr>
                <w:lang w:val="es-ES"/>
              </w:rPr>
              <w:t>Bonarini et al., 2014, 2016</w:t>
            </w:r>
            <w:r>
              <w:rPr>
                <w:lang w:val="es-ES"/>
              </w:rPr>
              <w:t xml:space="preserve">; </w:t>
            </w:r>
            <w:r w:rsidRPr="005F4C8C">
              <w:rPr>
                <w:lang w:val="es-ES"/>
              </w:rPr>
              <w:t>Bugnariu et al., 2013; Conti et al., 2020</w:t>
            </w:r>
            <w:r>
              <w:rPr>
                <w:lang w:val="es-ES"/>
              </w:rPr>
              <w:t xml:space="preserve">; </w:t>
            </w:r>
            <w:r w:rsidRPr="005F4C8C">
              <w:rPr>
                <w:lang w:val="es-ES"/>
              </w:rPr>
              <w:t>Yun et al., 2014, 2016</w:t>
            </w:r>
            <w:r>
              <w:rPr>
                <w:lang w:val="es-ES"/>
              </w:rPr>
              <w:t xml:space="preserve">; </w:t>
            </w:r>
            <w:r w:rsidRPr="005F4C8C">
              <w:rPr>
                <w:lang w:val="es-ES"/>
              </w:rPr>
              <w:t>Peng et al., 2018</w:t>
            </w:r>
            <w:r>
              <w:rPr>
                <w:lang w:val="es-ES"/>
              </w:rPr>
              <w:t xml:space="preserve">; </w:t>
            </w:r>
            <w:r w:rsidRPr="005F4C8C">
              <w:rPr>
                <w:lang w:val="es-ES"/>
              </w:rPr>
              <w:t>Tartarisco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r w:rsidRPr="005F4C8C">
              <w:rPr>
                <w:lang w:val="es-ES"/>
              </w:rPr>
              <w:t>Scassellati, 2018; Alnajjar et al.,</w:t>
            </w:r>
            <w:r>
              <w:rPr>
                <w:lang w:val="es-ES"/>
              </w:rPr>
              <w:t xml:space="preserve"> </w:t>
            </w:r>
            <w:r w:rsidRPr="005F4C8C">
              <w:rPr>
                <w:lang w:val="es-ES"/>
              </w:rPr>
              <w:t>2021; De Korte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r w:rsidRPr="005F4C8C">
              <w:rPr>
                <w:lang w:val="es-ES"/>
              </w:rPr>
              <w:t>Brivio et al., 2021</w:t>
            </w:r>
            <w:r>
              <w:rPr>
                <w:lang w:val="es-ES"/>
              </w:rPr>
              <w:t xml:space="preserve">; </w:t>
            </w:r>
            <w:r w:rsidRPr="005F4C8C">
              <w:rPr>
                <w:lang w:val="es-ES"/>
              </w:rPr>
              <w:t>Charron et al., 2017</w:t>
            </w:r>
            <w:r>
              <w:rPr>
                <w:lang w:val="es-ES"/>
              </w:rPr>
              <w:t xml:space="preserve">; </w:t>
            </w:r>
            <w:r w:rsidRPr="005F4C8C">
              <w:rPr>
                <w:lang w:val="es-ES"/>
              </w:rPr>
              <w:t>Nanou et al., 2021</w:t>
            </w:r>
            <w:r>
              <w:rPr>
                <w:lang w:val="es-ES"/>
              </w:rPr>
              <w:t xml:space="preserve">; </w:t>
            </w:r>
            <w:r w:rsidRPr="005F4C8C">
              <w:rPr>
                <w:lang w:val="es-ES"/>
              </w:rPr>
              <w:t>Santos et al. (2023)</w:t>
            </w:r>
          </w:p>
        </w:tc>
      </w:tr>
      <w:tr w:rsidR="00731C3B" w:rsidRPr="00120362"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r w:rsidRPr="005F4C8C">
              <w:rPr>
                <w:lang w:val="es-ES"/>
              </w:rPr>
              <w:t xml:space="preserve">Wanglavan et al., 2019; Welch et al., 2023; Nie et al., 2018; Yun et al., 2016; Bharatharaj et al., 2016; Agel et al., 2020; </w:t>
            </w:r>
            <w:r w:rsidRPr="005F4C8C">
              <w:rPr>
                <w:lang w:val="es-ES"/>
              </w:rPr>
              <w:lastRenderedPageBreak/>
              <w:t>Reardon et al., 2018; She &amp; Ren, 2021; Mavadati et al., 2014; Rakhymbayeva &amp; Sandygulova,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Bonarini et al., 2016). Life-like expression generation was achieved through combinations of movement, sound, and visual feedback systems (Sakka &amp; Gaboriau, 2017; Tartarisco et al., 2022). The sophistication of control systems varied significantly, from basic movement controls in simpler robots like the Bee-Bot (Chaldi &amp; Mantzanidou, 2021) to complex, multi-modal systems in advanced humanoid robots.</w:t>
      </w:r>
    </w:p>
    <w:p w14:paraId="2ECC8CDD" w14:textId="77777777" w:rsidR="0032190A" w:rsidRDefault="0032190A" w:rsidP="0032190A"/>
    <w:p w14:paraId="7844C715" w14:textId="77777777" w:rsidR="0032190A" w:rsidRDefault="0032190A" w:rsidP="0032190A">
      <w:r>
        <w:t>86 out of 96 papers (89.6%) implemented Interactive AI Systems. Human-robot communication systems were the most common, facilitating both verbal and non-verbal interactions (Scassellati et al., 2018; Bharatharaj et al., 2017). Social behavior promotion systems were designed to enhance social skills and interactions through structured activities and games (Marino et al., 2020; Wood et al., 2019). Dyadic interaction systems focused on one-on-one interactions for personalized interventions (Giannopulu, 2013; Nie et al., 2018). Verbal interaction systems incorporated speech recognition and generation capabilities (She &amp; Ren, 2021; Silvera-Tawil et al., 2018), while non-verbal interaction 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 xml:space="preserve">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w:t>
      </w:r>
      <w:r>
        <w:lastRenderedPageBreak/>
        <w:t>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(Wanglavan et al., 2019; Welch et al., 2023; Nie et al., 2018). Computer vision and recognition systems employed Haar-cascade classifiers for face detection (Yun et al., 2016), face recognition techniques (Bharatharaj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(Mavadati et al., 2014), engagement classification models (Rakhymbayeva &amp; Sandygulova,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(Bonarini et al., 2014, 2016) and motor imitation behavior analysis (Bugnariu et al., 2013; Conti et al., 2020). Some studies combined multiple signal processing systems, such as facial feature recognition with non-verbal cue interpretation (Marino et al., 2020) or movement recognition (Yun et al., 2014, 2016). Specialized applications included sound analysis for music-based interaction (Peng et al., 2018), physiological signal processing (Tartarisco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Style w:val="Tabelacomgrade"/>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Scassellati, 2018; Alnajjar et al., 2021; Lee et al., 2013; Bharatharaj et al., 2017; Lee et al., 2014; Giannopulu, 2013; Shah et al., 2023; Silvera-Tawil et al., 2018; Shimaya et al., 2019; Subramani et al., 2017; Tartarisco et al., 2022;</w:t>
            </w:r>
            <w:r>
              <w:t xml:space="preserve"> </w:t>
            </w:r>
            <w:r w:rsidRPr="000B2447">
              <w:t>Bugnariu et al., 2013; Marathaki et al., 2022</w:t>
            </w:r>
            <w:r>
              <w:t xml:space="preserve">; Rakhymbayeva &amp; Sandygulova, 2021. </w:t>
            </w:r>
          </w:p>
        </w:tc>
      </w:tr>
      <w:tr w:rsidR="005F4C8C" w:rsidRPr="00120362"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r w:rsidRPr="000B2447">
              <w:rPr>
                <w:lang w:val="es-ES"/>
              </w:rPr>
              <w:t>Puyon &amp; Giannopulu, 2013; Zhanatkyzy et al., 2020</w:t>
            </w:r>
            <w:r w:rsidR="000B2447" w:rsidRPr="000B2447">
              <w:rPr>
                <w:lang w:val="es-ES"/>
              </w:rPr>
              <w:t xml:space="preserve">; </w:t>
            </w:r>
            <w:r w:rsidRPr="000B2447">
              <w:rPr>
                <w:lang w:val="es-ES"/>
              </w:rPr>
              <w:t>Hong et al., 2022</w:t>
            </w:r>
            <w:r w:rsidR="000B2447" w:rsidRPr="000B2447">
              <w:rPr>
                <w:lang w:val="es-ES"/>
              </w:rPr>
              <w:t xml:space="preserve">; </w:t>
            </w:r>
            <w:r w:rsidRPr="000B2447">
              <w:rPr>
                <w:lang w:val="es-ES"/>
              </w:rPr>
              <w:t>Chaldi &amp; Mantzanidou, 2021; Pérez-Vazquez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r w:rsidRPr="005F4C8C">
              <w:rPr>
                <w:lang w:val="es-ES"/>
              </w:rPr>
              <w:t>Subramani et al., 2017</w:t>
            </w:r>
            <w:r w:rsidR="000B2447">
              <w:rPr>
                <w:lang w:val="es-ES"/>
              </w:rPr>
              <w:t xml:space="preserve">; </w:t>
            </w:r>
            <w:r w:rsidRPr="005F4C8C">
              <w:rPr>
                <w:lang w:val="es-ES"/>
              </w:rPr>
              <w:t>Silvera-Tawil et al., 2018</w:t>
            </w:r>
            <w:r w:rsidR="000B2447">
              <w:rPr>
                <w:lang w:val="es-ES"/>
              </w:rPr>
              <w:t xml:space="preserve">; </w:t>
            </w:r>
            <w:r w:rsidRPr="005F4C8C">
              <w:rPr>
                <w:lang w:val="es-ES"/>
              </w:rPr>
              <w:t>Subramani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Scassellati, 2018; Abdelmohsen &amp; Arafa, 2021; Attawibulkul et al., 2019</w:t>
            </w:r>
            <w:r w:rsidR="000B2447">
              <w:t xml:space="preserve">; </w:t>
            </w:r>
            <w:r w:rsidRPr="000B2447">
              <w:t>Bharatharaj et al., 2017; Bonarini et al., 2016; Conti et al., 2020</w:t>
            </w:r>
            <w:r w:rsidR="000B2447" w:rsidRPr="000B2447">
              <w:t>;</w:t>
            </w:r>
            <w:r w:rsidR="000B2447">
              <w:t xml:space="preserve"> </w:t>
            </w:r>
            <w:r w:rsidRPr="000B2447">
              <w:t>Costa et al., 2013; Hamzah et al., 2014; Lemaignan et al., 2022; Charron et al., 2017; De Korte et al., 2020</w:t>
            </w:r>
            <w:r w:rsidR="000B2447">
              <w:t xml:space="preserve">; </w:t>
            </w:r>
            <w:r w:rsidRPr="000B2447">
              <w:t>Sandygulova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Papadopoulou et al., 2022; Hong et al., 2022; De Korte et al., 2020; Kim et al., 2021; Giannopulu, 2013;</w:t>
            </w:r>
            <w:r>
              <w:t xml:space="preserve"> Wanglavan et al., 2019; Welch et al., 2023.</w:t>
            </w:r>
          </w:p>
        </w:tc>
      </w:tr>
      <w:tr w:rsidR="005F4C8C"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5EEE3C86" w:rsidR="005F4C8C" w:rsidRDefault="000B2447" w:rsidP="000B2447">
            <w:r>
              <w:t xml:space="preserve">Alnajjar et al., 2021; Giannopulu, 2013; Marathaki et al., 2022; Bharatharaj et al., 2017, 2016, 2018; Che Hamid et al., 2013; Miskam et al., 2013; Taheri et al., 2016, 2018, 2019; </w:t>
            </w:r>
            <w:r w:rsidRPr="000B2447">
              <w:t>Boccanfuso et al., 2016; Wood et al., 2019; Zhanatkyzy et al., 2020</w:t>
            </w:r>
            <w:r>
              <w:t xml:space="preserve">; </w:t>
            </w:r>
            <w:r w:rsidRPr="000B2447">
              <w:t>De Korte et al., 2020; Lee et al., 2014; Santos et al., 2023</w:t>
            </w:r>
            <w:r>
              <w:t xml:space="preserve">; </w:t>
            </w:r>
            <w:r w:rsidRPr="000B2447">
              <w:t>Marino et al., 2020; Tartarisco et al., 2022</w:t>
            </w:r>
            <w:r>
              <w:t xml:space="preserve">; </w:t>
            </w:r>
            <w:r w:rsidRPr="000B2447">
              <w:t>Carlson et al., 2018; Kajopoulos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120362" w14:paraId="14EFB5C3" w14:textId="77777777" w:rsidTr="000B2447">
        <w:tc>
          <w:tcPr>
            <w:tcW w:w="2830" w:type="dxa"/>
          </w:tcPr>
          <w:p w14:paraId="48A3E1AB" w14:textId="5CD5D631" w:rsidR="005F4C8C" w:rsidRDefault="005F4C8C" w:rsidP="00874342">
            <w:r>
              <w:lastRenderedPageBreak/>
              <w:t>Physiological measurements</w:t>
            </w:r>
          </w:p>
        </w:tc>
        <w:tc>
          <w:tcPr>
            <w:tcW w:w="6520" w:type="dxa"/>
          </w:tcPr>
          <w:p w14:paraId="52154472" w14:textId="5DE6E664" w:rsidR="005F4C8C" w:rsidRPr="000B2447" w:rsidRDefault="000B2447" w:rsidP="000B2447">
            <w:pPr>
              <w:rPr>
                <w:lang w:val="es-ES"/>
              </w:rPr>
            </w:pPr>
            <w:r w:rsidRPr="000B2447">
              <w:rPr>
                <w:lang w:val="es-ES"/>
              </w:rPr>
              <w:t>Tartarisco et al., 2022; Welch et al., 2023</w:t>
            </w:r>
            <w:r>
              <w:rPr>
                <w:lang w:val="es-ES"/>
              </w:rPr>
              <w:t xml:space="preserve">; </w:t>
            </w:r>
            <w:r w:rsidRPr="000B2447">
              <w:rPr>
                <w:lang w:val="es-ES"/>
              </w:rPr>
              <w:t>Subramani et al.</w:t>
            </w:r>
            <w:r>
              <w:rPr>
                <w:lang w:val="es-ES"/>
              </w:rPr>
              <w:t xml:space="preserve">, </w:t>
            </w:r>
            <w:r w:rsidRPr="000B2447">
              <w:rPr>
                <w:lang w:val="es-ES"/>
              </w:rPr>
              <w:t>2017</w:t>
            </w:r>
            <w:r>
              <w:rPr>
                <w:lang w:val="es-ES"/>
              </w:rPr>
              <w:t xml:space="preserve">; </w:t>
            </w:r>
            <w:r w:rsidRPr="000B2447">
              <w:rPr>
                <w:lang w:val="es-ES"/>
              </w:rPr>
              <w:t>Boccanfuso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(Puyon &amp; Giannopulu, 2013; Zhanatkyzy et al., 2020), audio recording analysis (Hong et al., 2022), structured protocols with observation sheets and trial-by-trial data collection forms (Chaldi &amp; Mantzanidou,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Attawibulkul et al., 2019), professional clinical feedback from therapists, psychologists, and medical professionals (Bharatharaj et al., 2017; Bonarini et al., 2016; Conti et al., 2020), and educational stakeholder feedback from teachers and special education professionals (Costa et al., 2013; Hamzah et al., 2014; Lemaignan et al., 2022). Some studies employed a comprehensive multi-stakeholder approach, gathering feedback from multiple sources simultaneously (Bharatharaj et al., 2017; Charron et al., 2017; De Korte et al., 2020). The feedback collection methods varied across studies, including structured interviews (Sandygulova et 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 xml:space="preserve">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Giannopulu, </w:t>
      </w:r>
      <w:r>
        <w:lastRenderedPageBreak/>
        <w:t>2013; Marathaki et al., 2022), the Childhood Autism Spectrum Test (CAST) (Bharatharaj et al., 2017, 2016, 2018), the Gilliam Autism Rating Scale (GARS-2) (Che Hamid et al., 2013; Miskam et al., 2013; Taheri et al., 2016, 2018, 2019), and the Autism Diagnostic Observation Schedule (ADOS-2) (Boccanfuso et al., 2016; Wood et al., 2019; Zhanatkyzy et al., 2020); social-emotional evaluations like the Social Responsiveness Scale (SRS) (De Korte et al., 2020; Lee et al., 2014; Santos et al., 2023), the Test of Emotional Comprehension (TEC), the Emotional Lexicon Test (ELT) (Marino et al., 2020; Tartarisco et al., 2022), and the Early Social Communication Scale (ESCS) (Carlson et al., 2018; Kajopoulos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(Bharatharaj et al., 2017; Lee et al., 2014; Giannopulu, 2013), verbal output measurements like Mean Length of Utterance (MLU) and Type-Token Ratio (TTR) (Shah et al., 2023; Silvera-Tawil et al., 2018; Shimaya et al., 2019), task completion rates and accuracy (Subramani et al., 2017; Tartarisco et al., 2022), imitation skills assessment (Bugnariu et al., 2013; Marathaki et al., 2022), and posture analysis and body language (Rakhymbayeva &amp; Sandygulova,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encompassing different physiological parameters and measurement techniques. Tartarisco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w:t>
      </w:r>
      <w:r>
        <w:lastRenderedPageBreak/>
        <w:t>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(Giannopulu, 2013). Classification accuracy metrics were reported in studies focusing on machine learning applications, such as AUC and F1-scores (Wanglavan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elacomgrade"/>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Carlson et al., 2018; Kajopoulos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r w:rsidRPr="00700ABE">
              <w:t>Bharatharaj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r w:rsidRPr="00700ABE">
              <w:t>Bonarini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r w:rsidRPr="00700ABE">
              <w:lastRenderedPageBreak/>
              <w:t>Giannopulu</w:t>
            </w:r>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r w:rsidRPr="00700ABE">
              <w:t>Lebersfeld et al., 2018</w:t>
            </w:r>
            <w:r w:rsidR="00700ABE">
              <w:t xml:space="preserve">; </w:t>
            </w:r>
            <w:r w:rsidRPr="00700ABE">
              <w:t>Lemaignan et al., 2022</w:t>
            </w:r>
            <w:r w:rsidR="00700ABE">
              <w:t xml:space="preserve">; </w:t>
            </w:r>
            <w:r w:rsidRPr="00700ABE">
              <w:t>Marzano et al., 2021; Pliasa &amp; Fachantidis,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lastRenderedPageBreak/>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Bharatharaj et al.</w:t>
            </w:r>
            <w:r w:rsidR="00086C59" w:rsidRPr="00086C59">
              <w:t xml:space="preserve">, </w:t>
            </w:r>
            <w:r w:rsidRPr="00086C59">
              <w:t>2017</w:t>
            </w:r>
            <w:r w:rsidR="00086C59" w:rsidRPr="00086C59">
              <w:t xml:space="preserve">; </w:t>
            </w:r>
            <w:r w:rsidRPr="00086C59">
              <w:t>Giannopulu</w:t>
            </w:r>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r w:rsidRPr="00086C59">
              <w:t>Miskam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r>
              <w:t>Lemaignan et al.</w:t>
            </w:r>
            <w:r w:rsidR="00086C59">
              <w:t xml:space="preserve">, </w:t>
            </w:r>
            <w:r>
              <w:t>2022</w:t>
            </w:r>
            <w:r w:rsidR="00086C59">
              <w:t xml:space="preserve">; </w:t>
            </w:r>
            <w:r>
              <w:t>Scassellati et al.</w:t>
            </w:r>
            <w:r w:rsidR="00086C59">
              <w:t xml:space="preserve">, </w:t>
            </w:r>
            <w:r>
              <w:t>2018</w:t>
            </w:r>
            <w:r w:rsidR="00086C59">
              <w:t>.</w:t>
            </w:r>
          </w:p>
        </w:tc>
      </w:tr>
      <w:tr w:rsidR="000B2447" w:rsidRPr="00120362"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r w:rsidRPr="00700ABE">
              <w:rPr>
                <w:lang w:val="es-ES"/>
              </w:rPr>
              <w:t>Lebersfeld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r w:rsidRPr="00700ABE">
              <w:rPr>
                <w:lang w:val="es-ES"/>
              </w:rPr>
              <w:t>Tartarisco et al.</w:t>
            </w:r>
            <w:r w:rsidR="00086C59">
              <w:rPr>
                <w:lang w:val="es-ES"/>
              </w:rPr>
              <w:t xml:space="preserve">, </w:t>
            </w:r>
            <w:r w:rsidRPr="00700ABE">
              <w:rPr>
                <w:lang w:val="es-ES"/>
              </w:rPr>
              <w:t>2022</w:t>
            </w:r>
            <w:r w:rsidR="00086C59">
              <w:rPr>
                <w:lang w:val="es-ES"/>
              </w:rPr>
              <w:t xml:space="preserve">; </w:t>
            </w:r>
            <w:r w:rsidRPr="00700ABE">
              <w:rPr>
                <w:lang w:val="es-ES"/>
              </w:rPr>
              <w:t>Valadao et al.</w:t>
            </w:r>
            <w:r w:rsidR="00086C59">
              <w:rPr>
                <w:lang w:val="es-ES"/>
              </w:rPr>
              <w:t xml:space="preserve">, </w:t>
            </w:r>
            <w:r w:rsidRPr="00700ABE">
              <w:rPr>
                <w:lang w:val="es-ES"/>
              </w:rPr>
              <w:t>2016</w:t>
            </w:r>
            <w:r w:rsidR="00086C59">
              <w:rPr>
                <w:lang w:val="es-ES"/>
              </w:rPr>
              <w:t xml:space="preserve">; </w:t>
            </w:r>
            <w:r w:rsidRPr="00700ABE">
              <w:rPr>
                <w:lang w:val="es-ES"/>
              </w:rPr>
              <w:t>Bharatharaj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r w:rsidRPr="00086C59">
              <w:rPr>
                <w:lang w:val="es-ES"/>
              </w:rPr>
              <w:t>Scassellati et al.</w:t>
            </w:r>
            <w:r w:rsidR="00086C59">
              <w:rPr>
                <w:lang w:val="es-ES"/>
              </w:rPr>
              <w:t xml:space="preserve">, </w:t>
            </w:r>
            <w:r w:rsidRPr="00086C59">
              <w:rPr>
                <w:lang w:val="es-ES"/>
              </w:rPr>
              <w:t>2018</w:t>
            </w:r>
            <w:r w:rsidR="00086C59">
              <w:rPr>
                <w:lang w:val="es-ES"/>
              </w:rPr>
              <w:t xml:space="preserve">; </w:t>
            </w:r>
            <w:r w:rsidRPr="00086C59">
              <w:rPr>
                <w:lang w:val="es-ES"/>
              </w:rPr>
              <w:t>Lemaignan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r>
              <w:t>Casellato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r w:rsidRPr="00086C59">
              <w:t>Bonarini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r w:rsidRPr="00086C59">
              <w:t>Bugnariu et al.</w:t>
            </w:r>
            <w:r w:rsidR="00086C59">
              <w:t xml:space="preserve">, </w:t>
            </w:r>
            <w:r w:rsidRPr="00086C59">
              <w:t>2013</w:t>
            </w:r>
            <w:r w:rsidR="00086C59">
              <w:t xml:space="preserve">; </w:t>
            </w:r>
            <w:r>
              <w:t>Sandygulova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r w:rsidRPr="00086C59">
              <w:t>Attawibulkul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Kajopoulos et al., 2015; Wood et al., 2019), with Charron et al. (2017) specifically demonstrating improvements in both joint attention and social engagement. Enhanced social engagement was consistently reported, with studies by Bharatharaj et al. (2018), Brivio et al. (2021), and Bonarini et al. (2016) documenting increased social engagement behaviors and extended interaction times. Conti et al. (2020) noted improvements in imitation behaviors. Increased interaction duration was reported by Giannopulu (2013) and De Korte et al. (2020), suggesting enhanced social interest and reduced social anxiety. Improvements were observed in various contexts, including parent-rated social skills (Lebersfeld et al., 2018) and increased interactions between students who typically would not interact (Lemaignan et al., 2022). Notably, several studies (Marzano et al., 2021; Pliasa &amp; Fachantidis, 2021) reported improvements not only </w:t>
      </w:r>
      <w:r>
        <w:lastRenderedPageBreak/>
        <w:t>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Bharatharaj et al. (2017), who reported enhanced verbal communication abilities in children with ASD following robot-assisted interventions. Giannopulu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Miskam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social-emotional gains, with Lemaignan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Lebersfeld et al. (2018) reporting improved emotion identification accuracy across participant groups, and Marino et al. (2020) documenting enhanced emotion comprehension and recognition through their robot-assisted social-emotional understanding intervention. Tartarisco et al. (2022) observed improvements in both emotional comprehension and emotional language usage among participants. Regarding positive emotional responses, multiple studies reported increased positive </w:t>
      </w:r>
      <w:r>
        <w:lastRenderedPageBreak/>
        <w:t>affect during robot interactions. Valadao et al. (2016) noted increased positive emotions and excitement in children with ASD during robot interactions, while Bharatharaj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Lemaignan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Casellato et al. (2017) demonstrated improvements in motor learning and hand-eye coordination in children with ASD, albeit at a slower rate compared to typically developing peers. Moorthy &amp; Pugazhenthi (2016, 2017) documented enhanced hand-eye coordination and direction 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Bonarini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Bugnariu et al. (2013) developing quantitative methods to evaluate improvements in motor imitation skills, and Sandygulova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Attawibulkul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lastRenderedPageBreak/>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41F4FED7" w14:textId="77777777" w:rsidR="00086C59" w:rsidRDefault="00086C59" w:rsidP="00874342">
      <w:pPr>
        <w:spacing w:after="0"/>
        <w:rPr>
          <w:rFonts w:ascii="Calibri" w:eastAsia="Calibri" w:hAnsi="Calibri" w:cs="Calibri"/>
        </w:rPr>
      </w:pPr>
    </w:p>
    <w:tbl>
      <w:tblPr>
        <w:tblStyle w:val="Tabelacomgrade"/>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r w:rsidRPr="00965312">
              <w:rPr>
                <w:rFonts w:ascii="Calibri" w:eastAsia="Calibri" w:hAnsi="Calibri" w:cs="Calibri"/>
              </w:rPr>
              <w:t>Attawibulkul et al., 2019; Casellato et al., 2017; Chaldi &amp; Mantzanidou, 2021; Kim et al., 2014</w:t>
            </w:r>
            <w:r w:rsidR="00965312" w:rsidRPr="00965312">
              <w:rPr>
                <w:rFonts w:ascii="Calibri" w:eastAsia="Calibri" w:hAnsi="Calibri" w:cs="Calibri"/>
              </w:rPr>
              <w:t xml:space="preserve">; </w:t>
            </w:r>
            <w:r w:rsidRPr="00965312">
              <w:rPr>
                <w:rFonts w:ascii="Calibri" w:eastAsia="Calibri" w:hAnsi="Calibri" w:cs="Calibri"/>
              </w:rPr>
              <w:t>Bharatharaj et al., 2016; Marathaki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r w:rsidRPr="00965312">
              <w:rPr>
                <w:rFonts w:ascii="Calibri" w:eastAsia="Calibri" w:hAnsi="Calibri" w:cs="Calibri"/>
              </w:rPr>
              <w:t>Zhanatkyzy et al., 2020</w:t>
            </w:r>
            <w:r w:rsidR="00965312">
              <w:rPr>
                <w:rFonts w:ascii="Calibri" w:eastAsia="Calibri" w:hAnsi="Calibri" w:cs="Calibri"/>
              </w:rPr>
              <w:t>;</w:t>
            </w:r>
          </w:p>
        </w:tc>
      </w:tr>
      <w:tr w:rsidR="00086C59" w:rsidRPr="00120362"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r w:rsidRPr="00965312">
              <w:rPr>
                <w:rFonts w:ascii="Calibri" w:eastAsia="Calibri" w:hAnsi="Calibri" w:cs="Calibri"/>
                <w:lang w:val="es-ES"/>
              </w:rPr>
              <w:t>Brivio et al., 2021; Conti et al., 2020; Kim et al., 2021; Santos et al., 2023; Welch et al., 2023</w:t>
            </w:r>
            <w:r>
              <w:rPr>
                <w:rFonts w:ascii="Calibri" w:eastAsia="Calibri" w:hAnsi="Calibri" w:cs="Calibri"/>
                <w:lang w:val="es-ES"/>
              </w:rPr>
              <w:t xml:space="preserve">; </w:t>
            </w:r>
            <w:r w:rsidRPr="00965312">
              <w:rPr>
                <w:rFonts w:ascii="Calibri" w:eastAsia="Calibri" w:hAnsi="Calibri" w:cs="Calibri"/>
                <w:lang w:val="es-ES"/>
              </w:rPr>
              <w:t>Alnajjar et al., 2021; Boccanfuso et al., 2016; Bonarini et al., 2016; Cervera et al., n.d.</w:t>
            </w:r>
            <w:r>
              <w:rPr>
                <w:rFonts w:ascii="Calibri" w:eastAsia="Calibri" w:hAnsi="Calibri" w:cs="Calibri"/>
                <w:lang w:val="es-ES"/>
              </w:rPr>
              <w:t xml:space="preserve">; </w:t>
            </w:r>
            <w:r w:rsidRPr="00965312">
              <w:rPr>
                <w:rFonts w:ascii="Calibri" w:eastAsia="Calibri" w:hAnsi="Calibri" w:cs="Calibri"/>
                <w:lang w:val="es-ES"/>
              </w:rPr>
              <w:t>Bharatharaj et al., 2017; Charron et al., 2017; Costa et al., 2014; Scassellati et al., 2018</w:t>
            </w:r>
            <w:r>
              <w:rPr>
                <w:rFonts w:ascii="Calibri" w:eastAsia="Calibri" w:hAnsi="Calibri" w:cs="Calibri"/>
                <w:lang w:val="es-ES"/>
              </w:rPr>
              <w:t xml:space="preserve">; </w:t>
            </w:r>
            <w:r w:rsidRPr="00965312">
              <w:rPr>
                <w:rFonts w:ascii="Calibri" w:eastAsia="Calibri" w:hAnsi="Calibri" w:cs="Calibri"/>
                <w:lang w:val="es-ES"/>
              </w:rPr>
              <w:t>Conti et al., 2020; De Korte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Marino et al., 2020; De Korte et al., 2020; Marzano et al., 2021; Nanou et al., 2021; Alnajjar et al., 2021; Bharatharaj et al., 2017; Boccanfuso et al., 2016; Scassellati et al., 2018; Shah et al., 2023; Reardon et al., 2018;</w:t>
            </w:r>
            <w:r>
              <w:rPr>
                <w:rFonts w:ascii="Calibri" w:eastAsia="Calibri" w:hAnsi="Calibri" w:cs="Calibri"/>
              </w:rPr>
              <w:t xml:space="preserve"> </w:t>
            </w:r>
            <w:r w:rsidRPr="00874342">
              <w:rPr>
                <w:rFonts w:ascii="Calibri" w:eastAsia="Calibri" w:hAnsi="Calibri" w:cs="Calibri"/>
              </w:rPr>
              <w:t>Rakhymbayeva &amp; Sandygulova,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Brivio et al., 2021; Marathaki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r w:rsidRPr="00965312">
              <w:rPr>
                <w:rFonts w:ascii="Calibri" w:eastAsia="Calibri" w:hAnsi="Calibri" w:cs="Calibri"/>
              </w:rPr>
              <w:t>Sandygulova et al., 2019;</w:t>
            </w:r>
            <w:r w:rsidR="00965312">
              <w:rPr>
                <w:rFonts w:ascii="Calibri" w:eastAsia="Calibri" w:hAnsi="Calibri" w:cs="Calibri"/>
              </w:rPr>
              <w:t xml:space="preserve"> </w:t>
            </w:r>
            <w:r w:rsidRPr="00965312">
              <w:rPr>
                <w:rFonts w:ascii="Calibri" w:eastAsia="Calibri" w:hAnsi="Calibri" w:cs="Calibri"/>
              </w:rPr>
              <w:t>Subramani et al., 2017; Rakhymbayeva &amp;</w:t>
            </w:r>
            <w:r w:rsidR="00965312">
              <w:rPr>
                <w:rFonts w:ascii="Calibri" w:eastAsia="Calibri" w:hAnsi="Calibri" w:cs="Calibri"/>
              </w:rPr>
              <w:t xml:space="preserve"> </w:t>
            </w:r>
            <w:r w:rsidRPr="00965312">
              <w:rPr>
                <w:rFonts w:ascii="Calibri" w:eastAsia="Calibri" w:hAnsi="Calibri" w:cs="Calibri"/>
              </w:rPr>
              <w:t>Sandygulova,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r w:rsidRPr="00874342">
              <w:rPr>
                <w:rFonts w:ascii="Calibri" w:eastAsia="Calibri" w:hAnsi="Calibri" w:cs="Calibri"/>
              </w:rPr>
              <w:t>Qidwai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120362"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r w:rsidRPr="00965312">
              <w:rPr>
                <w:rFonts w:ascii="Calibri" w:eastAsia="Calibri" w:hAnsi="Calibri" w:cs="Calibri"/>
                <w:lang w:val="es-ES"/>
              </w:rPr>
              <w:t>Alnajjar et al., 2021; Marzano et al., 2021; Santos et al., 2023; Brivio et al., 2021; Costa et al., 2014</w:t>
            </w:r>
            <w:r>
              <w:rPr>
                <w:rFonts w:ascii="Calibri" w:eastAsia="Calibri" w:hAnsi="Calibri" w:cs="Calibri"/>
                <w:lang w:val="es-ES"/>
              </w:rPr>
              <w:t xml:space="preserve">; </w:t>
            </w:r>
            <w:r w:rsidRPr="00965312">
              <w:rPr>
                <w:rFonts w:ascii="Calibri" w:eastAsia="Calibri" w:hAnsi="Calibri" w:cs="Calibri"/>
                <w:lang w:val="es-ES"/>
              </w:rPr>
              <w:t>Simlesa et al., 2022; Pistoia et al., 2017; Wood et al., 2019</w:t>
            </w:r>
            <w:r>
              <w:rPr>
                <w:rFonts w:ascii="Calibri" w:eastAsia="Calibri" w:hAnsi="Calibri" w:cs="Calibri"/>
                <w:lang w:val="es-ES"/>
              </w:rPr>
              <w:t xml:space="preserve">; </w:t>
            </w:r>
            <w:r w:rsidRPr="00965312">
              <w:rPr>
                <w:rFonts w:ascii="Calibri" w:eastAsia="Calibri" w:hAnsi="Calibri" w:cs="Calibri"/>
                <w:lang w:val="es-ES"/>
              </w:rPr>
              <w:t>Scassellati et al., 2018; Zanatta et al., 2023; Lemaignan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120362"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r w:rsidRPr="00965312">
              <w:rPr>
                <w:rFonts w:ascii="Calibri" w:eastAsia="Calibri" w:hAnsi="Calibri" w:cs="Calibri"/>
                <w:lang w:val="es-ES"/>
              </w:rPr>
              <w:t>Alnajjar et al., 2021; Kim et al., 2021</w:t>
            </w:r>
            <w:r>
              <w:rPr>
                <w:rFonts w:ascii="Calibri" w:eastAsia="Calibri" w:hAnsi="Calibri" w:cs="Calibri"/>
                <w:lang w:val="es-ES"/>
              </w:rPr>
              <w:t xml:space="preserve">; </w:t>
            </w:r>
            <w:r w:rsidRPr="00965312">
              <w:rPr>
                <w:rFonts w:ascii="Calibri" w:eastAsia="Calibri" w:hAnsi="Calibri" w:cs="Calibri"/>
                <w:lang w:val="es-ES"/>
              </w:rPr>
              <w:t>Chevalier et al., n.d.</w:t>
            </w:r>
            <w:r>
              <w:rPr>
                <w:rFonts w:ascii="Calibri" w:eastAsia="Calibri" w:hAnsi="Calibri" w:cs="Calibri"/>
                <w:lang w:val="es-ES"/>
              </w:rPr>
              <w:t xml:space="preserve">; </w:t>
            </w:r>
            <w:r w:rsidRPr="00965312">
              <w:rPr>
                <w:rFonts w:ascii="Calibri" w:eastAsia="Calibri" w:hAnsi="Calibri" w:cs="Calibri"/>
                <w:lang w:val="es-ES"/>
              </w:rPr>
              <w:t>Charron et al., 2017; Costa et al., 2014; Sandygulova et al., 2019</w:t>
            </w:r>
            <w:r>
              <w:rPr>
                <w:rFonts w:ascii="Calibri" w:eastAsia="Calibri" w:hAnsi="Calibri" w:cs="Calibri"/>
                <w:lang w:val="es-ES"/>
              </w:rPr>
              <w:t xml:space="preserve">; </w:t>
            </w:r>
            <w:r w:rsidRPr="00965312">
              <w:rPr>
                <w:rFonts w:ascii="Calibri" w:eastAsia="Calibri" w:hAnsi="Calibri" w:cs="Calibri"/>
                <w:lang w:val="es-ES"/>
              </w:rPr>
              <w:t>De Korte et al., 2020; Marzano et al., 2021</w:t>
            </w:r>
            <w:r>
              <w:rPr>
                <w:rFonts w:ascii="Calibri" w:eastAsia="Calibri" w:hAnsi="Calibri" w:cs="Calibri"/>
                <w:lang w:val="es-ES"/>
              </w:rPr>
              <w:t xml:space="preserve">; </w:t>
            </w:r>
            <w:r w:rsidRPr="00965312">
              <w:rPr>
                <w:rFonts w:ascii="Calibri" w:eastAsia="Calibri" w:hAnsi="Calibri" w:cs="Calibri"/>
                <w:lang w:val="es-ES"/>
              </w:rPr>
              <w:t>Talaei-Khoeli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r w:rsidRPr="00965312">
              <w:rPr>
                <w:rFonts w:ascii="Calibri" w:eastAsia="Calibri" w:hAnsi="Calibri" w:cs="Calibri"/>
                <w:lang w:val="es-ES"/>
              </w:rPr>
              <w:t>Sartorato et al., 2017; Santos et al., 2023; Zanatta et al., 2023; Reardon et al., 2018</w:t>
            </w:r>
            <w:r>
              <w:rPr>
                <w:rFonts w:ascii="Calibri" w:eastAsia="Calibri" w:hAnsi="Calibri" w:cs="Calibri"/>
                <w:lang w:val="es-ES"/>
              </w:rPr>
              <w:t>.</w:t>
            </w:r>
          </w:p>
        </w:tc>
      </w:tr>
      <w:tr w:rsidR="00086C59" w:rsidRPr="00120362"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r w:rsidRPr="00086C59">
              <w:rPr>
                <w:rFonts w:ascii="Calibri" w:eastAsia="Calibri" w:hAnsi="Calibri" w:cs="Calibri"/>
                <w:lang w:val="es-ES"/>
              </w:rPr>
              <w:t>Brivio et al., 2021; Lemaignan et al., 2022; Santos et al., 2023; Scassellati et al., 2018; Alnajjar et al., 2021; Li et al., 2020</w:t>
            </w:r>
            <w:r w:rsidR="00965312">
              <w:rPr>
                <w:rFonts w:ascii="Calibri" w:eastAsia="Calibri" w:hAnsi="Calibri" w:cs="Calibri"/>
                <w:lang w:val="es-ES"/>
              </w:rPr>
              <w:t xml:space="preserve">; </w:t>
            </w:r>
            <w:r w:rsidRPr="00086C59">
              <w:rPr>
                <w:rFonts w:ascii="Calibri" w:eastAsia="Calibri" w:hAnsi="Calibri" w:cs="Calibri"/>
                <w:lang w:val="es-ES"/>
              </w:rPr>
              <w:t>Taheri et al., 2019; Sartorato et al., 2017</w:t>
            </w:r>
            <w:r w:rsidR="00965312">
              <w:rPr>
                <w:rFonts w:ascii="Calibri" w:eastAsia="Calibri" w:hAnsi="Calibri" w:cs="Calibri"/>
                <w:lang w:val="es-ES"/>
              </w:rPr>
              <w:t xml:space="preserve">; </w:t>
            </w:r>
            <w:r w:rsidRPr="00965312">
              <w:rPr>
                <w:rFonts w:ascii="Calibri" w:eastAsia="Calibri" w:hAnsi="Calibri" w:cs="Calibri"/>
                <w:lang w:val="es-ES"/>
              </w:rPr>
              <w:t>Soleiman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Kim et al., 2014; Sandygulova et al., 2019</w:t>
            </w:r>
            <w:r w:rsidR="00965312">
              <w:rPr>
                <w:rFonts w:ascii="Calibri" w:eastAsia="Calibri" w:hAnsi="Calibri" w:cs="Calibri"/>
                <w:lang w:val="es-ES"/>
              </w:rPr>
              <w:t>.</w:t>
            </w:r>
          </w:p>
        </w:tc>
      </w:tr>
      <w:tr w:rsidR="00086C59" w:rsidRPr="00120362"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Pennington et al., 2014; Yin &amp; Tung, 2013; Sartorato et al., 2017; Santos et al., 2023; Brivio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Attawibulkul et al., 2019; Casellato et al., 2017; Chaldi &amp; Mantzanidou, 2021; Kim et al., 2014), limited intervention duration and lack of long-term follow-up (Bharatharaj et al., 2016; Marathaki et al., 2022), absence of control groups (Charron et al., 2017; Conti et al., 2020; Costa et al., 2013), limited generalizability due to participant characteristics or contextual factors (Brivio et al., 2021; De Korte et al., 2020; </w:t>
      </w:r>
      <w:r w:rsidRPr="00874342">
        <w:rPr>
          <w:rFonts w:ascii="Calibri" w:eastAsia="Calibri" w:hAnsi="Calibri" w:cs="Calibri"/>
        </w:rPr>
        <w:lastRenderedPageBreak/>
        <w:t>Chevalier et al., n.d.), heterogeneity in assessment methods and intervention protocols (Zanatta et al., 2023), and challenges in accurately measuring social skills and potential assessment bias (Zhanatkyzy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(Brivio et al., 2021; Marathaki et al., 2022; Sakka &amp; Gaboriau, 2017), speech recognition issues (Papadopoulou et al., 2022; Pennington et al., 2014; Reardon et al., 2018), system integration and operational stability problems (Sandygulova et al., 2019; Subramani et al., 2017; Rakhymbayeva &amp; Sandygulova, 2021), delayed feedback systems (Shimaya et al., 2019), sensor-related limitations such as eye contact detection misrecognition (Yun et al., 2016), QR code reading issues (Costa et al., 2014), and IR line-of-sight and sound volume control problems (Qidwai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15 out of 97 papers (15.5%) reported interaction-related limitations in their robotic interventions. The most common challenges included restricted complexity of robot interactions (Brivio et al., 2021; Lemaignan et al., 2022; Santos et al., 2023; Scassellati et al., 2018; Alnajjar et al., 2021; Li et al., 2020), difficulty in generalizing learned behaviors to real-world situations (Taheri et al., 2019; Sartorato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Sandygulova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out of 97 papers (5.2%) reported resource-related limitations, primarily focusing on financial constraints and accessibility barriers. The high cost associated with robotic technologies was the most frequently cited limitation (Pennington et al., 2014; Yin &amp; Tung, 2013; Sartorato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al., 2014; Sandygulova et al., 2019), need for better understanding of intervention mechanisms (De Korte et al., 2020; Marzano et al., 2021), insufficient depth in examining socio-economic </w:t>
      </w:r>
      <w:r w:rsidRPr="00874342">
        <w:rPr>
          <w:rFonts w:ascii="Calibri" w:eastAsia="Calibri" w:hAnsi="Calibri" w:cs="Calibri"/>
        </w:rPr>
        <w:lastRenderedPageBreak/>
        <w:t>factors and external activities' influence (Talaei-Khoeli et al., 2017), issues with participant selection criteria (Wood et al., 2019), concerns about participants' ability to interact with robots independently (Yun et al., 2016), and the need for more comprehensive outcome evaluations (Sartorato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Bonarini et al., 2016; Cervera et al., n.d.), uncertain long-term sustainability of improvements (Bharatharaj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Bharatharaj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(Rakhymbayeva &amp; Sandygulova,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(Simlesa et al., 2022; Pistoia et al., 2017; Wood et al., 2019), adaptability limitations (Scassellati et al., 2018; Zanatta et al., 2023; Lemaignan et al., 2022), and resource-dependent implementation (Kim et al., 2014; Reardon et 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r w:rsidRPr="00A95C81">
        <w:rPr>
          <w:rFonts w:ascii="Calibri" w:eastAsia="Calibri" w:hAnsi="Calibri" w:cs="Calibri"/>
          <w:sz w:val="24"/>
          <w:szCs w:val="24"/>
          <w:lang w:val="es-ES"/>
        </w:rPr>
        <w:lastRenderedPageBreak/>
        <w:t>Discusion</w:t>
      </w:r>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(Scassellati et al., 2018; Sartorato et al., 2017; Kajopoulos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Brivio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En el campo de las habilidades cognitivas y motoras, estudios como el de Moorthy y Pugazhenthi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Además de las mejoras en estas habilidades, la revisión reveló avances significativos en otros aspectos del comportamiento y la interacción. En Giannopulu et al. (2013) observaron un aumento sustancial en el tiempo de interacción de los niños con robots, mientras que en Wanglavan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(Scassellati et al., 2018; Sartorato et al., 2017; Kajopoulos et al., 2015), se alinean con los hallazgos de Pennisi et al. (2016), quienes reportaron beneficios en la interacción social y la comunicación. Sin embargo, nuestro review proporciona evidencia más reciente y detallada sobre los mecanismos específicos de estas mejoras, como la adaptabilidad de los robots a los niveles de atención de los niños (Wanglavan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Bonarini et al. (2016) son consistentes con los resultados de Cabibihan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review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Moorthy y Pugazhenthi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review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Además, este review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Giannopulu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w:t>
      </w:r>
      <w:r w:rsidRPr="0735D306">
        <w:rPr>
          <w:rFonts w:ascii="Calibri" w:eastAsia="Calibri" w:hAnsi="Calibri" w:cs="Calibri"/>
          <w:lang w:val="es-ES"/>
        </w:rPr>
        <w:lastRenderedPageBreak/>
        <w:t xml:space="preserve">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r w:rsidRPr="7421D9D5">
        <w:rPr>
          <w:rFonts w:ascii="Calibri" w:eastAsia="Calibri" w:hAnsi="Calibri" w:cs="Calibri"/>
          <w:lang w:val="es-ES"/>
        </w:rPr>
        <w:t>stras pequeñas en muchos estudios (Marino et al., 2019; Bharatharaj et al., 2017; Taheri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(Bharatharaj et al., 2017; Taheri et al., 2017; Kajopoulos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atencion conjunta (Marino et al., 2019; Bharatharaj et al., 2017; Taheri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lastRenderedPageBreak/>
        <w:t xml:space="preserve">Un desafío identificado en varios estudios fue la dificultad de trasladar las habilidades adquiridas durante las intervenciones a interacciones del mundo real (Marino et al., 2019; Kajopoulos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(Scassellati et al., 2018; Sartorato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roboticos, plataformas de software</w:t>
      </w:r>
      <w:r w:rsidR="5B005D42" w:rsidRPr="7421D9D5">
        <w:rPr>
          <w:rFonts w:ascii="Calibri" w:eastAsia="Calibri" w:hAnsi="Calibri" w:cs="Calibri"/>
          <w:lang w:val="es-ES"/>
        </w:rPr>
        <w:t xml:space="preserve"> y sensores (Robles-Bykbaev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s características del robot, limitaciones en la adaptación a comportamientos espontáneos y retrasos en la provisión de retroalimentación (Wood et al., 2017; Qidwai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ya que el exito</w:t>
      </w:r>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lastRenderedPageBreak/>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 xml:space="preserve">ón (Qidwai et al., 2013; Yin &amp; Tung, 2013; Brivio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El uso de herramientas de inteligencia artificial (IA), específicamente ChatGPT,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de estudios relevantes o a la inclusión de otros menos pertinentes. Además, la complejidad y especificidad del lenguaje utilizado en la investigación sobre discapacidades intelectuales y tecnologías asistivas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lastRenderedPageBreak/>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asistivas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23">
        <w:r w:rsidRPr="1F2AE0F4">
          <w:rPr>
            <w:rStyle w:val="Hyperlink"/>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r w:rsidRPr="1F2AE0F4">
        <w:rPr>
          <w:rFonts w:ascii="Calibri" w:eastAsia="Calibri" w:hAnsi="Calibri" w:cs="Calibri"/>
          <w:lang w:val="es-ES"/>
        </w:rPr>
        <w:t xml:space="preserve">Stang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Naciones Unidas, CEPAL, CELADE, Div.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r w:rsidRPr="00A80167">
        <w:rPr>
          <w:rFonts w:ascii="Calibri" w:eastAsia="Calibri" w:hAnsi="Calibri" w:cs="Calibri"/>
        </w:rPr>
        <w:t>Revista Iberoamericana de Filosofía, Política y Humanidades,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4">
        <w:r w:rsidRPr="1F2AE0F4">
          <w:rPr>
            <w:rStyle w:val="Hyperlink"/>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5">
        <w:r w:rsidRPr="00EC369E">
          <w:rPr>
            <w:rStyle w:val="Hyperlink"/>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6">
        <w:r w:rsidRPr="00EC369E">
          <w:rPr>
            <w:rStyle w:val="Hyperlink"/>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Khasnabis,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7">
        <w:r w:rsidRPr="1F2AE0F4">
          <w:rPr>
            <w:rStyle w:val="Hyperlink"/>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lastRenderedPageBreak/>
        <w:t xml:space="preserve">Wehmeyer, M.L., Davies, D.K., Stock, S.E. et al. Applied Cognitive Technologies to Support the Autonomy of People with Intellectual and Developmental Disabilities. </w:t>
      </w:r>
      <w:r w:rsidRPr="00A95C81">
        <w:rPr>
          <w:rFonts w:ascii="Calibri" w:eastAsia="Calibri" w:hAnsi="Calibri" w:cs="Calibri"/>
        </w:rPr>
        <w:t xml:space="preserve">Adv Neurodev Disord 4, 389–399 (2020). </w:t>
      </w:r>
      <w:hyperlink r:id="rId28">
        <w:r w:rsidRPr="00A95C81">
          <w:rPr>
            <w:rStyle w:val="Hyperlink"/>
            <w:rFonts w:ascii="Calibri" w:eastAsia="Calibri" w:hAnsi="Calibri" w:cs="Calibri"/>
          </w:rPr>
          <w:t>https://doi.org/10.1007/s41252-020-00179-2</w:t>
        </w:r>
      </w:hyperlink>
    </w:p>
    <w:p w14:paraId="62C06FE4" w14:textId="61E1E11E" w:rsidR="5DE143E3" w:rsidRDefault="5DE143E3" w:rsidP="1F2AE0F4">
      <w:pPr>
        <w:spacing w:after="0"/>
        <w:jc w:val="both"/>
      </w:pPr>
      <w:r w:rsidRPr="00A95C81">
        <w:rPr>
          <w:rFonts w:ascii="Calibri" w:eastAsia="Calibri" w:hAnsi="Calibri" w:cs="Calibri"/>
        </w:rPr>
        <w:t xml:space="preserve">Marinaci, T., Russo, C., Savarese, G., Stornaiuolo,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9">
        <w:r w:rsidRPr="1F2AE0F4">
          <w:rPr>
            <w:rStyle w:val="Hyperlink"/>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r w:rsidRPr="1F2AE0F4">
        <w:rPr>
          <w:rFonts w:ascii="Calibri" w:eastAsia="Calibri" w:hAnsi="Calibri" w:cs="Calibri"/>
          <w:i/>
          <w:iCs/>
        </w:rPr>
        <w:t>CreateAbility Inc</w:t>
      </w:r>
      <w:r w:rsidRPr="1F2AE0F4">
        <w:rPr>
          <w:rFonts w:ascii="Calibri" w:eastAsia="Calibri" w:hAnsi="Calibri" w:cs="Calibri"/>
        </w:rPr>
        <w:t xml:space="preserve">. </w:t>
      </w:r>
      <w:hyperlink r:id="rId30">
        <w:r w:rsidRPr="1F2AE0F4">
          <w:rPr>
            <w:rStyle w:val="Hyperlink"/>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Kayabu,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31">
        <w:r w:rsidRPr="1F2AE0F4">
          <w:rPr>
            <w:rStyle w:val="Hyperlink"/>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PLoS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Liberati A, Altman DG, Tetzlaff J, Mulrow C, Gøtzsche PC, et al. (2009) The PRISMA Statement for Reporting Systematic Reviews and Meta-Analyses of Studies That Evaluate Health Care Interventions: Explanation and Elaboration. PLoS Med 6(7): e1000100. doi:10.1371/journal.pmed.1000100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Tonacci A, Tartarisco G, Billeci L, Ruta L, Gangemi S, Pioggia G. Autism and social robotics: A systematic review. Autism Res. 2016 Feb;9(2):165-83. doi: 10.1002/aur.1527. Epub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r w:rsidRPr="00A80167">
        <w:rPr>
          <w:rFonts w:ascii="Calibri" w:eastAsia="Calibri" w:hAnsi="Calibri" w:cs="Calibri"/>
        </w:rPr>
        <w:t xml:space="preserve">Cabibihan et al. </w:t>
      </w:r>
      <w:r w:rsidRPr="00A95C81">
        <w:rPr>
          <w:rFonts w:ascii="Calibri" w:eastAsia="Calibri" w:hAnsi="Calibri" w:cs="Calibri"/>
        </w:rPr>
        <w:t>(2013)</w:t>
      </w:r>
      <w:r w:rsidRPr="0735D306">
        <w:rPr>
          <w:rFonts w:ascii="Calibri" w:eastAsia="Calibri" w:hAnsi="Calibri" w:cs="Calibri"/>
          <w:color w:val="222222"/>
        </w:rPr>
        <w:t xml:space="preserve">) Cabibihan,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32">
        <w:r w:rsidRPr="0735D306">
          <w:rPr>
            <w:rStyle w:val="Hyperlink"/>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 (2012)</w:t>
      </w:r>
      <w:r w:rsidR="1E90296A" w:rsidRPr="0735D306">
        <w:rPr>
          <w:rFonts w:ascii="Calibri" w:eastAsia="Calibri" w:hAnsi="Calibri" w:cs="Calibri"/>
          <w:color w:val="222222"/>
        </w:rPr>
        <w:t>)Diehl JJ, Schmitt LM, Villano M, Crowell CR. The Clinical Use of Robots for Individuals with Autism Spectrum Disorders: A Critical Review. Res Autism Spectr Disord. 2012 Jan;6(1):249-262. doi: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lastRenderedPageBreak/>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Yanco,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sanchez@urosario.edu.co" w:date="2024-07-11T18:13:00Z" w:initials="el">
    <w:p w14:paraId="23BD1DAE" w14:textId="61F7B8B6" w:rsidR="1F2AE0F4" w:rsidRDefault="1F2AE0F4">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A1622"/>
    <w:rsid w:val="000A2A4E"/>
    <w:rsid w:val="000B2447"/>
    <w:rsid w:val="000D4516"/>
    <w:rsid w:val="000F770C"/>
    <w:rsid w:val="00104877"/>
    <w:rsid w:val="00107363"/>
    <w:rsid w:val="00120362"/>
    <w:rsid w:val="001412EC"/>
    <w:rsid w:val="001476BE"/>
    <w:rsid w:val="00147B8F"/>
    <w:rsid w:val="00153068"/>
    <w:rsid w:val="00154781"/>
    <w:rsid w:val="001726F2"/>
    <w:rsid w:val="00185363"/>
    <w:rsid w:val="00187602"/>
    <w:rsid w:val="0019269A"/>
    <w:rsid w:val="00196F6C"/>
    <w:rsid w:val="001A5942"/>
    <w:rsid w:val="001A65DE"/>
    <w:rsid w:val="001A6B4A"/>
    <w:rsid w:val="001C612E"/>
    <w:rsid w:val="001E00BC"/>
    <w:rsid w:val="001F0028"/>
    <w:rsid w:val="001F15B0"/>
    <w:rsid w:val="001F4CC1"/>
    <w:rsid w:val="001F788A"/>
    <w:rsid w:val="00204F51"/>
    <w:rsid w:val="00206AB6"/>
    <w:rsid w:val="00222D45"/>
    <w:rsid w:val="00233DEF"/>
    <w:rsid w:val="002371A1"/>
    <w:rsid w:val="00237A7B"/>
    <w:rsid w:val="00250CE7"/>
    <w:rsid w:val="00257AE4"/>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263E"/>
    <w:rsid w:val="004042F9"/>
    <w:rsid w:val="00406D36"/>
    <w:rsid w:val="00425A52"/>
    <w:rsid w:val="00442257"/>
    <w:rsid w:val="00443529"/>
    <w:rsid w:val="00443E5A"/>
    <w:rsid w:val="0044561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5395"/>
    <w:rsid w:val="00626F34"/>
    <w:rsid w:val="00632D6D"/>
    <w:rsid w:val="00644EFC"/>
    <w:rsid w:val="00651569"/>
    <w:rsid w:val="0065241C"/>
    <w:rsid w:val="00665496"/>
    <w:rsid w:val="00677F04"/>
    <w:rsid w:val="00685A5D"/>
    <w:rsid w:val="00686063"/>
    <w:rsid w:val="0068722C"/>
    <w:rsid w:val="0068791F"/>
    <w:rsid w:val="006B028F"/>
    <w:rsid w:val="006C4420"/>
    <w:rsid w:val="006C4FB8"/>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A09FF"/>
    <w:rsid w:val="009B0117"/>
    <w:rsid w:val="009C1EBC"/>
    <w:rsid w:val="009C248C"/>
    <w:rsid w:val="009D1A46"/>
    <w:rsid w:val="009D4E84"/>
    <w:rsid w:val="009E2DC7"/>
    <w:rsid w:val="009E4CC7"/>
    <w:rsid w:val="009F026E"/>
    <w:rsid w:val="00A04BDB"/>
    <w:rsid w:val="00A06785"/>
    <w:rsid w:val="00A0DA76"/>
    <w:rsid w:val="00A24D68"/>
    <w:rsid w:val="00A401C6"/>
    <w:rsid w:val="00A43DBA"/>
    <w:rsid w:val="00A44B72"/>
    <w:rsid w:val="00A45531"/>
    <w:rsid w:val="00A50D70"/>
    <w:rsid w:val="00A80167"/>
    <w:rsid w:val="00A8261A"/>
    <w:rsid w:val="00A87E77"/>
    <w:rsid w:val="00A92E28"/>
    <w:rsid w:val="00A95C81"/>
    <w:rsid w:val="00A96103"/>
    <w:rsid w:val="00AA5401"/>
    <w:rsid w:val="00AB0991"/>
    <w:rsid w:val="00AB2B14"/>
    <w:rsid w:val="00AB64E5"/>
    <w:rsid w:val="00AE07B5"/>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34B72"/>
    <w:rsid w:val="00C354A4"/>
    <w:rsid w:val="00C37447"/>
    <w:rsid w:val="00C777E1"/>
    <w:rsid w:val="00C77CD2"/>
    <w:rsid w:val="00C80EB6"/>
    <w:rsid w:val="00CC22FE"/>
    <w:rsid w:val="00CE2713"/>
    <w:rsid w:val="00CE3F5B"/>
    <w:rsid w:val="00D06B5D"/>
    <w:rsid w:val="00D06B65"/>
    <w:rsid w:val="00D1003F"/>
    <w:rsid w:val="00D13E7B"/>
    <w:rsid w:val="00D171F4"/>
    <w:rsid w:val="00D234E6"/>
    <w:rsid w:val="00D60B92"/>
    <w:rsid w:val="00D74B4F"/>
    <w:rsid w:val="00D8023D"/>
    <w:rsid w:val="00D84AC6"/>
    <w:rsid w:val="00D874D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A3249"/>
    <w:rsid w:val="00EC369E"/>
    <w:rsid w:val="00ED1F81"/>
    <w:rsid w:val="00ED5CAC"/>
    <w:rsid w:val="00EF1D35"/>
    <w:rsid w:val="00EF74E7"/>
    <w:rsid w:val="00F0307E"/>
    <w:rsid w:val="00F229AE"/>
    <w:rsid w:val="00F263EB"/>
    <w:rsid w:val="00F30B05"/>
    <w:rsid w:val="00F4427A"/>
    <w:rsid w:val="00F5416F"/>
    <w:rsid w:val="00F6561A"/>
    <w:rsid w:val="00F80080"/>
    <w:rsid w:val="00FA59C5"/>
    <w:rsid w:val="00FA73BF"/>
    <w:rsid w:val="00FD2330"/>
    <w:rsid w:val="00FE2DE0"/>
    <w:rsid w:val="00FE35F0"/>
    <w:rsid w:val="00FEF92A"/>
    <w:rsid w:val="01262C87"/>
    <w:rsid w:val="015E6131"/>
    <w:rsid w:val="01BB415F"/>
    <w:rsid w:val="01D88DB9"/>
    <w:rsid w:val="0210F2C4"/>
    <w:rsid w:val="0255F8D7"/>
    <w:rsid w:val="026863D8"/>
    <w:rsid w:val="02E04937"/>
    <w:rsid w:val="03249B9A"/>
    <w:rsid w:val="0339CED8"/>
    <w:rsid w:val="03BC5E59"/>
    <w:rsid w:val="03E0CADC"/>
    <w:rsid w:val="0431257D"/>
    <w:rsid w:val="0444708C"/>
    <w:rsid w:val="04986FEB"/>
    <w:rsid w:val="049DEA90"/>
    <w:rsid w:val="04EDCAA6"/>
    <w:rsid w:val="05154B4E"/>
    <w:rsid w:val="052E56B5"/>
    <w:rsid w:val="05B829CD"/>
    <w:rsid w:val="05CF56BC"/>
    <w:rsid w:val="05F8790E"/>
    <w:rsid w:val="068AE369"/>
    <w:rsid w:val="0735D306"/>
    <w:rsid w:val="076AFE8E"/>
    <w:rsid w:val="07B13020"/>
    <w:rsid w:val="07D17F9C"/>
    <w:rsid w:val="07E2DE1D"/>
    <w:rsid w:val="092A2B4A"/>
    <w:rsid w:val="092F9D07"/>
    <w:rsid w:val="09352AEE"/>
    <w:rsid w:val="09AB22C2"/>
    <w:rsid w:val="09D03051"/>
    <w:rsid w:val="09E77129"/>
    <w:rsid w:val="09F88E5E"/>
    <w:rsid w:val="0A01A014"/>
    <w:rsid w:val="0A15BA4C"/>
    <w:rsid w:val="0A6B7DE9"/>
    <w:rsid w:val="0C48085C"/>
    <w:rsid w:val="0C499B8C"/>
    <w:rsid w:val="0D8D4849"/>
    <w:rsid w:val="0DDED771"/>
    <w:rsid w:val="0DE3027C"/>
    <w:rsid w:val="0DEFF69A"/>
    <w:rsid w:val="0E6B15F1"/>
    <w:rsid w:val="0E95BD88"/>
    <w:rsid w:val="0EF5C866"/>
    <w:rsid w:val="0F8CEF33"/>
    <w:rsid w:val="0FF1B931"/>
    <w:rsid w:val="10C8EC4F"/>
    <w:rsid w:val="10D14341"/>
    <w:rsid w:val="110993D7"/>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BFF3FE"/>
    <w:rsid w:val="171F8B7A"/>
    <w:rsid w:val="177D7329"/>
    <w:rsid w:val="17CD48F8"/>
    <w:rsid w:val="17D0F1D8"/>
    <w:rsid w:val="18C5AF61"/>
    <w:rsid w:val="190DB70E"/>
    <w:rsid w:val="1913FDDA"/>
    <w:rsid w:val="195E299D"/>
    <w:rsid w:val="19AADE97"/>
    <w:rsid w:val="19BBFB49"/>
    <w:rsid w:val="19D0B824"/>
    <w:rsid w:val="1A09F2BF"/>
    <w:rsid w:val="1A32D20A"/>
    <w:rsid w:val="1A59ADF9"/>
    <w:rsid w:val="1A8533AD"/>
    <w:rsid w:val="1AC15BD5"/>
    <w:rsid w:val="1B400F01"/>
    <w:rsid w:val="1B950E9A"/>
    <w:rsid w:val="1BED16DD"/>
    <w:rsid w:val="1C9A409D"/>
    <w:rsid w:val="1CFCA8B9"/>
    <w:rsid w:val="1D712247"/>
    <w:rsid w:val="1DB74932"/>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A0C909D"/>
    <w:rsid w:val="2AC5DAC4"/>
    <w:rsid w:val="2B29F348"/>
    <w:rsid w:val="2B77190F"/>
    <w:rsid w:val="2B9C4B9C"/>
    <w:rsid w:val="2BE19302"/>
    <w:rsid w:val="2C21DE87"/>
    <w:rsid w:val="2C57FE1D"/>
    <w:rsid w:val="2D13C5B6"/>
    <w:rsid w:val="2D288081"/>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D88F80"/>
    <w:rsid w:val="3FFBBAC4"/>
    <w:rsid w:val="404F1E83"/>
    <w:rsid w:val="406CD6AF"/>
    <w:rsid w:val="408E92EF"/>
    <w:rsid w:val="408FA1A4"/>
    <w:rsid w:val="409EA570"/>
    <w:rsid w:val="40A96945"/>
    <w:rsid w:val="411197B7"/>
    <w:rsid w:val="414D2DD8"/>
    <w:rsid w:val="4165B2B8"/>
    <w:rsid w:val="416B38DF"/>
    <w:rsid w:val="41B4F93B"/>
    <w:rsid w:val="4223A6F5"/>
    <w:rsid w:val="42327984"/>
    <w:rsid w:val="427FAD85"/>
    <w:rsid w:val="42ED382A"/>
    <w:rsid w:val="4313BB89"/>
    <w:rsid w:val="431B7B30"/>
    <w:rsid w:val="43304687"/>
    <w:rsid w:val="436F911D"/>
    <w:rsid w:val="43EBC7FF"/>
    <w:rsid w:val="441E9277"/>
    <w:rsid w:val="457F827A"/>
    <w:rsid w:val="45D2D263"/>
    <w:rsid w:val="45F80CEA"/>
    <w:rsid w:val="468BB961"/>
    <w:rsid w:val="46B2DA20"/>
    <w:rsid w:val="46F7FA7A"/>
    <w:rsid w:val="479598B2"/>
    <w:rsid w:val="47C41FD2"/>
    <w:rsid w:val="482D820A"/>
    <w:rsid w:val="486FF52D"/>
    <w:rsid w:val="48EF5FA2"/>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8AC64A"/>
    <w:rsid w:val="4EA6AA34"/>
    <w:rsid w:val="4ECC821A"/>
    <w:rsid w:val="4ED34D0E"/>
    <w:rsid w:val="4F2F42C6"/>
    <w:rsid w:val="4FC2221F"/>
    <w:rsid w:val="4FEB3EDA"/>
    <w:rsid w:val="4FFD72BC"/>
    <w:rsid w:val="5037E17E"/>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9ED6"/>
    <w:rsid w:val="5CAF58DF"/>
    <w:rsid w:val="5D611DBC"/>
    <w:rsid w:val="5DE143E3"/>
    <w:rsid w:val="5DFD3765"/>
    <w:rsid w:val="5E4C37AE"/>
    <w:rsid w:val="5EC897E4"/>
    <w:rsid w:val="5ED71FDC"/>
    <w:rsid w:val="5F048740"/>
    <w:rsid w:val="5F1BD97D"/>
    <w:rsid w:val="5F7153FD"/>
    <w:rsid w:val="60462515"/>
    <w:rsid w:val="60742C0C"/>
    <w:rsid w:val="609B0912"/>
    <w:rsid w:val="60DE0F96"/>
    <w:rsid w:val="6114BCA9"/>
    <w:rsid w:val="616B85F2"/>
    <w:rsid w:val="61B1063E"/>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E7B98C"/>
    <w:rsid w:val="69E0B4EB"/>
    <w:rsid w:val="69F21A03"/>
    <w:rsid w:val="69F9CDA7"/>
    <w:rsid w:val="69FA5807"/>
    <w:rsid w:val="6A21A86F"/>
    <w:rsid w:val="6A252B58"/>
    <w:rsid w:val="6A646762"/>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Pr>
      <w:rFonts w:eastAsiaTheme="majorEastAsia" w:cstheme="majorBidi"/>
      <w:i/>
      <w:iCs/>
      <w:color w:val="0F4761" w:themeColor="accent1" w:themeShade="BF"/>
    </w:rPr>
  </w:style>
  <w:style w:type="character" w:customStyle="1" w:styleId="Ttulo5Char">
    <w:name w:val="Título 5 Char"/>
    <w:basedOn w:val="Fontepargpadro"/>
    <w:link w:val="Ttulo5"/>
    <w:uiPriority w:val="9"/>
    <w:rPr>
      <w:rFonts w:eastAsiaTheme="majorEastAsia" w:cstheme="majorBidi"/>
      <w:color w:val="0F4761" w:themeColor="accent1" w:themeShade="BF"/>
    </w:rPr>
  </w:style>
  <w:style w:type="character" w:customStyle="1" w:styleId="Ttulo6Char">
    <w:name w:val="Título 6 Char"/>
    <w:basedOn w:val="Fontepargpadro"/>
    <w:link w:val="Ttulo6"/>
    <w:uiPriority w:val="9"/>
    <w:rPr>
      <w:rFonts w:eastAsiaTheme="majorEastAsia" w:cstheme="majorBidi"/>
      <w:i/>
      <w:iCs/>
      <w:color w:val="595959" w:themeColor="text1" w:themeTint="A6"/>
    </w:rPr>
  </w:style>
  <w:style w:type="character" w:customStyle="1" w:styleId="Ttulo7Char">
    <w:name w:val="Título 7 Char"/>
    <w:basedOn w:val="Fontepargpadro"/>
    <w:link w:val="Ttulo7"/>
    <w:uiPriority w:val="9"/>
    <w:rPr>
      <w:rFonts w:eastAsiaTheme="majorEastAsia" w:cstheme="majorBidi"/>
      <w:color w:val="595959" w:themeColor="text1" w:themeTint="A6"/>
    </w:rPr>
  </w:style>
  <w:style w:type="character" w:customStyle="1" w:styleId="Ttulo8Char">
    <w:name w:val="Título 8 Char"/>
    <w:basedOn w:val="Fontepargpadro"/>
    <w:link w:val="Ttulo8"/>
    <w:uiPriority w:val="9"/>
    <w:rPr>
      <w:rFonts w:eastAsiaTheme="majorEastAsia" w:cstheme="majorBidi"/>
      <w:i/>
      <w:iCs/>
      <w:color w:val="272727" w:themeColor="text1" w:themeTint="D8"/>
    </w:rPr>
  </w:style>
  <w:style w:type="character" w:customStyle="1" w:styleId="Ttulo9Char">
    <w:name w:val="Título 9 Char"/>
    <w:basedOn w:val="Fontepargpadro"/>
    <w:link w:val="Ttulo9"/>
    <w:uiPriority w:val="9"/>
    <w:rPr>
      <w:rFonts w:eastAsiaTheme="majorEastAsia" w:cstheme="majorBidi"/>
      <w:color w:val="272727" w:themeColor="text1" w:themeTint="D8"/>
    </w:r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customStyle="1" w:styleId="CitaoChar">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IntensaChar">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redu-my.sharepoint.com/:w:/g/personal/elizabeth_sanchez_urosario_edu_co/ESJwvZRNLrFElzBImG9G-fEBV7B0gzHpQ8dUtbcQf7g-Jw?e=rrM7rs" TargetMode="External"/><Relationship Id="rId18" Type="http://schemas.openxmlformats.org/officeDocument/2006/relationships/chart" Target="charts/chart5.xml"/><Relationship Id="rId26"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3" Type="http://schemas.openxmlformats.org/officeDocument/2006/relationships/styles" Target="styles.xml"/><Relationship Id="rId21" Type="http://schemas.openxmlformats.org/officeDocument/2006/relationships/chart" Target="charts/chart8.xml"/><Relationship Id="rId34"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chart" Target="charts/chart4.xml"/><Relationship Id="rId25" Type="http://schemas.openxmlformats.org/officeDocument/2006/relationships/hyperlink" Target="https://desapublications.un.org/un-desa-voice/things-you-need-to-know/june-2024/4-things-you-should-know-about-rethink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hyperlink" Target="https://doi.org/10.3390/soc13110231"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press.un.org/en/2022/sgsm21321.doc.htm" TargetMode="External"/><Relationship Id="rId32" Type="http://schemas.openxmlformats.org/officeDocument/2006/relationships/hyperlink" Target="https://doi.org/10.1007/s12369-013-0202-2" TargetMode="Externa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hyperlink" Target="https://doi.org/10.22201/iij.24487872e.2008.8.252" TargetMode="External"/><Relationship Id="rId28" Type="http://schemas.openxmlformats.org/officeDocument/2006/relationships/hyperlink" Target="https://doi.org/10.1007/s41252-020-00179-2" TargetMode="External"/><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chart" Target="charts/chart6.xml"/><Relationship Id="rId31" Type="http://schemas.openxmlformats.org/officeDocument/2006/relationships/hyperlink" Target="https://doi.org/10.1136/bmjopen-2017-017533"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hyperlink" Target="https://doi.org/10.3389/fpubh.2017.00010" TargetMode="External"/><Relationship Id="rId30" Type="http://schemas.openxmlformats.org/officeDocument/2006/relationships/hyperlink" Target="https://www.createabilityinc.com/2020/05/27/how-assistive-technology-helps-people-with-intellectual-disabilities-achieve-independence/" TargetMode="External"/><Relationship Id="rId35" Type="http://schemas.openxmlformats.org/officeDocument/2006/relationships/theme" Target="theme/theme1.xml"/><Relationship Id="rId8"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2870</TotalTime>
  <Pages>50</Pages>
  <Words>18225</Words>
  <Characters>98417</Characters>
  <Application>Microsoft Office Word</Application>
  <DocSecurity>0</DocSecurity>
  <Lines>820</Lines>
  <Paragraphs>232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230</cp:revision>
  <dcterms:created xsi:type="dcterms:W3CDTF">2024-10-28T22:54:00Z</dcterms:created>
  <dcterms:modified xsi:type="dcterms:W3CDTF">2025-02-13T15:41:00Z</dcterms:modified>
</cp:coreProperties>
</file>