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A9C26">
      <w:pPr>
        <w:pStyle w:val="3"/>
        <w:jc w:val="center"/>
        <w:rPr>
          <w:rFonts w:ascii="仿宋" w:hAnsi="仿宋" w:eastAsia="仿宋"/>
          <w:color w:val="auto"/>
          <w:sz w:val="32"/>
          <w:szCs w:val="32"/>
          <w:lang w:eastAsia="zh-CN"/>
        </w:rPr>
      </w:pPr>
      <w:r>
        <w:rPr>
          <w:rFonts w:ascii="仿宋" w:hAnsi="仿宋" w:eastAsia="仿宋"/>
          <w:color w:val="auto"/>
          <w:sz w:val="32"/>
          <w:szCs w:val="32"/>
          <w:lang w:eastAsia="zh-CN"/>
        </w:rPr>
        <w:t>蒙医云医院检验科项目计件绩效制度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（</w:t>
      </w:r>
      <w:r>
        <w:rPr>
          <w:rFonts w:ascii="仿宋" w:hAnsi="仿宋" w:eastAsia="仿宋"/>
          <w:color w:val="auto"/>
          <w:sz w:val="32"/>
          <w:szCs w:val="32"/>
          <w:lang w:eastAsia="zh-CN"/>
        </w:rPr>
        <w:t>2025 版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）</w:t>
      </w:r>
    </w:p>
    <w:p w14:paraId="1A052357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第一章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总</w:t>
      </w: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则</w:t>
      </w:r>
    </w:p>
    <w:p w14:paraId="522989A9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第一条 制度目的</w:t>
      </w:r>
    </w:p>
    <w:p w14:paraId="1E92F60F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为进一步提高检验科工作效率，激励岗位积极性，促进质量与服务双提升，同时确保医院运营成本可控，根据医院实际运行情况，特制定本制度。</w:t>
      </w:r>
    </w:p>
    <w:p w14:paraId="06F652E0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第二条 适用范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围</w:t>
      </w:r>
    </w:p>
    <w:p w14:paraId="32D62268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本制度适用于蒙医云医院检验科全体工作人员，包括：</w:t>
      </w:r>
    </w:p>
    <w:p w14:paraId="5BF2D11D">
      <w:pPr>
        <w:pStyle w:val="31"/>
        <w:numPr>
          <w:ilvl w:val="0"/>
          <w:numId w:val="7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检验科主任</w:t>
      </w:r>
    </w:p>
    <w:p w14:paraId="0D4D1D81">
      <w:pPr>
        <w:pStyle w:val="31"/>
        <w:numPr>
          <w:ilvl w:val="0"/>
          <w:numId w:val="7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检验师、检验技士</w:t>
      </w:r>
    </w:p>
    <w:p w14:paraId="62719AC7">
      <w:pPr>
        <w:pStyle w:val="31"/>
        <w:numPr>
          <w:ilvl w:val="0"/>
          <w:numId w:val="7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微生物室、免疫室、生化室等专业组</w:t>
      </w:r>
    </w:p>
    <w:p w14:paraId="3B4BB7FC">
      <w:pPr>
        <w:pStyle w:val="31"/>
        <w:numPr>
          <w:ilvl w:val="0"/>
          <w:numId w:val="7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抽血岗位工作人员（如后续纳入计件，可追加条款）</w:t>
      </w:r>
    </w:p>
    <w:p w14:paraId="62DE0367">
      <w:pPr>
        <w:pStyle w:val="4"/>
        <w:rPr>
          <w:rFonts w:ascii="仿宋" w:hAnsi="仿宋" w:eastAsia="仿宋"/>
          <w:color w:val="auto"/>
          <w:sz w:val="24"/>
          <w:szCs w:val="24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</w:rPr>
        <w:t>第三条 制度原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</w:rPr>
        <w:t>则</w:t>
      </w:r>
    </w:p>
    <w:p w14:paraId="7A3583D8">
      <w:pPr>
        <w:pStyle w:val="31"/>
        <w:numPr>
          <w:ilvl w:val="0"/>
          <w:numId w:val="8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公平性原则</w:t>
      </w:r>
      <w:r>
        <w:rPr>
          <w:rFonts w:ascii="仿宋" w:hAnsi="仿宋" w:eastAsia="仿宋"/>
        </w:rPr>
        <w:t>：计件绩效与个人真实工作量直接挂钩。</w:t>
      </w:r>
    </w:p>
    <w:p w14:paraId="720FF837">
      <w:pPr>
        <w:pStyle w:val="31"/>
        <w:numPr>
          <w:ilvl w:val="0"/>
          <w:numId w:val="8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全程质控原则</w:t>
      </w:r>
      <w:r>
        <w:rPr>
          <w:rFonts w:ascii="仿宋" w:hAnsi="仿宋" w:eastAsia="仿宋"/>
        </w:rPr>
        <w:t>：检验质量作为绩效计算前提，质量不达标项目不计入绩效。</w:t>
      </w:r>
    </w:p>
    <w:p w14:paraId="69B254D5">
      <w:pPr>
        <w:pStyle w:val="31"/>
        <w:numPr>
          <w:ilvl w:val="0"/>
          <w:numId w:val="8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成本可控原则</w:t>
      </w:r>
      <w:r>
        <w:rPr>
          <w:rFonts w:ascii="仿宋" w:hAnsi="仿宋" w:eastAsia="仿宋"/>
        </w:rPr>
        <w:t>：计件金额以医院实际运营成本和行业标准为依据。</w:t>
      </w:r>
    </w:p>
    <w:p w14:paraId="796D5D25">
      <w:pPr>
        <w:pStyle w:val="31"/>
        <w:numPr>
          <w:ilvl w:val="0"/>
          <w:numId w:val="8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公开透明原则</w:t>
      </w:r>
      <w:r>
        <w:rPr>
          <w:rFonts w:ascii="仿宋" w:hAnsi="仿宋" w:eastAsia="仿宋"/>
        </w:rPr>
        <w:t>：绩效计算方式、金额表、结果定期公示。</w:t>
      </w:r>
    </w:p>
    <w:p w14:paraId="29A368C3">
      <w:pPr>
        <w:pStyle w:val="31"/>
        <w:numPr>
          <w:ilvl w:val="0"/>
          <w:numId w:val="8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风险防控原则</w:t>
      </w:r>
      <w:r>
        <w:rPr>
          <w:rFonts w:ascii="仿宋" w:hAnsi="仿宋" w:eastAsia="仿宋"/>
        </w:rPr>
        <w:t>：避免因绩效导致的过度检查、违规操作。</w:t>
      </w:r>
    </w:p>
    <w:p w14:paraId="7CF6BFB4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第二章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件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项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目及金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额标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准</w:t>
      </w:r>
    </w:p>
    <w:p w14:paraId="21254571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第四条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项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目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件金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额总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表</w:t>
      </w:r>
    </w:p>
    <w:p w14:paraId="2DE5CD01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下列计件金额为医院检验科统一执行标准：</w:t>
      </w:r>
    </w:p>
    <w:tbl>
      <w:tblPr>
        <w:tblStyle w:val="35"/>
        <w:tblW w:w="0" w:type="auto"/>
        <w:tblCellSpacing w:w="15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93"/>
        <w:gridCol w:w="4295"/>
      </w:tblGrid>
      <w:tr w14:paraId="5D8ABA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F667BE">
            <w:pPr>
              <w:spacing w:after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微软雅黑"/>
                <w:b/>
                <w:bCs/>
                <w:sz w:val="24"/>
                <w:szCs w:val="24"/>
              </w:rPr>
              <w:t>项</w:t>
            </w:r>
            <w:r>
              <w:rPr>
                <w:rFonts w:hint="eastAsia" w:ascii="仿宋" w:hAnsi="仿宋" w:eastAsia="仿宋" w:cs="MS Mincho"/>
                <w:b/>
                <w:bCs/>
                <w:sz w:val="24"/>
                <w:szCs w:val="24"/>
              </w:rPr>
              <w:t>目</w:t>
            </w:r>
            <w:r>
              <w:rPr>
                <w:rFonts w:hint="eastAsia" w:ascii="仿宋" w:hAnsi="仿宋" w:eastAsia="仿宋" w:cs="微软雅黑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4250" w:type="dxa"/>
            <w:vAlign w:val="center"/>
          </w:tcPr>
          <w:p w14:paraId="7EF6CFB1">
            <w:pPr>
              <w:spacing w:after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微软雅黑"/>
                <w:b/>
                <w:bCs/>
                <w:sz w:val="24"/>
                <w:szCs w:val="24"/>
              </w:rPr>
              <w:t>计</w:t>
            </w:r>
            <w:r>
              <w:rPr>
                <w:rFonts w:hint="eastAsia" w:ascii="仿宋" w:hAnsi="仿宋" w:eastAsia="仿宋" w:cs="MS Mincho"/>
                <w:b/>
                <w:bCs/>
                <w:sz w:val="24"/>
                <w:szCs w:val="24"/>
              </w:rPr>
              <w:t>件金</w:t>
            </w:r>
            <w:r>
              <w:rPr>
                <w:rFonts w:hint="eastAsia" w:ascii="仿宋" w:hAnsi="仿宋" w:eastAsia="仿宋" w:cs="微软雅黑"/>
                <w:b/>
                <w:bCs/>
                <w:sz w:val="24"/>
                <w:szCs w:val="24"/>
              </w:rPr>
              <w:t>额</w:t>
            </w:r>
            <w:r>
              <w:rPr>
                <w:rFonts w:hint="eastAsia" w:ascii="仿宋" w:hAnsi="仿宋" w:eastAsia="仿宋" w:cs="MS Mincho"/>
                <w:b/>
                <w:bCs/>
                <w:sz w:val="24"/>
                <w:szCs w:val="24"/>
              </w:rPr>
              <w:t>（元）</w:t>
            </w:r>
          </w:p>
        </w:tc>
      </w:tr>
      <w:tr w14:paraId="19D174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153A5F">
            <w:pPr>
              <w:spacing w:after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Style w:val="136"/>
                <w:rFonts w:hint="eastAsia" w:ascii="仿宋" w:hAnsi="仿宋" w:eastAsia="仿宋"/>
                <w:sz w:val="24"/>
                <w:szCs w:val="24"/>
                <w:lang w:val="en-US" w:eastAsia="zh-CN"/>
              </w:rPr>
              <w:t>临床项目（</w:t>
            </w:r>
            <w:r>
              <w:rPr>
                <w:rStyle w:val="136"/>
                <w:rFonts w:ascii="仿宋" w:hAnsi="仿宋" w:eastAsia="仿宋"/>
                <w:sz w:val="24"/>
                <w:szCs w:val="24"/>
              </w:rPr>
              <w:t>血常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规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250" w:type="dxa"/>
            <w:vAlign w:val="center"/>
          </w:tcPr>
          <w:p w14:paraId="7F6D292C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0.4 / 次</w:t>
            </w:r>
          </w:p>
        </w:tc>
      </w:tr>
      <w:tr w14:paraId="731E21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803A6A">
            <w:pPr>
              <w:spacing w:after="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Style w:val="136"/>
                <w:rFonts w:hint="eastAsia" w:ascii="仿宋" w:hAnsi="仿宋" w:eastAsia="仿宋"/>
                <w:sz w:val="24"/>
                <w:szCs w:val="24"/>
                <w:lang w:val="en-US" w:eastAsia="zh-CN"/>
              </w:rPr>
              <w:t>尿液检验(</w:t>
            </w:r>
            <w:r>
              <w:rPr>
                <w:rStyle w:val="136"/>
                <w:rFonts w:ascii="仿宋" w:hAnsi="仿宋" w:eastAsia="仿宋"/>
                <w:sz w:val="24"/>
                <w:szCs w:val="24"/>
              </w:rPr>
              <w:t>尿常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规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4250" w:type="dxa"/>
            <w:vAlign w:val="center"/>
          </w:tcPr>
          <w:p w14:paraId="394DA776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0.4 / 次</w:t>
            </w:r>
          </w:p>
        </w:tc>
      </w:tr>
      <w:tr w14:paraId="1670B3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E9987F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粪</w:t>
            </w:r>
            <w:r>
              <w:rPr>
                <w:rStyle w:val="136"/>
                <w:rFonts w:hint="eastAsia" w:ascii="仿宋" w:hAnsi="仿宋" w:eastAsia="仿宋" w:cs="MS Mincho"/>
                <w:sz w:val="24"/>
                <w:szCs w:val="24"/>
              </w:rPr>
              <w:t>便常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规</w:t>
            </w:r>
          </w:p>
        </w:tc>
        <w:tc>
          <w:tcPr>
            <w:tcW w:w="4250" w:type="dxa"/>
            <w:vAlign w:val="center"/>
          </w:tcPr>
          <w:p w14:paraId="4D8C3241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1.0 / 次</w:t>
            </w:r>
          </w:p>
        </w:tc>
      </w:tr>
      <w:tr w14:paraId="5DF9AD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A688BC">
            <w:pPr>
              <w:spacing w:after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Style w:val="136"/>
                <w:rFonts w:ascii="仿宋" w:hAnsi="仿宋" w:eastAsia="仿宋"/>
                <w:sz w:val="24"/>
                <w:szCs w:val="24"/>
              </w:rPr>
              <w:t>生化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单项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（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  <w:lang w:val="en-US" w:eastAsia="zh-CN"/>
              </w:rPr>
              <w:t>肝功能、肾功能、血脂、血糖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250" w:type="dxa"/>
            <w:vAlign w:val="center"/>
          </w:tcPr>
          <w:p w14:paraId="1BD88F2F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 xml:space="preserve">0.2 / 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项</w:t>
            </w:r>
          </w:p>
        </w:tc>
      </w:tr>
      <w:tr w14:paraId="79494F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7C4723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Style w:val="136"/>
                <w:rFonts w:ascii="仿宋" w:hAnsi="仿宋" w:eastAsia="仿宋"/>
                <w:sz w:val="24"/>
                <w:szCs w:val="24"/>
              </w:rPr>
              <w:t>生化全套</w:t>
            </w:r>
          </w:p>
        </w:tc>
        <w:tc>
          <w:tcPr>
            <w:tcW w:w="4250" w:type="dxa"/>
            <w:vAlign w:val="center"/>
          </w:tcPr>
          <w:p w14:paraId="10C1E3B5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5 / 次</w:t>
            </w:r>
          </w:p>
        </w:tc>
      </w:tr>
      <w:tr w14:paraId="6731C6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EE127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Style w:val="136"/>
                <w:rFonts w:ascii="仿宋" w:hAnsi="仿宋" w:eastAsia="仿宋"/>
                <w:sz w:val="24"/>
                <w:szCs w:val="24"/>
              </w:rPr>
              <w:t>免疫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单项</w:t>
            </w:r>
          </w:p>
        </w:tc>
        <w:tc>
          <w:tcPr>
            <w:tcW w:w="4250" w:type="dxa"/>
            <w:vAlign w:val="center"/>
          </w:tcPr>
          <w:p w14:paraId="60603DDA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 xml:space="preserve">1 / 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项</w:t>
            </w:r>
          </w:p>
        </w:tc>
      </w:tr>
      <w:tr w14:paraId="30D0DB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8ED72A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Style w:val="136"/>
                <w:rFonts w:ascii="仿宋" w:hAnsi="仿宋" w:eastAsia="仿宋"/>
                <w:sz w:val="24"/>
                <w:szCs w:val="24"/>
              </w:rPr>
              <w:t>C13 呼气</w:t>
            </w:r>
            <w:r>
              <w:rPr>
                <w:rStyle w:val="136"/>
                <w:rFonts w:hint="eastAsia" w:ascii="仿宋" w:hAnsi="仿宋" w:eastAsia="仿宋" w:cs="微软雅黑"/>
                <w:sz w:val="24"/>
                <w:szCs w:val="24"/>
              </w:rPr>
              <w:t>试验</w:t>
            </w:r>
          </w:p>
        </w:tc>
        <w:tc>
          <w:tcPr>
            <w:tcW w:w="4250" w:type="dxa"/>
            <w:vAlign w:val="center"/>
          </w:tcPr>
          <w:p w14:paraId="31E171A0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2 / 次</w:t>
            </w:r>
          </w:p>
        </w:tc>
      </w:tr>
      <w:tr w14:paraId="7EEFC9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78BF3B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Style w:val="136"/>
                <w:rFonts w:hint="eastAsia" w:ascii="仿宋" w:hAnsi="仿宋" w:eastAsia="仿宋"/>
                <w:sz w:val="24"/>
                <w:szCs w:val="24"/>
                <w:lang w:eastAsia="zh-CN"/>
              </w:rPr>
              <w:t>外送检项目</w:t>
            </w:r>
          </w:p>
        </w:tc>
        <w:tc>
          <w:tcPr>
            <w:tcW w:w="4250" w:type="dxa"/>
            <w:vAlign w:val="center"/>
          </w:tcPr>
          <w:p w14:paraId="4E4D1A1E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2 / 次</w:t>
            </w:r>
          </w:p>
        </w:tc>
      </w:tr>
    </w:tbl>
    <w:p w14:paraId="415E2603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本金额表由医院人力资源部、医务部和检验科每</w:t>
      </w:r>
      <w:r>
        <w:rPr>
          <w:rFonts w:hint="eastAsia" w:ascii="仿宋" w:hAnsi="仿宋" w:eastAsia="仿宋"/>
        </w:rPr>
        <w:t>季度</w:t>
      </w:r>
      <w:r>
        <w:rPr>
          <w:rFonts w:ascii="仿宋" w:hAnsi="仿宋" w:eastAsia="仿宋"/>
        </w:rPr>
        <w:t>根据运营情况共同修订一次。</w:t>
      </w:r>
    </w:p>
    <w:p w14:paraId="53E51DED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第三章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算方法</w:t>
      </w:r>
      <w:bookmarkStart w:id="0" w:name="_GoBack"/>
      <w:bookmarkEnd w:id="0"/>
    </w:p>
    <w:p w14:paraId="17B9E8F6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第五条 个人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件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算公式</w:t>
      </w:r>
    </w:p>
    <w:p w14:paraId="522AF35E">
      <w:pPr>
        <w:pStyle w:val="5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一、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总项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目量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统计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：</w:t>
      </w:r>
    </w:p>
    <w:p w14:paraId="54C73A5C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根据 LIS 系统导出的“项目完成数量”进行汇总。</w:t>
      </w:r>
    </w:p>
    <w:p w14:paraId="7A16B3C2">
      <w:pPr>
        <w:pStyle w:val="5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二、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件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效公式：</w:t>
      </w:r>
    </w:p>
    <w:p w14:paraId="53FB1F99">
      <w:pPr>
        <w:rPr>
          <w:rFonts w:ascii="仿宋" w:hAnsi="仿宋" w:eastAsia="仿宋"/>
          <w:sz w:val="24"/>
          <w:szCs w:val="24"/>
          <w:lang w:eastAsia="zh-CN"/>
        </w:rPr>
      </w:pPr>
      <w:r>
        <w:rPr>
          <w:rStyle w:val="171"/>
          <w:rFonts w:ascii="仿宋" w:hAnsi="仿宋" w:eastAsia="仿宋"/>
          <w:sz w:val="24"/>
          <w:szCs w:val="24"/>
          <w:lang w:eastAsia="zh-CN"/>
        </w:rPr>
        <w:t>个人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计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件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绩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效=∑(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项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目数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量×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项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目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计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件金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额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)×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岗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位系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数\textbf{个人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计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件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绩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效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} = \sum(\text{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项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目数量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} × \text{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项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目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计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件金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额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}) × \text{</w:t>
      </w:r>
      <w:r>
        <w:rPr>
          <w:rStyle w:val="171"/>
          <w:rFonts w:hint="eastAsia" w:ascii="仿宋" w:hAnsi="仿宋" w:eastAsia="仿宋" w:cs="微软雅黑"/>
          <w:sz w:val="24"/>
          <w:szCs w:val="24"/>
          <w:lang w:eastAsia="zh-CN"/>
        </w:rPr>
        <w:t>岗</w:t>
      </w:r>
      <w:r>
        <w:rPr>
          <w:rStyle w:val="171"/>
          <w:rFonts w:hint="eastAsia" w:ascii="仿宋" w:hAnsi="仿宋" w:eastAsia="仿宋" w:cs="MS Mincho"/>
          <w:sz w:val="24"/>
          <w:szCs w:val="24"/>
          <w:lang w:eastAsia="zh-CN"/>
        </w:rPr>
        <w:t>位系数</w:t>
      </w:r>
      <w:r>
        <w:rPr>
          <w:rStyle w:val="171"/>
          <w:rFonts w:ascii="仿宋" w:hAnsi="仿宋" w:eastAsia="仿宋"/>
          <w:sz w:val="24"/>
          <w:szCs w:val="24"/>
          <w:lang w:eastAsia="zh-CN"/>
        </w:rPr>
        <w:t>}</w:t>
      </w:r>
      <w:r>
        <w:rPr>
          <w:rStyle w:val="172"/>
          <w:rFonts w:ascii="仿宋" w:hAnsi="仿宋" w:eastAsia="仿宋"/>
          <w:sz w:val="24"/>
          <w:szCs w:val="24"/>
          <w:lang w:eastAsia="zh-CN"/>
        </w:rPr>
        <w:t>个人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计</w:t>
      </w:r>
      <w:r>
        <w:rPr>
          <w:rStyle w:val="172"/>
          <w:rFonts w:hint="eastAsia" w:ascii="仿宋" w:hAnsi="仿宋" w:eastAsia="仿宋" w:cs="MS Mincho"/>
          <w:sz w:val="24"/>
          <w:szCs w:val="24"/>
          <w:lang w:eastAsia="zh-CN"/>
        </w:rPr>
        <w:t>件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绩</w:t>
      </w:r>
      <w:r>
        <w:rPr>
          <w:rStyle w:val="172"/>
          <w:rFonts w:hint="eastAsia" w:ascii="仿宋" w:hAnsi="仿宋" w:eastAsia="仿宋" w:cs="MS Mincho"/>
          <w:sz w:val="24"/>
          <w:szCs w:val="24"/>
          <w:lang w:eastAsia="zh-CN"/>
        </w:rPr>
        <w:t>效</w:t>
      </w:r>
      <w:r>
        <w:rPr>
          <w:rStyle w:val="173"/>
          <w:rFonts w:ascii="仿宋" w:hAnsi="仿宋" w:eastAsia="仿宋"/>
          <w:sz w:val="24"/>
          <w:szCs w:val="24"/>
          <w:lang w:eastAsia="zh-CN"/>
        </w:rPr>
        <w:t>=</w:t>
      </w:r>
      <w:r>
        <w:rPr>
          <w:rStyle w:val="174"/>
          <w:rFonts w:ascii="仿宋" w:hAnsi="仿宋" w:eastAsia="仿宋"/>
          <w:sz w:val="24"/>
          <w:szCs w:val="24"/>
          <w:lang w:eastAsia="zh-CN"/>
        </w:rPr>
        <w:t>∑</w:t>
      </w:r>
      <w:r>
        <w:rPr>
          <w:rStyle w:val="175"/>
          <w:rFonts w:ascii="仿宋" w:hAnsi="仿宋" w:eastAsia="仿宋"/>
          <w:sz w:val="24"/>
          <w:szCs w:val="24"/>
          <w:lang w:eastAsia="zh-CN"/>
        </w:rPr>
        <w:t>(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项</w:t>
      </w:r>
      <w:r>
        <w:rPr>
          <w:rStyle w:val="172"/>
          <w:rFonts w:hint="eastAsia" w:ascii="仿宋" w:hAnsi="仿宋" w:eastAsia="仿宋" w:cs="MS Mincho"/>
          <w:sz w:val="24"/>
          <w:szCs w:val="24"/>
          <w:lang w:eastAsia="zh-CN"/>
        </w:rPr>
        <w:t>目数量</w:t>
      </w:r>
      <w:r>
        <w:rPr>
          <w:rStyle w:val="176"/>
          <w:rFonts w:ascii="仿宋" w:hAnsi="仿宋" w:eastAsia="仿宋"/>
          <w:sz w:val="24"/>
          <w:szCs w:val="24"/>
          <w:lang w:eastAsia="zh-CN"/>
        </w:rPr>
        <w:t>×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项</w:t>
      </w:r>
      <w:r>
        <w:rPr>
          <w:rStyle w:val="172"/>
          <w:rFonts w:hint="eastAsia" w:ascii="仿宋" w:hAnsi="仿宋" w:eastAsia="仿宋" w:cs="MS Mincho"/>
          <w:sz w:val="24"/>
          <w:szCs w:val="24"/>
          <w:lang w:eastAsia="zh-CN"/>
        </w:rPr>
        <w:t>目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计</w:t>
      </w:r>
      <w:r>
        <w:rPr>
          <w:rStyle w:val="172"/>
          <w:rFonts w:hint="eastAsia" w:ascii="仿宋" w:hAnsi="仿宋" w:eastAsia="仿宋" w:cs="MS Mincho"/>
          <w:sz w:val="24"/>
          <w:szCs w:val="24"/>
          <w:lang w:eastAsia="zh-CN"/>
        </w:rPr>
        <w:t>件金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额</w:t>
      </w:r>
      <w:r>
        <w:rPr>
          <w:rStyle w:val="177"/>
          <w:rFonts w:ascii="仿宋" w:hAnsi="仿宋" w:eastAsia="仿宋"/>
          <w:sz w:val="24"/>
          <w:szCs w:val="24"/>
          <w:lang w:eastAsia="zh-CN"/>
        </w:rPr>
        <w:t>)</w:t>
      </w:r>
      <w:r>
        <w:rPr>
          <w:rStyle w:val="176"/>
          <w:rFonts w:ascii="仿宋" w:hAnsi="仿宋" w:eastAsia="仿宋"/>
          <w:sz w:val="24"/>
          <w:szCs w:val="24"/>
          <w:lang w:eastAsia="zh-CN"/>
        </w:rPr>
        <w:t>×</w:t>
      </w:r>
      <w:r>
        <w:rPr>
          <w:rStyle w:val="172"/>
          <w:rFonts w:hint="eastAsia" w:ascii="仿宋" w:hAnsi="仿宋" w:eastAsia="仿宋" w:cs="微软雅黑"/>
          <w:sz w:val="24"/>
          <w:szCs w:val="24"/>
          <w:lang w:eastAsia="zh-CN"/>
        </w:rPr>
        <w:t>岗</w:t>
      </w:r>
      <w:r>
        <w:rPr>
          <w:rStyle w:val="172"/>
          <w:rFonts w:hint="eastAsia" w:ascii="仿宋" w:hAnsi="仿宋" w:eastAsia="仿宋" w:cs="MS Mincho"/>
          <w:sz w:val="24"/>
          <w:szCs w:val="24"/>
          <w:lang w:eastAsia="zh-CN"/>
        </w:rPr>
        <w:t>位系</w:t>
      </w:r>
      <w:r>
        <w:rPr>
          <w:rStyle w:val="172"/>
          <w:rFonts w:ascii="仿宋" w:hAnsi="仿宋" w:eastAsia="仿宋"/>
          <w:sz w:val="24"/>
          <w:szCs w:val="24"/>
          <w:lang w:eastAsia="zh-CN"/>
        </w:rPr>
        <w:t>数</w:t>
      </w:r>
      <w:r>
        <w:rPr>
          <w:rFonts w:ascii="仿宋" w:hAnsi="仿宋" w:eastAsia="仿宋"/>
          <w:sz w:val="24"/>
          <w:szCs w:val="24"/>
          <w:lang w:eastAsia="zh-CN"/>
        </w:rPr>
        <w:t xml:space="preserve"> </w:t>
      </w:r>
    </w:p>
    <w:p w14:paraId="63F80FD0">
      <w:pPr>
        <w:rPr>
          <w:rFonts w:ascii="仿宋" w:hAnsi="仿宋" w:eastAsia="仿宋"/>
          <w:sz w:val="24"/>
          <w:szCs w:val="24"/>
          <w:lang w:eastAsia="zh-CN"/>
        </w:rPr>
      </w:pPr>
    </w:p>
    <w:p w14:paraId="3E839998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第四章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岗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位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效系数与分配机制</w:t>
      </w:r>
    </w:p>
    <w:p w14:paraId="59A83FCC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第六条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岗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位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效系数</w:t>
      </w:r>
    </w:p>
    <w:p w14:paraId="55E58478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为体现岗位职责差异，岗位系数可结合未来科室结构调整。</w:t>
      </w:r>
    </w:p>
    <w:p w14:paraId="111EE610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第五章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质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量控制与扣分机制</w:t>
      </w:r>
    </w:p>
    <w:p w14:paraId="696CAD81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</w:t>
      </w:r>
      <w:r>
        <w:rPr>
          <w:rStyle w:val="136"/>
          <w:rFonts w:hint="eastAsia" w:ascii="仿宋" w:hAnsi="仿宋" w:eastAsia="仿宋"/>
          <w:b/>
          <w:bCs/>
          <w:color w:val="auto"/>
          <w:sz w:val="24"/>
          <w:szCs w:val="24"/>
          <w:lang w:eastAsia="zh-CN"/>
        </w:rPr>
        <w:t>七</w:t>
      </w: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条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质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量考核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为绩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效前置条件</w:t>
      </w:r>
    </w:p>
    <w:p w14:paraId="094928D3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发生如下情况之一，可对个人或小组实施扣分：</w:t>
      </w:r>
    </w:p>
    <w:tbl>
      <w:tblPr>
        <w:tblStyle w:val="35"/>
        <w:tblW w:w="0" w:type="auto"/>
        <w:tblCellSpacing w:w="15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5"/>
        <w:gridCol w:w="2635"/>
      </w:tblGrid>
      <w:tr w14:paraId="0DBD7B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AFDCE6">
            <w:pPr>
              <w:spacing w:after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微软雅黑"/>
                <w:b/>
                <w:bCs/>
                <w:sz w:val="24"/>
                <w:szCs w:val="24"/>
              </w:rPr>
              <w:t>质</w:t>
            </w:r>
            <w:r>
              <w:rPr>
                <w:rFonts w:hint="eastAsia" w:ascii="仿宋" w:hAnsi="仿宋" w:eastAsia="仿宋" w:cs="MS Mincho"/>
                <w:b/>
                <w:bCs/>
                <w:sz w:val="24"/>
                <w:szCs w:val="24"/>
              </w:rPr>
              <w:t>量事件</w:t>
            </w:r>
          </w:p>
        </w:tc>
        <w:tc>
          <w:tcPr>
            <w:tcW w:w="0" w:type="auto"/>
            <w:vAlign w:val="center"/>
          </w:tcPr>
          <w:p w14:paraId="33BA50E0">
            <w:pPr>
              <w:spacing w:after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>扣分比例</w:t>
            </w:r>
          </w:p>
        </w:tc>
      </w:tr>
      <w:tr w14:paraId="5C8ECD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40DDBF">
            <w:pPr>
              <w:spacing w:after="0"/>
              <w:rPr>
                <w:rFonts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报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告</w:t>
            </w: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单错误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错报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、漏</w:t>
            </w: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报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0" w:type="auto"/>
            <w:vAlign w:val="center"/>
          </w:tcPr>
          <w:p w14:paraId="0887CB4C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扣当月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计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件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绩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效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10%</w:t>
            </w:r>
          </w:p>
        </w:tc>
      </w:tr>
      <w:tr w14:paraId="2C9501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EEB2E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外部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质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控不合格</w:t>
            </w:r>
          </w:p>
        </w:tc>
        <w:tc>
          <w:tcPr>
            <w:tcW w:w="0" w:type="auto"/>
            <w:vAlign w:val="center"/>
          </w:tcPr>
          <w:p w14:paraId="6D713F44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微软雅黑"/>
                <w:sz w:val="24"/>
                <w:szCs w:val="24"/>
              </w:rPr>
              <w:t>视严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重程度扣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5%–20%</w:t>
            </w:r>
          </w:p>
        </w:tc>
      </w:tr>
      <w:tr w14:paraId="44FE77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71DC53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微软雅黑"/>
                <w:sz w:val="24"/>
                <w:szCs w:val="24"/>
              </w:rPr>
              <w:t>报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告延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迟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（超</w:t>
            </w:r>
            <w:r>
              <w:rPr>
                <w:rFonts w:ascii="仿宋" w:hAnsi="仿宋" w:eastAsia="仿宋"/>
                <w:sz w:val="24"/>
                <w:szCs w:val="24"/>
              </w:rPr>
              <w:t>24 小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时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</w:tcPr>
          <w:p w14:paraId="0A1E3C5D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每次扣 1–5 元</w:t>
            </w:r>
          </w:p>
        </w:tc>
      </w:tr>
      <w:tr w14:paraId="4CDF1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4CA002">
            <w:pPr>
              <w:spacing w:after="0"/>
              <w:rPr>
                <w:rFonts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因操作不</w:t>
            </w: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规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范</w:t>
            </w: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导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致</w:t>
            </w:r>
            <w:r>
              <w:rPr>
                <w:rFonts w:hint="eastAsia" w:ascii="仿宋" w:hAnsi="仿宋" w:eastAsia="仿宋" w:cs="微软雅黑"/>
                <w:sz w:val="24"/>
                <w:szCs w:val="24"/>
                <w:lang w:eastAsia="zh-CN"/>
              </w:rPr>
              <w:t>样</w:t>
            </w:r>
            <w:r>
              <w:rPr>
                <w:rFonts w:hint="eastAsia" w:ascii="仿宋" w:hAnsi="仿宋" w:eastAsia="仿宋" w:cs="MS Mincho"/>
                <w:sz w:val="24"/>
                <w:szCs w:val="24"/>
                <w:lang w:eastAsia="zh-CN"/>
              </w:rPr>
              <w:t>本重做</w:t>
            </w:r>
          </w:p>
        </w:tc>
        <w:tc>
          <w:tcPr>
            <w:tcW w:w="0" w:type="auto"/>
            <w:vAlign w:val="center"/>
          </w:tcPr>
          <w:p w14:paraId="23A35ACC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扣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该项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目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计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件金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额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100%</w:t>
            </w:r>
          </w:p>
        </w:tc>
      </w:tr>
      <w:tr w14:paraId="1D94B7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959013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患者投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诉</w:t>
            </w:r>
            <w:r>
              <w:rPr>
                <w:rFonts w:hint="eastAsia" w:ascii="仿宋" w:hAnsi="仿宋" w:eastAsia="仿宋" w:cs="MS Mincho"/>
                <w:sz w:val="24"/>
                <w:szCs w:val="24"/>
              </w:rPr>
              <w:t>属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实</w:t>
            </w:r>
          </w:p>
        </w:tc>
        <w:tc>
          <w:tcPr>
            <w:tcW w:w="0" w:type="auto"/>
            <w:vAlign w:val="center"/>
          </w:tcPr>
          <w:p w14:paraId="75C4E511">
            <w:pPr>
              <w:spacing w:after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每次扣 10–50 元</w:t>
            </w:r>
          </w:p>
        </w:tc>
      </w:tr>
    </w:tbl>
    <w:p w14:paraId="1DBE68C2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特殊严重问题可由医务部启动问责程序。</w:t>
      </w:r>
    </w:p>
    <w:p w14:paraId="2CC5ABA0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第六章 特殊情况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说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明</w:t>
      </w:r>
    </w:p>
    <w:p w14:paraId="3655E81A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</w:t>
      </w:r>
      <w:r>
        <w:rPr>
          <w:rStyle w:val="136"/>
          <w:rFonts w:hint="eastAsia" w:ascii="仿宋" w:hAnsi="仿宋" w:eastAsia="仿宋"/>
          <w:b/>
          <w:bCs/>
          <w:color w:val="auto"/>
          <w:sz w:val="24"/>
          <w:szCs w:val="24"/>
          <w:lang w:eastAsia="zh-CN"/>
        </w:rPr>
        <w:t>八</w:t>
      </w: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条 以下情况不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入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效：</w:t>
      </w:r>
    </w:p>
    <w:p w14:paraId="18B5F228">
      <w:pPr>
        <w:pStyle w:val="31"/>
        <w:numPr>
          <w:ilvl w:val="0"/>
          <w:numId w:val="9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仪器故障导致的重复检测。</w:t>
      </w:r>
    </w:p>
    <w:p w14:paraId="1717B1AA">
      <w:pPr>
        <w:pStyle w:val="31"/>
        <w:numPr>
          <w:ilvl w:val="0"/>
          <w:numId w:val="9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医生要求复测但无临床必要性。</w:t>
      </w:r>
    </w:p>
    <w:p w14:paraId="03078507">
      <w:pPr>
        <w:pStyle w:val="31"/>
        <w:numPr>
          <w:ilvl w:val="0"/>
          <w:numId w:val="9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培训学习期间未参与上机操作。</w:t>
      </w:r>
    </w:p>
    <w:p w14:paraId="71CACD83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第七章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绩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效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审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核与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发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放流程</w:t>
      </w:r>
    </w:p>
    <w:p w14:paraId="0C3AFC99">
      <w:pPr>
        <w:pStyle w:val="4"/>
        <w:rPr>
          <w:rFonts w:ascii="仿宋" w:hAnsi="仿宋" w:eastAsia="仿宋"/>
          <w:color w:val="auto"/>
          <w:sz w:val="24"/>
          <w:szCs w:val="24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</w:rPr>
        <w:t>第</w:t>
      </w:r>
      <w:r>
        <w:rPr>
          <w:rStyle w:val="136"/>
          <w:rFonts w:hint="eastAsia" w:ascii="仿宋" w:hAnsi="仿宋" w:eastAsia="仿宋"/>
          <w:b/>
          <w:bCs/>
          <w:color w:val="auto"/>
          <w:sz w:val="24"/>
          <w:szCs w:val="24"/>
          <w:lang w:eastAsia="zh-CN"/>
        </w:rPr>
        <w:t>九</w:t>
      </w:r>
      <w:r>
        <w:rPr>
          <w:rStyle w:val="136"/>
          <w:rFonts w:ascii="仿宋" w:hAnsi="仿宋" w:eastAsia="仿宋"/>
          <w:b/>
          <w:bCs/>
          <w:color w:val="auto"/>
          <w:sz w:val="24"/>
          <w:szCs w:val="24"/>
        </w:rPr>
        <w:t>条 流程</w:t>
      </w:r>
    </w:p>
    <w:p w14:paraId="4DF94389">
      <w:pPr>
        <w:pStyle w:val="31"/>
        <w:numPr>
          <w:ilvl w:val="0"/>
          <w:numId w:val="10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每月 1 日</w:t>
      </w:r>
      <w:r>
        <w:rPr>
          <w:rFonts w:ascii="仿宋" w:hAnsi="仿宋" w:eastAsia="仿宋"/>
        </w:rPr>
        <w:br w:type="textWrapping"/>
      </w:r>
      <w:r>
        <w:rPr>
          <w:rFonts w:ascii="仿宋" w:hAnsi="仿宋" w:eastAsia="仿宋"/>
        </w:rPr>
        <w:t>LIS 数据由信息科与检验科核对，生成项目数量汇总表。</w:t>
      </w:r>
    </w:p>
    <w:p w14:paraId="6EA0C352">
      <w:pPr>
        <w:pStyle w:val="31"/>
        <w:numPr>
          <w:ilvl w:val="0"/>
          <w:numId w:val="10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每月 3 日</w:t>
      </w:r>
      <w:r>
        <w:rPr>
          <w:rFonts w:ascii="仿宋" w:hAnsi="仿宋" w:eastAsia="仿宋"/>
        </w:rPr>
        <w:br w:type="textWrapping"/>
      </w:r>
      <w:r>
        <w:rPr>
          <w:rFonts w:ascii="仿宋" w:hAnsi="仿宋" w:eastAsia="仿宋"/>
        </w:rPr>
        <w:t>检验科完成内部核算，提交院办与人事部复核。</w:t>
      </w:r>
    </w:p>
    <w:p w14:paraId="5FC26383">
      <w:pPr>
        <w:pStyle w:val="31"/>
        <w:numPr>
          <w:ilvl w:val="0"/>
          <w:numId w:val="10"/>
        </w:numPr>
        <w:rPr>
          <w:rFonts w:ascii="仿宋" w:hAnsi="仿宋" w:eastAsia="仿宋"/>
        </w:rPr>
      </w:pPr>
      <w:r>
        <w:rPr>
          <w:rStyle w:val="136"/>
          <w:rFonts w:ascii="仿宋" w:hAnsi="仿宋" w:eastAsia="仿宋"/>
        </w:rPr>
        <w:t>每月 15日</w:t>
      </w:r>
      <w:r>
        <w:rPr>
          <w:rFonts w:ascii="仿宋" w:hAnsi="仿宋" w:eastAsia="仿宋"/>
        </w:rPr>
        <w:br w:type="textWrapping"/>
      </w:r>
      <w:r>
        <w:rPr>
          <w:rFonts w:ascii="仿宋" w:hAnsi="仿宋" w:eastAsia="仿宋"/>
        </w:rPr>
        <w:t>财务部发放绩效工资。</w:t>
      </w:r>
    </w:p>
    <w:p w14:paraId="3F7081B7">
      <w:pPr>
        <w:pStyle w:val="3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第八章 附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则</w:t>
      </w:r>
    </w:p>
    <w:p w14:paraId="5A2D1D40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第十条 制度解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释权</w:t>
      </w:r>
    </w:p>
    <w:p w14:paraId="0FC7FCF1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本制度由 </w:t>
      </w:r>
      <w:r>
        <w:rPr>
          <w:rStyle w:val="136"/>
          <w:rFonts w:ascii="仿宋" w:hAnsi="仿宋" w:eastAsia="仿宋"/>
        </w:rPr>
        <w:t>蒙医云医院院办、人力资源部、医务部</w:t>
      </w:r>
      <w:r>
        <w:rPr>
          <w:rFonts w:ascii="仿宋" w:hAnsi="仿宋" w:eastAsia="仿宋"/>
        </w:rPr>
        <w:t xml:space="preserve"> 共同负责解释。</w:t>
      </w:r>
    </w:p>
    <w:p w14:paraId="063F511E">
      <w:pPr>
        <w:pStyle w:val="4"/>
        <w:rPr>
          <w:rFonts w:ascii="仿宋" w:hAnsi="仿宋" w:eastAsia="仿宋"/>
          <w:color w:val="auto"/>
          <w:sz w:val="24"/>
          <w:szCs w:val="24"/>
          <w:lang w:eastAsia="zh-CN"/>
        </w:rPr>
      </w:pP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>第十</w:t>
      </w:r>
      <w:r>
        <w:rPr>
          <w:rStyle w:val="136"/>
          <w:rFonts w:hint="eastAsia" w:ascii="仿宋" w:hAnsi="仿宋" w:eastAsia="仿宋"/>
          <w:b/>
          <w:bCs/>
          <w:color w:val="auto"/>
          <w:sz w:val="24"/>
          <w:szCs w:val="24"/>
          <w:lang w:eastAsia="zh-CN"/>
        </w:rPr>
        <w:t>一</w:t>
      </w:r>
      <w:r>
        <w:rPr>
          <w:rStyle w:val="136"/>
          <w:rFonts w:ascii="仿宋" w:hAnsi="仿宋" w:eastAsia="仿宋"/>
          <w:b/>
          <w:bCs/>
          <w:color w:val="auto"/>
          <w:sz w:val="24"/>
          <w:szCs w:val="24"/>
          <w:lang w:eastAsia="zh-CN"/>
        </w:rPr>
        <w:t xml:space="preserve">条 </w:t>
      </w:r>
      <w:r>
        <w:rPr>
          <w:rStyle w:val="136"/>
          <w:rFonts w:hint="eastAsia" w:ascii="仿宋" w:hAnsi="仿宋" w:eastAsia="仿宋" w:cs="微软雅黑"/>
          <w:b/>
          <w:bCs/>
          <w:color w:val="auto"/>
          <w:sz w:val="24"/>
          <w:szCs w:val="24"/>
          <w:lang w:eastAsia="zh-CN"/>
        </w:rPr>
        <w:t>实</w:t>
      </w:r>
      <w:r>
        <w:rPr>
          <w:rStyle w:val="136"/>
          <w:rFonts w:hint="eastAsia" w:ascii="仿宋" w:hAnsi="仿宋" w:eastAsia="仿宋" w:cs="MS Gothic"/>
          <w:b/>
          <w:bCs/>
          <w:color w:val="auto"/>
          <w:sz w:val="24"/>
          <w:szCs w:val="24"/>
          <w:lang w:eastAsia="zh-CN"/>
        </w:rPr>
        <w:t>施日期</w:t>
      </w:r>
    </w:p>
    <w:p w14:paraId="46179BC7">
      <w:pPr>
        <w:pStyle w:val="31"/>
        <w:rPr>
          <w:rFonts w:ascii="仿宋" w:hAnsi="仿宋" w:eastAsia="仿宋"/>
        </w:rPr>
      </w:pPr>
      <w:r>
        <w:rPr>
          <w:rFonts w:ascii="仿宋" w:hAnsi="仿宋" w:eastAsia="仿宋"/>
        </w:rPr>
        <w:t>本制度自发布之日起执行。</w:t>
      </w:r>
    </w:p>
    <w:p w14:paraId="25B74225">
      <w:pPr>
        <w:pStyle w:val="31"/>
        <w:rPr>
          <w:rFonts w:ascii="仿宋" w:hAnsi="仿宋" w:eastAsia="仿宋"/>
        </w:rPr>
      </w:pPr>
    </w:p>
    <w:p w14:paraId="4D50B927">
      <w:pPr>
        <w:pStyle w:val="31"/>
        <w:rPr>
          <w:rFonts w:ascii="仿宋" w:hAnsi="仿宋" w:eastAsia="仿宋"/>
        </w:rPr>
      </w:pPr>
    </w:p>
    <w:p w14:paraId="0DBB2391">
      <w:pPr>
        <w:pStyle w:val="31"/>
        <w:rPr>
          <w:rFonts w:ascii="仿宋" w:hAnsi="仿宋" w:eastAsia="仿宋"/>
        </w:rPr>
      </w:pPr>
    </w:p>
    <w:p w14:paraId="1F83284B">
      <w:pPr>
        <w:pStyle w:val="31"/>
        <w:rPr>
          <w:rFonts w:ascii="仿宋" w:hAnsi="仿宋" w:eastAsia="仿宋"/>
        </w:rPr>
      </w:pPr>
    </w:p>
    <w:p w14:paraId="6BE8D846">
      <w:pPr>
        <w:pStyle w:val="31"/>
        <w:rPr>
          <w:rFonts w:ascii="仿宋" w:hAnsi="仿宋" w:eastAsia="仿宋"/>
        </w:rPr>
      </w:pPr>
    </w:p>
    <w:p w14:paraId="33CDCFEB">
      <w:pPr>
        <w:pStyle w:val="31"/>
        <w:rPr>
          <w:rFonts w:ascii="仿宋" w:hAnsi="仿宋" w:eastAsia="仿宋"/>
        </w:rPr>
      </w:pPr>
    </w:p>
    <w:p w14:paraId="29626C7F">
      <w:pPr>
        <w:pStyle w:val="31"/>
        <w:rPr>
          <w:rFonts w:ascii="仿宋" w:hAnsi="仿宋" w:eastAsia="仿宋"/>
        </w:rPr>
      </w:pPr>
    </w:p>
    <w:p w14:paraId="68954683">
      <w:pPr>
        <w:pStyle w:val="31"/>
        <w:rPr>
          <w:rFonts w:ascii="仿宋" w:hAnsi="仿宋" w:eastAsia="仿宋"/>
        </w:rPr>
      </w:pPr>
    </w:p>
    <w:p w14:paraId="59FBAE59">
      <w:pPr>
        <w:pStyle w:val="31"/>
        <w:rPr>
          <w:rFonts w:ascii="仿宋" w:hAnsi="仿宋" w:eastAsia="仿宋"/>
        </w:rPr>
      </w:pPr>
    </w:p>
    <w:p w14:paraId="321CBE8E">
      <w:pPr>
        <w:jc w:val="right"/>
        <w:rPr>
          <w:rFonts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蒙医云医院医疗事业发展部</w:t>
      </w:r>
    </w:p>
    <w:p w14:paraId="13C71153">
      <w:pPr>
        <w:jc w:val="righ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2025年10月</w:t>
      </w:r>
    </w:p>
    <w:p w14:paraId="4CBC224A">
      <w:pPr>
        <w:rPr>
          <w:rFonts w:ascii="仿宋" w:hAnsi="仿宋" w:eastAsia="仿宋"/>
          <w:sz w:val="24"/>
          <w:szCs w:val="24"/>
          <w:lang w:eastAsia="zh-CN"/>
        </w:rPr>
      </w:pPr>
    </w:p>
    <w:sectPr>
      <w:headerReference r:id="rId5" w:type="default"/>
      <w:footerReference r:id="rId6" w:type="default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golian Baiti">
    <w:panose1 w:val="03000500000000000000"/>
    <w:charset w:val="00"/>
    <w:family w:val="script"/>
    <w:pitch w:val="default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B79B8">
    <w:pPr>
      <w:pStyle w:val="25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3590925</wp:posOffset>
          </wp:positionH>
          <wp:positionV relativeFrom="margin">
            <wp:posOffset>5862320</wp:posOffset>
          </wp:positionV>
          <wp:extent cx="3482975" cy="3270885"/>
          <wp:effectExtent l="0" t="0" r="3175" b="5715"/>
          <wp:wrapNone/>
          <wp:docPr id="2" name="WordPictureWatermark25456" descr="水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5456" descr="水印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2975" cy="327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C8151">
    <w:pPr>
      <w:pStyle w:val="26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-653415</wp:posOffset>
          </wp:positionH>
          <wp:positionV relativeFrom="paragraph">
            <wp:posOffset>-456565</wp:posOffset>
          </wp:positionV>
          <wp:extent cx="1786255" cy="503555"/>
          <wp:effectExtent l="0" t="0" r="4445" b="0"/>
          <wp:wrapSquare wrapText="bothSides"/>
          <wp:docPr id="1" name="图片 1" descr="蒙医云医疗集团logo横向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蒙医云医疗集团logo横向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255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93980</wp:posOffset>
              </wp:positionV>
              <wp:extent cx="7739380" cy="0"/>
              <wp:effectExtent l="0" t="0" r="0" b="0"/>
              <wp:wrapSquare wrapText="bothSides"/>
              <wp:docPr id="31" name="直接连接符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393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48BCD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54pt;margin-top:7.4pt;height:0pt;width:609.4pt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qzc2vWAAAACwEA&#10;AA8AAAAAAAAAAQAgAAAAIgAAAGRycy9kb3ducmV2LnhtbFBLAQIUABQAAAAIAIdO4kAR22Qc4wEA&#10;AKcDAAAOAAAAAAAAAAEAIAAAACUBAABkcnMvZTJvRG9jLnhtbFBLBQYAAAAABgAGAFkBAAB6BQAA&#10;AAA=&#10;">
              <v:fill on="f" focussize="0,0"/>
              <v:stroke weight="1pt" color="#048BCD [3204]" joinstyle="round"/>
              <v:imagedata o:title=""/>
              <o:lock v:ext="edit" aspectratio="f"/>
              <w10:wrap type="square"/>
            </v:line>
          </w:pict>
        </mc:Fallback>
      </mc:AlternateContent>
    </w:r>
  </w:p>
  <w:p w14:paraId="4020ECBD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51475BB"/>
    <w:multiLevelType w:val="multilevel"/>
    <w:tmpl w:val="051475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72E6937"/>
    <w:multiLevelType w:val="multilevel"/>
    <w:tmpl w:val="172E6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9BA501F"/>
    <w:multiLevelType w:val="multilevel"/>
    <w:tmpl w:val="39BA50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2C72BB8"/>
    <w:multiLevelType w:val="multilevel"/>
    <w:tmpl w:val="62C72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9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91A"/>
    <w:rsid w:val="0015074B"/>
    <w:rsid w:val="001C2D68"/>
    <w:rsid w:val="0029639D"/>
    <w:rsid w:val="00326F90"/>
    <w:rsid w:val="00495FD0"/>
    <w:rsid w:val="004C4A6B"/>
    <w:rsid w:val="00502FB0"/>
    <w:rsid w:val="00532B7D"/>
    <w:rsid w:val="00681A35"/>
    <w:rsid w:val="00737B8F"/>
    <w:rsid w:val="007558BD"/>
    <w:rsid w:val="008256E3"/>
    <w:rsid w:val="008A1745"/>
    <w:rsid w:val="008C27D9"/>
    <w:rsid w:val="009210ED"/>
    <w:rsid w:val="00AA1D8D"/>
    <w:rsid w:val="00B47730"/>
    <w:rsid w:val="00C00B06"/>
    <w:rsid w:val="00CB0664"/>
    <w:rsid w:val="00E53189"/>
    <w:rsid w:val="00F461E6"/>
    <w:rsid w:val="00F765FD"/>
    <w:rsid w:val="00FC693F"/>
    <w:rsid w:val="00FF5870"/>
    <w:rsid w:val="111D32DE"/>
    <w:rsid w:val="2A135BAE"/>
    <w:rsid w:val="2A9071FF"/>
    <w:rsid w:val="5DC8396A"/>
    <w:rsid w:val="7FE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uiPriority w:val="99"/>
  </w:style>
  <w:style w:type="paragraph" w:styleId="18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8"/>
    <w:unhideWhenUsed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 w:bidi="mn-Mong-CN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4">
    <w:name w:val="annotation subject"/>
    <w:basedOn w:val="17"/>
    <w:next w:val="17"/>
    <w:link w:val="169"/>
    <w:semiHidden/>
    <w:unhideWhenUsed/>
    <w:uiPriority w:val="99"/>
    <w:rPr>
      <w:b/>
      <w:b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annotation reference"/>
    <w:basedOn w:val="135"/>
    <w:semiHidden/>
    <w:unhideWhenUsed/>
    <w:uiPriority w:val="99"/>
    <w:rPr>
      <w:sz w:val="21"/>
      <w:szCs w:val="21"/>
    </w:rPr>
  </w:style>
  <w:style w:type="character" w:customStyle="1" w:styleId="139">
    <w:name w:val="页眉 字符"/>
    <w:basedOn w:val="135"/>
    <w:link w:val="26"/>
    <w:uiPriority w:val="99"/>
  </w:style>
  <w:style w:type="character" w:customStyle="1" w:styleId="140">
    <w:name w:val="页脚 字符"/>
    <w:basedOn w:val="135"/>
    <w:link w:val="25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20"/>
    <w:uiPriority w:val="99"/>
  </w:style>
  <w:style w:type="character" w:customStyle="1" w:styleId="149">
    <w:name w:val="正文文本 2 字符"/>
    <w:basedOn w:val="135"/>
    <w:link w:val="29"/>
    <w:uiPriority w:val="99"/>
  </w:style>
  <w:style w:type="character" w:customStyle="1" w:styleId="150">
    <w:name w:val="正文文本 3 字符"/>
    <w:basedOn w:val="135"/>
    <w:link w:val="18"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8">
    <w:name w:val="批注文字 字符"/>
    <w:basedOn w:val="135"/>
    <w:link w:val="17"/>
    <w:semiHidden/>
    <w:uiPriority w:val="99"/>
  </w:style>
  <w:style w:type="character" w:customStyle="1" w:styleId="169">
    <w:name w:val="批注主题 字符"/>
    <w:basedOn w:val="168"/>
    <w:link w:val="34"/>
    <w:semiHidden/>
    <w:uiPriority w:val="99"/>
    <w:rPr>
      <w:b/>
      <w:bCs/>
    </w:rPr>
  </w:style>
  <w:style w:type="character" w:customStyle="1" w:styleId="170">
    <w:name w:val="标题 2 字符1"/>
    <w:basedOn w:val="135"/>
    <w:semiHidden/>
    <w:locked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1">
    <w:name w:val="katex-mathml"/>
    <w:basedOn w:val="135"/>
    <w:uiPriority w:val="0"/>
  </w:style>
  <w:style w:type="character" w:customStyle="1" w:styleId="172">
    <w:name w:val="mord"/>
    <w:basedOn w:val="135"/>
    <w:uiPriority w:val="0"/>
  </w:style>
  <w:style w:type="character" w:customStyle="1" w:styleId="173">
    <w:name w:val="mrel"/>
    <w:basedOn w:val="135"/>
    <w:uiPriority w:val="0"/>
  </w:style>
  <w:style w:type="character" w:customStyle="1" w:styleId="174">
    <w:name w:val="mop"/>
    <w:basedOn w:val="135"/>
    <w:uiPriority w:val="0"/>
  </w:style>
  <w:style w:type="character" w:customStyle="1" w:styleId="175">
    <w:name w:val="mopen"/>
    <w:basedOn w:val="135"/>
    <w:uiPriority w:val="0"/>
  </w:style>
  <w:style w:type="character" w:customStyle="1" w:styleId="176">
    <w:name w:val="mbin"/>
    <w:basedOn w:val="135"/>
    <w:uiPriority w:val="0"/>
  </w:style>
  <w:style w:type="character" w:customStyle="1" w:styleId="177">
    <w:name w:val="mclose"/>
    <w:basedOn w:val="1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C3162D-035B-4464-A78E-FC21594732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1194</Characters>
  <Lines>10</Lines>
  <Paragraphs>2</Paragraphs>
  <TotalTime>4</TotalTime>
  <ScaleCrop>false</ScaleCrop>
  <LinksUpToDate>false</LinksUpToDate>
  <CharactersWithSpaces>1276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2025-12-05T09:05:00Z</dcterms:created>
  <dc:creator>python-docx</dc:creator>
  <dc:description>generated by python-docx</dc:description>
  <cp:lastModifiedBy>WPS_1494665399</cp:lastModifiedBy>
  <cp:lastPrinted>2025-10-06T14:00:00Z</cp:lastPrinted>
  <dcterms:modified xsi:type="dcterms:W3CDTF">2025-12-09T04:22:03Z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eyJoZGlkIjoiMTE0NWRmYTQwNjdmMzk5Mzk4ZGNlYTVkYjU0ZTllMDkiLCJ1c2VySWQiOiIyODAwMDczMzUifQ==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B2FAEB3ACC8641AC84A4C7B78661A83F_13</vt:lpwstr>
  </property>
</Properties>
</file>