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8F656" w14:textId="16A05E45" w:rsidR="00A50B07" w:rsidRDefault="00A50B07">
      <w:r>
        <w:t xml:space="preserve">Hummer 2022 </w:t>
      </w:r>
      <w:r>
        <w:fldChar w:fldCharType="begin" w:fldLock="1"/>
      </w:r>
      <w:r w:rsidR="007816A9">
        <w:instrText>ADDIN CSL_CITATION {"citationItems":[{"id":"ITEM-1","itemData":{"DOI":"10.1016/j.sbi.2022.102379","ISSN":"1879033X","PMID":"35490649","abstract":"Antibodies are currently the most important class of biotherapeutics and are used to treat numerous diseases. Recent advances in computational methods are ushering in a new era of antibody design, driven in part by accurate structure prediction. Previously, structure-based antibody design has been limited to a relatively small number of cases where accurate structures or models of both the target antigen and antibody were available. As we move towards a time where it is possible to accurately model most antibodies and antigens, and to reliably predict their binding site, there is vast potential for true computational antibody design. In this review, we describe the latest methods that promise to launch a paradigm shift towards entirely in silico structure-based antibody design.","author":[{"dropping-particle":"","family":"Hummer","given":"Alissa M.","non-dropping-particle":"","parse-names":false,"suffix":""},{"dropping-particle":"","family":"Abanades","given":"Brennan","non-dropping-particle":"","parse-names":false,"suffix":""},{"dropping-particle":"","family":"Deane","given":"Charlotte M.","non-dropping-particle":"","parse-names":false,"suffix":""}],"container-title":"Current Opinion in Structural Biology","id":"ITEM-1","issued":{"date-parts":[["2022"]]},"page":"102379","publisher":"The Author(s)","title":"Advances in computational structure-based antibody design","type":"article-journal","volume":"74"},"uris":["http://www.mendeley.com/documents/?uuid=bfaae715-5ec0-4d9f-862d-063ccb4bb2ef"]}],"mendeley":{"formattedCitation":"&lt;sup&gt;1&lt;/sup&gt;","plainTextFormattedCitation":"1","previouslyFormattedCitation":"&lt;sup&gt;1&lt;/sup&gt;"},"properties":{"noteIndex":0},"schema":"https://github.com/citation-style-language/schema/raw/master/csl-citation.json"}</w:instrText>
      </w:r>
      <w:r>
        <w:fldChar w:fldCharType="separate"/>
      </w:r>
      <w:r w:rsidR="007816A9" w:rsidRPr="007816A9">
        <w:rPr>
          <w:noProof/>
          <w:vertAlign w:val="superscript"/>
        </w:rPr>
        <w:t>1</w:t>
      </w:r>
      <w:r>
        <w:fldChar w:fldCharType="end"/>
      </w:r>
    </w:p>
    <w:p w14:paraId="0FD30625" w14:textId="4AF9EF74" w:rsidR="00085B04" w:rsidRDefault="00A50B07">
      <w:r>
        <w:t xml:space="preserve">Marks 2021 </w:t>
      </w:r>
      <w:r>
        <w:fldChar w:fldCharType="begin" w:fldLock="1"/>
      </w:r>
      <w:r w:rsidR="007816A9">
        <w:instrText>ADDIN CSL_CITATION {"citationItems":[{"id":"ITEM-1","itemData":{"DOI":"10.1093/bioinformatics/btab434","ISSN":"1367-4803","abstract":"The copyright holder for this preprint is the author/funder, who has granted bioRxiv a license to display the preprint in perpetuity. It is made available under a CC-BY 4.0 International license. Monoclonal antibody therapeutics are often produced from non-human sources (typically murine), and can therefore generate immunogenic responses in humans. Humanization procedures aim to produce antibody therapeutics that do not elicit an immune response and are safe for human use, without impacting efficacy. Humanization is normally carried out in a largely trial-and-error experimental process. We have built machine learning classifiers that can discriminate between human and non-human antibody variable domain sequences using the large amount of repertoire data now available. Our classifiers consistently outperform existing best-in-class models, and our output scores exhibit a negative relationship with the experimental immunogenicity of existing antibody therapeutics. We used our classifiers to develop a novel, computational humanization tool, Hu-mAb, that suggests mutations to an input sequence to reduce its immunogenicity. For a set of existing therapeutics with known precursor sequences, the mutations suggested by Hu-mAb show significant overlap with those deduced experimentally. Hu-mAb is therefore an effective replacement for trial- and-error humanization experiments, producing similar results in a fraction of the time. Hu-mAb is freely available to use at opig.stats.ox.ac.uk/webapps/humab.","author":[{"dropping-particle":"","family":"Marks","given":"Claire","non-dropping-particle":"","parse-names":false,"suffix":""},{"dropping-particle":"","family":"Hummer","given":"Alissa M","non-dropping-particle":"","parse-names":false,"suffix":""},{"dropping-particle":"","family":"Chin","given":"Mark","non-dropping-particle":"","parse-names":false,"suffix":""},{"dropping-particle":"","family":"Deane","given":"Charlotte M","non-dropping-particle":"","parse-names":false,"suffix":""}],"container-title":"Bioinformatics","id":"ITEM-1","issue":"22","issued":{"date-parts":[["2021"]]},"page":"4041-4047","title":"Humanization of antibodies using a machine learning approach on large-scale repertoire data","type":"article-journal","volume":"37"},"uris":["http://www.mendeley.com/documents/?uuid=b09def87-bfa9-4ce5-8849-c9c2376e641a"]}],"mendeley":{"formattedCitation":"&lt;sup&gt;2&lt;/sup&gt;","plainTextFormattedCitation":"2","previouslyFormattedCitation":"&lt;sup&gt;2&lt;/sup&gt;"},"properties":{"noteIndex":0},"schema":"https://github.com/citation-style-language/schema/raw/master/csl-citation.json"}</w:instrText>
      </w:r>
      <w:r>
        <w:fldChar w:fldCharType="separate"/>
      </w:r>
      <w:r w:rsidR="007816A9" w:rsidRPr="007816A9">
        <w:rPr>
          <w:noProof/>
          <w:vertAlign w:val="superscript"/>
        </w:rPr>
        <w:t>2</w:t>
      </w:r>
      <w:r>
        <w:fldChar w:fldCharType="end"/>
      </w:r>
    </w:p>
    <w:p w14:paraId="28F9A423" w14:textId="6FD01143" w:rsidR="00A50B07" w:rsidRDefault="00A50B07">
      <w:proofErr w:type="spellStart"/>
      <w:r>
        <w:t>Bolla</w:t>
      </w:r>
      <w:proofErr w:type="spellEnd"/>
      <w:r>
        <w:t xml:space="preserve"> 2020 </w:t>
      </w:r>
      <w:r>
        <w:fldChar w:fldCharType="begin" w:fldLock="1"/>
      </w:r>
      <w:r w:rsidR="007816A9">
        <w:instrText>ADDIN CSL_CITATION {"citationItems":[{"id":"ITEM-1","itemData":{"DOI":"10.1002/ange.201914411","ISSN":"0044-8249","abstract":"Membrane proteins engage in a variety of contacts with their surrounding lipids, but distinguishing between specifically bound lipids, and non-specific, annular interactions is a challenging problem. Applying native mass spectrometry to three membrane protein complexes with different lipid-binding properties, we explore the ability of detergents to compete with lipids bound in different environments. We show that lipids in annular positions on the presenilin homologue protease are subject to constant exchange with detergent. By contrast, detergent-resistant lipids bound at the dimer interface in the leucine transporter show decreased koff rates in molecular dynamics simulations. Turning to the lipid flippase MurJ, we find that addition of the natural substrate lipid-II results in the formation of a 1:1 protein–lipid complex, where the lipid cannot be displaced by detergent from the highly protected active site. In summary, we distinguish annular from non-annular lipids based on their exchange rates in solution.","author":[{"dropping-particle":"","family":"Bolla","given":"Jani Reddy","non-dropping-particle":"","parse-names":false,"suffix":""},{"dropping-particle":"","family":"Corey","given":"Robin A.","non-dropping-particle":"","parse-names":false,"suffix":""},{"dropping-particle":"","family":"Sahin","given":"Cagla","non-dropping-particle":"","parse-names":false,"suffix":""},{"dropping-particle":"","family":"Gault","given":"Joseph","non-dropping-particle":"","parse-names":false,"suffix":""},{"dropping-particle":"","family":"Hummer","given":"Alissa","non-dropping-particle":"","parse-names":false,"suffix":""},{"dropping-particle":"","family":"Hopper","given":"Jonathan T. S.","non-dropping-particle":"","parse-names":false,"suffix":""},{"dropping-particle":"","family":"Lane","given":"David P.","non-dropping-particle":"","parse-names":false,"suffix":""},{"dropping-particle":"","family":"Drew","given":"David","non-dropping-particle":"","parse-names":false,"suffix":""},{"dropping-particle":"","family":"Allison","given":"Timothy M.","non-dropping-particle":"","parse-names":false,"suffix":""},{"dropping-particle":"","family":"Stansfeld","given":"Phillip J.","non-dropping-particle":"","parse-names":false,"suffix":""},{"dropping-particle":"V.","family":"Robinson","given":"Carol","non-dropping-particle":"","parse-names":false,"suffix":""},{"dropping-particle":"","family":"Landreh","given":"Michael","non-dropping-particle":"","parse-names":false,"suffix":""}],"container-title":"Angewandte Chemie","id":"ITEM-1","issue":"9","issued":{"date-parts":[["2020"]]},"page":"3551-3556","title":"A Mass‐Spectrometry‐Based Approach to Distinguish Annular and Specific Lipid Binding to Membrane Proteins","type":"article-journal","volume":"132"},"uris":["http://www.mendeley.com/documents/?uuid=022cc212-28f3-4972-8494-a26cf0be79f4"]}],"mendeley":{"formattedCitation":"&lt;sup&gt;3&lt;/sup&gt;","plainTextFormattedCitation":"3","previouslyFormattedCitation":"&lt;sup&gt;3&lt;/sup&gt;"},"properties":{"noteIndex":0},"schema":"https://github.com/citation-style-language/schema/raw/master/csl-citation.json"}</w:instrText>
      </w:r>
      <w:r>
        <w:fldChar w:fldCharType="separate"/>
      </w:r>
      <w:r w:rsidR="007816A9" w:rsidRPr="007816A9">
        <w:rPr>
          <w:noProof/>
          <w:vertAlign w:val="superscript"/>
        </w:rPr>
        <w:t>3</w:t>
      </w:r>
      <w:r>
        <w:fldChar w:fldCharType="end"/>
      </w:r>
    </w:p>
    <w:p w14:paraId="41DE74F5" w14:textId="628B54B0" w:rsidR="00A50B07" w:rsidRDefault="00A50B07">
      <w:r>
        <w:t xml:space="preserve">Li 2020 </w:t>
      </w:r>
      <w:r>
        <w:fldChar w:fldCharType="begin" w:fldLock="1"/>
      </w:r>
      <w:r w:rsidR="007816A9">
        <w:instrText>ADDIN CSL_CITATION {"citationItems":[{"id":"ITEM-1","itemData":{"DOI":"10.1053/j.gastro.2020.02.011","ISSN":"15280012","PMID":"32060001","abstract":"Background and Aims: Glypican 3 (GPC3) is an oncofetal antigen involved in Wnt-dependent cell proliferation that is highly expressed in hepatocellular carcinoma (HCC). We investigated whether the functions of chimeric antigen receptors (CARs) that target GPC3 are affected by their antibody-binding properties. Methods: We collected peripheral blood mononuclear cells from healthy donors and patients with HCC and used them to create CAR T cells, based on the humanized YP7 (hYP7) and HN3 antibodies, which have high affinities for the C-lobe and N-lobe of GPC3, respectively. NOD/SCID/IL-2Rgcnull (NSG) mice were given intraperitoneal injections of luciferase-expressing (Luc) Hep3B or HepG2 cells and after xenograft tumors formed, mice were given injections of saline or untransduced T cells (mock control), or CAR (HN3) T cells or CAR (hYP7) T cells. In other NOD/SCID/IL-2Rgcnull (NSG) mice, HepG2-Luc or Hep3B-Luc cells were injected into liver, and after orthotopic tumors formed, mice were given 1 injection of CAR (hYP7) T cells or CD19 CAR T cells (control). We developed droplet digital polymerase chain reaction and genome sequencing methods to analyze persistent CAR T cells in mice. Results: Injections of CAR (hYP7) T cells eliminated tumors in 66% of mice by week 3, whereas CAR (HN3) T cells did not reduce tumor burden. Mice given CAR (hYP7) T cells remained tumor free after re-challenge with additional Hep3B cells. The CAR T cells induced perforin- and granzyme-mediated apoptosis and reduced levels of active β-catenin in HCC cells. Mice injected with CAR (hYP7) T cells had persistent expansion of T cells and subsets of polyfunctional CAR T cells via antigen-induced selection. These T cells were observed in the tumor microenvironment and spleen for up to 7 weeks after CAR T-cell administration. Integration sites in pre-infusion CAR (HN3) and CAR (hYP7) T cells were randomly distributed, whereas integration into NUPL1 was detected in 3.9% of CAR (hYP7) T cells 5 weeks after injection into tumor-bearing mice and 18.1% of CAR (hYP7) T cells at week 7. There was no common site of integration in CAR (HN3) or CD19 CAR T cells from tumor-bearing mice. Conclusions: In mice with xenograft or orthoptic liver tumors, CAR (hYP7) T cells eliminate GPC3-positive HCC cells, possibly by inducing perforin- and granzyme-mediated apoptosis or reducing Wnt signaling in tumor cells. GPC3-targeted CAR T cells might be developed for treatment of patients with HCC.","author":[{"dropping-particle":"","family":"Li","given":"Dan","non-dropping-particle":"","parse-names":false,"suffix":""},{"dropping-particle":"","family":"Li","given":"Nan","non-dropping-particle":"","parse-names":false,"suffix":""},{"dropping-particle":"","family":"Zhang","given":"Yi Fan","non-dropping-particle":"","parse-names":false,"suffix":""},{"dropping-particle":"","family":"Fu","given":"Haiying","non-dropping-particle":"","parse-names":false,"suffix":""},{"dropping-particle":"","family":"Feng","given":"Mingqian","non-dropping-particle":"","parse-names":false,"suffix":""},{"dropping-particle":"","family":"Schneider","given":"Dina","non-dropping-particle":"","parse-names":false,"suffix":""},{"dropping-particle":"","family":"Su","given":"Ling","non-dropping-particle":"","parse-names":false,"suffix":""},{"dropping-particle":"","family":"Wu","given":"Xiaolin","non-dropping-particle":"","parse-names":false,"suffix":""},{"dropping-particle":"","family":"Zhou","given":"Jing","non-dropping-particle":"","parse-names":false,"suffix":""},{"dropping-particle":"","family":"Mackay","given":"Sean","non-dropping-particle":"","parse-names":false,"suffix":""},{"dropping-particle":"","family":"Kramer","given":"Josh","non-dropping-particle":"","parse-names":false,"suffix":""},{"dropping-particle":"","family":"Duan","given":"Zhijian","non-dropping-particle":"","parse-names":false,"suffix":""},{"dropping-particle":"","family":"Yang","given":"Hongjia","non-dropping-particle":"","parse-names":false,"suffix":""},{"dropping-particle":"","family":"Kolluri","given":"Aarti","non-dropping-particle":"","parse-names":false,"suffix":""},{"dropping-particle":"","family":"Hummer","given":"Alissa M.","non-dropping-particle":"","parse-names":false,"suffix":""},{"dropping-particle":"","family":"Torres","given":"Madeline B.","non-dropping-particle":"","parse-names":false,"suffix":""},{"dropping-particle":"","family":"Zhu","given":"Hu","non-dropping-particle":"","parse-names":false,"suffix":""},{"dropping-particle":"","family":"Hall","given":"Matthew D.","non-dropping-particle":"","parse-names":false,"suffix":""},{"dropping-particle":"","family":"Luo","given":"Xiaoling","non-dropping-particle":"","parse-names":false,"suffix":""},{"dropping-particle":"","family":"Chen","given":"Jinqiu","non-dropping-particle":"","parse-names":false,"suffix":""},{"dropping-particle":"","family":"Wang","given":"Qun","non-dropping-particle":"","parse-names":false,"suffix":""},{"dropping-particle":"","family":"Abate-Daga","given":"Daniel","non-dropping-particle":"","parse-names":false,"suffix":""},{"dropping-particle":"","family":"Dropublic","given":"Boro","non-dropping-particle":"","parse-names":false,"suffix":""},{"dropping-particle":"","family":"Hewitt","given":"Stephen M.","non-dropping-particle":"","parse-names":false,"suffix":""},{"dropping-particle":"","family":"Orentas","given":"Rimas J.","non-dropping-particle":"","parse-names":false,"suffix":""},{"dropping-particle":"","family":"Greten","given":"Tim F.","non-dropping-particle":"","parse-names":false,"suffix":""},{"dropping-particle":"","family":"Ho","given":"Mitchell","non-dropping-particle":"","parse-names":false,"suffix":""}],"container-title":"Gastroenterology","id":"ITEM-1","issue":"8","issued":{"date-parts":[["2020"]]},"page":"2250-2265.e20","publisher":"Elsevier","title":"Persistent Polyfunctional Chimeric Antigen Receptor T Cells That Target Glypican 3 Eliminate Orthotopic Hepatocellular Carcinomas in Mice","type":"article-journal","volume":"158"},"uris":["http://www.mendeley.com/documents/?uuid=64904bcf-559c-47e2-9571-d523d9bcadd2"]}],"mendeley":{"formattedCitation":"&lt;sup&gt;4&lt;/sup&gt;","plainTextFormattedCitation":"4","previouslyFormattedCitation":"&lt;sup&gt;4&lt;/sup&gt;"},"properties":{"noteIndex":0},"schema":"https://github.com/citation-style-language/schema/raw/master/csl-citation.json"}</w:instrText>
      </w:r>
      <w:r>
        <w:fldChar w:fldCharType="separate"/>
      </w:r>
      <w:r w:rsidR="007816A9" w:rsidRPr="007816A9">
        <w:rPr>
          <w:noProof/>
          <w:vertAlign w:val="superscript"/>
        </w:rPr>
        <w:t>4</w:t>
      </w:r>
      <w:r>
        <w:fldChar w:fldCharType="end"/>
      </w:r>
    </w:p>
    <w:p w14:paraId="7336DCCE" w14:textId="279AB657" w:rsidR="00A50B07" w:rsidRDefault="00A50B07" w:rsidP="009D0317">
      <w:pPr>
        <w:widowControl w:val="0"/>
        <w:autoSpaceDE w:val="0"/>
        <w:autoSpaceDN w:val="0"/>
        <w:adjustRightInd w:val="0"/>
        <w:ind w:left="640" w:hanging="640"/>
      </w:pPr>
    </w:p>
    <w:p w14:paraId="3A882EF7" w14:textId="7D6AEF60" w:rsidR="00584E62" w:rsidRDefault="00584E62" w:rsidP="00584E62">
      <w:pPr>
        <w:pStyle w:val="ListParagraph"/>
        <w:widowControl w:val="0"/>
        <w:numPr>
          <w:ilvl w:val="0"/>
          <w:numId w:val="1"/>
        </w:numPr>
        <w:autoSpaceDE w:val="0"/>
        <w:autoSpaceDN w:val="0"/>
        <w:adjustRightInd w:val="0"/>
      </w:pPr>
      <w:r w:rsidRPr="00584E62">
        <w:rPr>
          <w:b/>
          <w:bCs/>
        </w:rPr>
        <w:t>Hummer, A.M.,</w:t>
      </w:r>
      <w:r>
        <w:t xml:space="preserve"> </w:t>
      </w:r>
      <w:proofErr w:type="spellStart"/>
      <w:r>
        <w:t>Abanades</w:t>
      </w:r>
      <w:proofErr w:type="spellEnd"/>
      <w:r>
        <w:t xml:space="preserve"> B. and Deane, C.M. Advances in computational structure-based antibody design. Current Opinions in Structural Biology 74: 102379</w:t>
      </w:r>
      <w:r w:rsidR="00173C14">
        <w:t xml:space="preserve"> (2022)</w:t>
      </w:r>
      <w:r>
        <w:t>.</w:t>
      </w:r>
      <w:r>
        <w:br/>
      </w:r>
      <w:hyperlink r:id="rId6" w:history="1">
        <w:r w:rsidRPr="00B76EED">
          <w:rPr>
            <w:rStyle w:val="Hyperlink"/>
          </w:rPr>
          <w:t>https://www.sciencedirect.com/science/article/pii/S0959440X22000586</w:t>
        </w:r>
      </w:hyperlink>
      <w:r>
        <w:br/>
      </w:r>
    </w:p>
    <w:p w14:paraId="4542EAC3" w14:textId="64C833C7" w:rsidR="00584E62" w:rsidRDefault="00584E62" w:rsidP="00584E62">
      <w:pPr>
        <w:pStyle w:val="ListParagraph"/>
        <w:widowControl w:val="0"/>
        <w:numPr>
          <w:ilvl w:val="0"/>
          <w:numId w:val="1"/>
        </w:numPr>
        <w:autoSpaceDE w:val="0"/>
        <w:autoSpaceDN w:val="0"/>
        <w:adjustRightInd w:val="0"/>
      </w:pPr>
      <w:r>
        <w:t xml:space="preserve">Marks, C., </w:t>
      </w:r>
      <w:r w:rsidRPr="00584E62">
        <w:rPr>
          <w:b/>
          <w:bCs/>
        </w:rPr>
        <w:t>Hummer, A.M.,</w:t>
      </w:r>
      <w:r>
        <w:t xml:space="preserve"> Chin, M. and Deane, C.M. Humanization of antibodies using a machine learning approach on large-scale repertoire data. Bioinformatics 37(22): 4041–4047</w:t>
      </w:r>
      <w:r w:rsidR="00173C14">
        <w:t xml:space="preserve"> (2021)</w:t>
      </w:r>
      <w:r>
        <w:t>.</w:t>
      </w:r>
      <w:r>
        <w:br/>
      </w:r>
      <w:hyperlink r:id="rId7" w:history="1">
        <w:r w:rsidRPr="00B76EED">
          <w:rPr>
            <w:rStyle w:val="Hyperlink"/>
          </w:rPr>
          <w:t>https://academic.oup.com/bioinformatics/article/37/22/4041/62958844</w:t>
        </w:r>
      </w:hyperlink>
      <w:r>
        <w:br/>
      </w:r>
    </w:p>
    <w:p w14:paraId="3AD18C49" w14:textId="13C7F273" w:rsidR="00584E62" w:rsidRDefault="00584E62" w:rsidP="00584E62">
      <w:pPr>
        <w:pStyle w:val="ListParagraph"/>
        <w:widowControl w:val="0"/>
        <w:numPr>
          <w:ilvl w:val="0"/>
          <w:numId w:val="1"/>
        </w:numPr>
        <w:autoSpaceDE w:val="0"/>
        <w:autoSpaceDN w:val="0"/>
        <w:adjustRightInd w:val="0"/>
      </w:pPr>
      <w:proofErr w:type="spellStart"/>
      <w:r>
        <w:t>Bolla</w:t>
      </w:r>
      <w:proofErr w:type="spellEnd"/>
      <w:r>
        <w:t xml:space="preserve">, J.R., </w:t>
      </w:r>
      <w:r>
        <w:t xml:space="preserve">Corey, R.A., </w:t>
      </w:r>
      <w:proofErr w:type="spellStart"/>
      <w:r>
        <w:t>Sahin</w:t>
      </w:r>
      <w:proofErr w:type="spellEnd"/>
      <w:r>
        <w:t xml:space="preserve">, C., </w:t>
      </w:r>
      <w:r>
        <w:t xml:space="preserve">…, </w:t>
      </w:r>
      <w:r w:rsidRPr="004353D5">
        <w:rPr>
          <w:b/>
          <w:bCs/>
        </w:rPr>
        <w:t>Hummer, A.M.</w:t>
      </w:r>
      <w:r>
        <w:t xml:space="preserve">, …, </w:t>
      </w:r>
      <w:proofErr w:type="spellStart"/>
      <w:r>
        <w:t>Stansfeld</w:t>
      </w:r>
      <w:proofErr w:type="spellEnd"/>
      <w:r>
        <w:t xml:space="preserve">, P.J., Robinson, C.V., </w:t>
      </w:r>
      <w:proofErr w:type="spellStart"/>
      <w:r>
        <w:t>Landreh</w:t>
      </w:r>
      <w:proofErr w:type="spellEnd"/>
      <w:r>
        <w:t xml:space="preserve">, M. A Mass-Spectrometry-Based Approach to Distinguish Annular and Specific Lipid Binding to Membrane Proteins. </w:t>
      </w:r>
      <w:proofErr w:type="spellStart"/>
      <w:r>
        <w:t>Angewandte</w:t>
      </w:r>
      <w:proofErr w:type="spellEnd"/>
      <w:r>
        <w:t xml:space="preserve"> </w:t>
      </w:r>
      <w:proofErr w:type="spellStart"/>
      <w:r>
        <w:t>Chemie</w:t>
      </w:r>
      <w:proofErr w:type="spellEnd"/>
      <w:r>
        <w:t xml:space="preserve"> 59(9): 3523-3528</w:t>
      </w:r>
      <w:r w:rsidR="00173C14">
        <w:t xml:space="preserve"> (2020)</w:t>
      </w:r>
      <w:r>
        <w:t>.</w:t>
      </w:r>
      <w:r>
        <w:br/>
      </w:r>
      <w:hyperlink r:id="rId8" w:history="1">
        <w:r w:rsidRPr="00B76EED">
          <w:rPr>
            <w:rStyle w:val="Hyperlink"/>
          </w:rPr>
          <w:t>https://doi.org/</w:t>
        </w:r>
        <w:r w:rsidRPr="00B76EED">
          <w:rPr>
            <w:rStyle w:val="Hyperlink"/>
          </w:rPr>
          <w:t>1</w:t>
        </w:r>
        <w:r w:rsidRPr="00B76EED">
          <w:rPr>
            <w:rStyle w:val="Hyperlink"/>
          </w:rPr>
          <w:t>0.1002/anie.201914411</w:t>
        </w:r>
      </w:hyperlink>
      <w:r>
        <w:br/>
      </w:r>
    </w:p>
    <w:p w14:paraId="52FBF840" w14:textId="2F710E18" w:rsidR="00584E62" w:rsidRDefault="00584E62" w:rsidP="00584E62">
      <w:pPr>
        <w:pStyle w:val="ListParagraph"/>
        <w:widowControl w:val="0"/>
        <w:numPr>
          <w:ilvl w:val="0"/>
          <w:numId w:val="1"/>
        </w:numPr>
        <w:autoSpaceDE w:val="0"/>
        <w:autoSpaceDN w:val="0"/>
        <w:adjustRightInd w:val="0"/>
      </w:pPr>
      <w:r>
        <w:t xml:space="preserve">Li, D., </w:t>
      </w:r>
      <w:r w:rsidR="00BB3DAF">
        <w:t xml:space="preserve">Li. N., Zhang, Y.F., </w:t>
      </w:r>
      <w:r>
        <w:t xml:space="preserve">…, </w:t>
      </w:r>
      <w:r w:rsidRPr="004353D5">
        <w:rPr>
          <w:b/>
          <w:bCs/>
        </w:rPr>
        <w:t>Hummer, A.M.</w:t>
      </w:r>
      <w:r>
        <w:t>, …, Ho, M. Persistent Polyfunctional Chimeric Antigen Receptor T Cells That Target Glypican 3 Eliminate Orthotopic Hepatocellular Carcinomas in Mice. Gastroenterology 158(8): 2250-2265</w:t>
      </w:r>
      <w:r w:rsidR="00173C14">
        <w:t xml:space="preserve"> (2020)</w:t>
      </w:r>
      <w:r>
        <w:t>.</w:t>
      </w:r>
      <w:r w:rsidR="00BB3DAF">
        <w:br/>
      </w:r>
      <w:hyperlink r:id="rId9" w:history="1">
        <w:r w:rsidR="00BB3DAF" w:rsidRPr="00B76EED">
          <w:rPr>
            <w:rStyle w:val="Hyperlink"/>
          </w:rPr>
          <w:t>https://doi.org/10</w:t>
        </w:r>
        <w:r w:rsidR="00BB3DAF" w:rsidRPr="00B76EED">
          <w:rPr>
            <w:rStyle w:val="Hyperlink"/>
          </w:rPr>
          <w:t>.</w:t>
        </w:r>
        <w:r w:rsidR="00BB3DAF" w:rsidRPr="00B76EED">
          <w:rPr>
            <w:rStyle w:val="Hyperlink"/>
          </w:rPr>
          <w:t>1053/j.gastro.2020.02.011</w:t>
        </w:r>
      </w:hyperlink>
      <w:r>
        <w:t>.</w:t>
      </w:r>
    </w:p>
    <w:p w14:paraId="28C60DA1" w14:textId="77777777" w:rsidR="00BB3DAF" w:rsidRDefault="00BB3DAF" w:rsidP="00BB3DAF">
      <w:pPr>
        <w:widowControl w:val="0"/>
        <w:autoSpaceDE w:val="0"/>
        <w:autoSpaceDN w:val="0"/>
        <w:adjustRightInd w:val="0"/>
      </w:pPr>
    </w:p>
    <w:p w14:paraId="1D5B37C0" w14:textId="4F76847C" w:rsidR="00584E62" w:rsidRDefault="00584E62" w:rsidP="009D0317">
      <w:pPr>
        <w:widowControl w:val="0"/>
        <w:autoSpaceDE w:val="0"/>
        <w:autoSpaceDN w:val="0"/>
        <w:adjustRightInd w:val="0"/>
        <w:ind w:left="640" w:hanging="640"/>
      </w:pPr>
    </w:p>
    <w:p w14:paraId="10C56AAF" w14:textId="77777777" w:rsidR="00584E62" w:rsidRDefault="00584E62" w:rsidP="009D0317">
      <w:pPr>
        <w:widowControl w:val="0"/>
        <w:autoSpaceDE w:val="0"/>
        <w:autoSpaceDN w:val="0"/>
        <w:adjustRightInd w:val="0"/>
        <w:ind w:left="640" w:hanging="640"/>
      </w:pPr>
    </w:p>
    <w:tbl>
      <w:tblPr>
        <w:tblStyle w:val="TableGrid"/>
        <w:tblW w:w="10836" w:type="dxa"/>
        <w:tblLook w:val="04A0" w:firstRow="1" w:lastRow="0" w:firstColumn="1" w:lastColumn="0" w:noHBand="0" w:noVBand="1"/>
      </w:tblPr>
      <w:tblGrid>
        <w:gridCol w:w="10836"/>
      </w:tblGrid>
      <w:tr w:rsidR="003D0B95" w:rsidRPr="00923D24" w14:paraId="4912A149" w14:textId="77777777" w:rsidTr="003D0B95">
        <w:tc>
          <w:tcPr>
            <w:tcW w:w="9936" w:type="dxa"/>
          </w:tcPr>
          <w:p w14:paraId="3A5D07AD" w14:textId="77777777" w:rsidR="003D0B95" w:rsidRDefault="003D0B95" w:rsidP="00E25FE0">
            <w:pPr>
              <w:jc w:val="both"/>
              <w:rPr>
                <w:rFonts w:ascii="Segoe UI Historic" w:hAnsi="Segoe UI Historic" w:cs="Segoe UI Historic"/>
                <w:sz w:val="21"/>
                <w:szCs w:val="21"/>
                <w:lang w:val="en-GB"/>
              </w:rPr>
            </w:pPr>
            <w:r>
              <w:rPr>
                <w:rFonts w:ascii="Segoe UI Historic" w:hAnsi="Segoe UI Historic" w:cs="Segoe UI Historic"/>
                <w:b/>
                <w:bCs/>
                <w:sz w:val="21"/>
                <w:szCs w:val="21"/>
                <w:lang w:val="en-GB"/>
              </w:rPr>
              <w:t>Hummer, A.M.</w:t>
            </w:r>
            <w:r>
              <w:rPr>
                <w:rFonts w:ascii="Segoe UI Historic" w:hAnsi="Segoe UI Historic" w:cs="Segoe UI Historic"/>
                <w:sz w:val="21"/>
                <w:szCs w:val="21"/>
                <w:lang w:val="en-GB"/>
              </w:rPr>
              <w:t xml:space="preserve">, </w:t>
            </w:r>
            <w:proofErr w:type="spellStart"/>
            <w:r>
              <w:rPr>
                <w:rFonts w:ascii="Segoe UI Historic" w:hAnsi="Segoe UI Historic" w:cs="Segoe UI Historic"/>
                <w:sz w:val="21"/>
                <w:szCs w:val="21"/>
                <w:lang w:val="en-GB"/>
              </w:rPr>
              <w:t>Abanades</w:t>
            </w:r>
            <w:proofErr w:type="spellEnd"/>
            <w:r>
              <w:rPr>
                <w:rFonts w:ascii="Segoe UI Historic" w:hAnsi="Segoe UI Historic" w:cs="Segoe UI Historic"/>
                <w:sz w:val="21"/>
                <w:szCs w:val="21"/>
                <w:lang w:val="en-GB"/>
              </w:rPr>
              <w:t xml:space="preserve"> B.</w:t>
            </w:r>
            <w:r w:rsidRPr="00CA0F4F">
              <w:rPr>
                <w:rFonts w:ascii="Segoe UI Historic" w:hAnsi="Segoe UI Historic" w:cs="Segoe UI Historic"/>
                <w:sz w:val="21"/>
                <w:szCs w:val="21"/>
                <w:lang w:val="en-GB"/>
              </w:rPr>
              <w:t xml:space="preserve"> and Deane, C.M.</w:t>
            </w:r>
            <w:r>
              <w:rPr>
                <w:rFonts w:ascii="Segoe UI Historic" w:hAnsi="Segoe UI Historic" w:cs="Segoe UI Historic"/>
                <w:sz w:val="21"/>
                <w:szCs w:val="21"/>
                <w:lang w:val="en-GB"/>
              </w:rPr>
              <w:t xml:space="preserve"> Advances in computational structure-based antibody design. </w:t>
            </w:r>
            <w:r>
              <w:rPr>
                <w:rFonts w:ascii="Segoe UI Historic" w:hAnsi="Segoe UI Historic" w:cs="Segoe UI Historic"/>
                <w:i/>
                <w:iCs/>
                <w:sz w:val="21"/>
                <w:szCs w:val="21"/>
                <w:lang w:val="en-GB"/>
              </w:rPr>
              <w:t>Current Opinions in Structural Biology</w:t>
            </w:r>
            <w:r w:rsidRPr="00FF13E2">
              <w:rPr>
                <w:rFonts w:ascii="Segoe UI Historic" w:hAnsi="Segoe UI Historic" w:cs="Segoe UI Historic"/>
                <w:i/>
                <w:iCs/>
                <w:sz w:val="21"/>
                <w:szCs w:val="21"/>
                <w:lang w:val="en-GB"/>
              </w:rPr>
              <w:t xml:space="preserve"> </w:t>
            </w:r>
            <w:r w:rsidRPr="00FF13E2">
              <w:rPr>
                <w:rFonts w:ascii="Segoe UI Historic" w:hAnsi="Segoe UI Historic" w:cs="Segoe UI Historic"/>
                <w:sz w:val="21"/>
                <w:szCs w:val="21"/>
                <w:lang w:val="en-GB"/>
              </w:rPr>
              <w:t>74</w:t>
            </w:r>
            <w:r>
              <w:rPr>
                <w:rFonts w:ascii="Segoe UI Historic" w:hAnsi="Segoe UI Historic" w:cs="Segoe UI Historic"/>
                <w:sz w:val="21"/>
                <w:szCs w:val="21"/>
                <w:lang w:val="en-GB"/>
              </w:rPr>
              <w:t xml:space="preserve">: </w:t>
            </w:r>
            <w:r w:rsidRPr="00650085">
              <w:rPr>
                <w:rFonts w:ascii="Segoe UI Historic" w:hAnsi="Segoe UI Historic" w:cs="Segoe UI Historic"/>
                <w:sz w:val="21"/>
                <w:szCs w:val="21"/>
                <w:lang w:val="en-GB"/>
              </w:rPr>
              <w:t>102379</w:t>
            </w:r>
            <w:r>
              <w:rPr>
                <w:rFonts w:ascii="Segoe UI Historic" w:hAnsi="Segoe UI Historic" w:cs="Segoe UI Historic"/>
                <w:sz w:val="21"/>
                <w:szCs w:val="21"/>
                <w:lang w:val="en-GB"/>
              </w:rPr>
              <w:t>.</w:t>
            </w:r>
          </w:p>
          <w:p w14:paraId="1DFC3F08" w14:textId="77777777" w:rsidR="003D0B95" w:rsidRDefault="003D0B95" w:rsidP="00E25FE0">
            <w:pPr>
              <w:jc w:val="both"/>
              <w:rPr>
                <w:rFonts w:ascii="Segoe UI Historic" w:hAnsi="Segoe UI Historic" w:cs="Segoe UI Historic"/>
                <w:sz w:val="21"/>
                <w:szCs w:val="21"/>
                <w:lang w:val="en-GB"/>
              </w:rPr>
            </w:pPr>
            <w:hyperlink r:id="rId10" w:history="1">
              <w:r w:rsidRPr="00297561">
                <w:rPr>
                  <w:rStyle w:val="Hyperlink"/>
                  <w:rFonts w:ascii="Segoe UI Historic" w:hAnsi="Segoe UI Historic" w:cs="Segoe UI Historic"/>
                  <w:sz w:val="21"/>
                  <w:szCs w:val="21"/>
                  <w:lang w:val="en-GB"/>
                </w:rPr>
                <w:t>https://www.sciencedirect.com/science/article/pii/S0959440X22000586</w:t>
              </w:r>
            </w:hyperlink>
            <w:r>
              <w:rPr>
                <w:rFonts w:ascii="Segoe UI Historic" w:hAnsi="Segoe UI Historic" w:cs="Segoe UI Historic"/>
                <w:sz w:val="21"/>
                <w:szCs w:val="21"/>
                <w:lang w:val="en-GB"/>
              </w:rPr>
              <w:t xml:space="preserve"> </w:t>
            </w:r>
          </w:p>
          <w:p w14:paraId="710ADECF" w14:textId="77777777" w:rsidR="003D0B95" w:rsidRPr="00923D24" w:rsidRDefault="003D0B95" w:rsidP="00E25FE0">
            <w:pPr>
              <w:jc w:val="both"/>
              <w:rPr>
                <w:rFonts w:ascii="Segoe UI Historic" w:hAnsi="Segoe UI Historic" w:cs="Segoe UI Historic"/>
                <w:sz w:val="10"/>
                <w:szCs w:val="10"/>
                <w:lang w:val="en-GB"/>
              </w:rPr>
            </w:pPr>
          </w:p>
        </w:tc>
      </w:tr>
      <w:tr w:rsidR="003D0B95" w:rsidRPr="00923D24" w14:paraId="15171BFA" w14:textId="77777777" w:rsidTr="003D0B95">
        <w:tc>
          <w:tcPr>
            <w:tcW w:w="9936" w:type="dxa"/>
          </w:tcPr>
          <w:p w14:paraId="6AC2518C" w14:textId="77777777" w:rsidR="003D0B95" w:rsidRDefault="003D0B95" w:rsidP="00E25FE0">
            <w:pPr>
              <w:jc w:val="both"/>
              <w:rPr>
                <w:rFonts w:ascii="Segoe UI Historic" w:hAnsi="Segoe UI Historic" w:cs="Segoe UI Historic"/>
                <w:sz w:val="21"/>
                <w:szCs w:val="21"/>
                <w:lang w:val="en-GB"/>
              </w:rPr>
            </w:pPr>
            <w:r w:rsidRPr="00CA0F4F">
              <w:rPr>
                <w:rFonts w:ascii="Segoe UI Historic" w:hAnsi="Segoe UI Historic" w:cs="Segoe UI Historic"/>
                <w:sz w:val="21"/>
                <w:szCs w:val="21"/>
                <w:lang w:val="en-GB"/>
              </w:rPr>
              <w:t xml:space="preserve">Marks, C., </w:t>
            </w:r>
            <w:r w:rsidRPr="00CA0F4F">
              <w:rPr>
                <w:rFonts w:ascii="Segoe UI Historic" w:hAnsi="Segoe UI Historic" w:cs="Segoe UI Historic"/>
                <w:b/>
                <w:bCs/>
                <w:sz w:val="21"/>
                <w:szCs w:val="21"/>
                <w:lang w:val="en-GB"/>
              </w:rPr>
              <w:t>Hummer, A.M</w:t>
            </w:r>
            <w:r w:rsidRPr="00CA0F4F">
              <w:rPr>
                <w:rFonts w:ascii="Segoe UI Historic" w:hAnsi="Segoe UI Historic" w:cs="Segoe UI Historic"/>
                <w:sz w:val="21"/>
                <w:szCs w:val="21"/>
                <w:lang w:val="en-GB"/>
              </w:rPr>
              <w:t>., Chin, M. and Deane, C.M.</w:t>
            </w:r>
            <w:r>
              <w:rPr>
                <w:rFonts w:ascii="Segoe UI Historic" w:hAnsi="Segoe UI Historic" w:cs="Segoe UI Historic"/>
                <w:sz w:val="21"/>
                <w:szCs w:val="21"/>
                <w:lang w:val="en-GB"/>
              </w:rPr>
              <w:t xml:space="preserve"> </w:t>
            </w:r>
            <w:r w:rsidRPr="003D5187">
              <w:rPr>
                <w:rFonts w:ascii="Segoe UI Historic" w:hAnsi="Segoe UI Historic" w:cs="Segoe UI Historic"/>
                <w:sz w:val="21"/>
                <w:szCs w:val="21"/>
                <w:lang w:val="en-GB"/>
              </w:rPr>
              <w:t>Humanization of antibodies using a machine learning approach on large-scale repertoire data</w:t>
            </w:r>
            <w:r>
              <w:rPr>
                <w:rFonts w:ascii="Segoe UI Historic" w:hAnsi="Segoe UI Historic" w:cs="Segoe UI Historic"/>
                <w:sz w:val="21"/>
                <w:szCs w:val="21"/>
                <w:lang w:val="en-GB"/>
              </w:rPr>
              <w:t>.</w:t>
            </w:r>
            <w:r w:rsidRPr="00CA0F4F">
              <w:rPr>
                <w:rFonts w:ascii="Segoe UI Historic" w:hAnsi="Segoe UI Historic" w:cs="Segoe UI Historic"/>
                <w:sz w:val="21"/>
                <w:szCs w:val="21"/>
                <w:lang w:val="en-GB"/>
              </w:rPr>
              <w:t xml:space="preserve"> </w:t>
            </w:r>
            <w:r w:rsidRPr="00CA0F4F">
              <w:rPr>
                <w:rFonts w:ascii="Segoe UI Historic" w:hAnsi="Segoe UI Historic" w:cs="Segoe UI Historic"/>
                <w:i/>
                <w:iCs/>
                <w:sz w:val="21"/>
                <w:szCs w:val="21"/>
                <w:lang w:val="en-GB"/>
              </w:rPr>
              <w:t>Bioinformatics</w:t>
            </w:r>
            <w:r w:rsidRPr="006740CF">
              <w:rPr>
                <w:rFonts w:ascii="Segoe UI Historic" w:hAnsi="Segoe UI Historic" w:cs="Segoe UI Historic"/>
                <w:sz w:val="21"/>
                <w:szCs w:val="21"/>
                <w:lang w:val="en-GB"/>
              </w:rPr>
              <w:t xml:space="preserve"> 37</w:t>
            </w:r>
            <w:r>
              <w:rPr>
                <w:rFonts w:ascii="Segoe UI Historic" w:hAnsi="Segoe UI Historic" w:cs="Segoe UI Historic"/>
                <w:sz w:val="21"/>
                <w:szCs w:val="21"/>
                <w:lang w:val="en-GB"/>
              </w:rPr>
              <w:t>(</w:t>
            </w:r>
            <w:r w:rsidRPr="006740CF">
              <w:rPr>
                <w:rFonts w:ascii="Segoe UI Historic" w:hAnsi="Segoe UI Historic" w:cs="Segoe UI Historic"/>
                <w:sz w:val="21"/>
                <w:szCs w:val="21"/>
                <w:lang w:val="en-GB"/>
              </w:rPr>
              <w:t>22</w:t>
            </w:r>
            <w:r>
              <w:rPr>
                <w:rFonts w:ascii="Segoe UI Historic" w:hAnsi="Segoe UI Historic" w:cs="Segoe UI Historic"/>
                <w:sz w:val="21"/>
                <w:szCs w:val="21"/>
                <w:lang w:val="en-GB"/>
              </w:rPr>
              <w:t xml:space="preserve">): </w:t>
            </w:r>
            <w:r w:rsidRPr="006740CF">
              <w:rPr>
                <w:rFonts w:ascii="Segoe UI Historic" w:hAnsi="Segoe UI Historic" w:cs="Segoe UI Historic"/>
                <w:sz w:val="21"/>
                <w:szCs w:val="21"/>
                <w:lang w:val="en-GB"/>
              </w:rPr>
              <w:t>4041–4047</w:t>
            </w:r>
            <w:r>
              <w:rPr>
                <w:rFonts w:ascii="Segoe UI Historic" w:hAnsi="Segoe UI Historic" w:cs="Segoe UI Historic"/>
                <w:sz w:val="21"/>
                <w:szCs w:val="21"/>
                <w:lang w:val="en-GB"/>
              </w:rPr>
              <w:t>.</w:t>
            </w:r>
          </w:p>
          <w:p w14:paraId="3BBF5482" w14:textId="77777777" w:rsidR="003D0B95" w:rsidRDefault="003D0B95" w:rsidP="00E25FE0">
            <w:pPr>
              <w:jc w:val="both"/>
              <w:rPr>
                <w:rFonts w:ascii="Segoe UI Historic" w:hAnsi="Segoe UI Historic" w:cs="Segoe UI Historic"/>
                <w:sz w:val="21"/>
                <w:szCs w:val="21"/>
                <w:lang w:val="en-GB"/>
              </w:rPr>
            </w:pPr>
            <w:hyperlink r:id="rId11" w:history="1">
              <w:r w:rsidRPr="00650085">
                <w:rPr>
                  <w:rStyle w:val="Hyperlink"/>
                  <w:rFonts w:ascii="Segoe UI Historic" w:hAnsi="Segoe UI Historic" w:cs="Segoe UI Historic"/>
                  <w:sz w:val="21"/>
                  <w:szCs w:val="21"/>
                  <w:lang w:val="en-GB"/>
                </w:rPr>
                <w:t>https://academic.oup.com/bioinformatics/article/37/22/4041/6295884</w:t>
              </w:r>
              <w:r w:rsidRPr="00A75CFB">
                <w:rPr>
                  <w:rStyle w:val="Hyperlink"/>
                  <w:rFonts w:ascii="Segoe UI Historic" w:hAnsi="Segoe UI Historic" w:cs="Segoe UI Historic"/>
                  <w:sz w:val="21"/>
                  <w:szCs w:val="21"/>
                  <w:lang w:val="en-GB"/>
                </w:rPr>
                <w:t>4</w:t>
              </w:r>
            </w:hyperlink>
          </w:p>
          <w:p w14:paraId="3619C13D" w14:textId="77777777" w:rsidR="003D0B95" w:rsidRPr="00923D24" w:rsidRDefault="003D0B95" w:rsidP="00E25FE0">
            <w:pPr>
              <w:jc w:val="both"/>
              <w:rPr>
                <w:rFonts w:ascii="Segoe UI Historic" w:hAnsi="Segoe UI Historic" w:cs="Segoe UI Historic"/>
                <w:sz w:val="10"/>
                <w:szCs w:val="10"/>
                <w:lang w:val="en-GB"/>
              </w:rPr>
            </w:pPr>
          </w:p>
        </w:tc>
      </w:tr>
      <w:tr w:rsidR="003D0B95" w:rsidRPr="00923D24" w14:paraId="3898D53D" w14:textId="77777777" w:rsidTr="003D0B95">
        <w:tc>
          <w:tcPr>
            <w:tcW w:w="9936" w:type="dxa"/>
          </w:tcPr>
          <w:p w14:paraId="3298FEFE" w14:textId="77777777" w:rsidR="003D0B95" w:rsidRPr="009E0B9F" w:rsidRDefault="003D0B95" w:rsidP="00E25FE0">
            <w:pPr>
              <w:jc w:val="both"/>
              <w:rPr>
                <w:rStyle w:val="Hyperlink"/>
                <w:rFonts w:ascii="Segoe UI Historic" w:hAnsi="Segoe UI Historic" w:cs="Segoe UI Historic"/>
                <w:sz w:val="21"/>
                <w:szCs w:val="21"/>
                <w:lang w:val="en-GB"/>
              </w:rPr>
            </w:pPr>
            <w:proofErr w:type="spellStart"/>
            <w:r w:rsidRPr="009E0B9F">
              <w:rPr>
                <w:rFonts w:ascii="Segoe UI Historic" w:hAnsi="Segoe UI Historic" w:cs="Segoe UI Historic"/>
                <w:sz w:val="21"/>
                <w:szCs w:val="21"/>
                <w:lang w:val="en-GB"/>
              </w:rPr>
              <w:t>Bolla</w:t>
            </w:r>
            <w:proofErr w:type="spellEnd"/>
            <w:r w:rsidRPr="009E0B9F">
              <w:rPr>
                <w:rFonts w:ascii="Segoe UI Historic" w:hAnsi="Segoe UI Historic" w:cs="Segoe UI Historic"/>
                <w:sz w:val="21"/>
                <w:szCs w:val="21"/>
                <w:lang w:val="en-GB"/>
              </w:rPr>
              <w:t xml:space="preserve">, J.R., …, </w:t>
            </w:r>
            <w:r w:rsidRPr="00CA0F4F">
              <w:rPr>
                <w:rFonts w:ascii="Segoe UI Historic" w:hAnsi="Segoe UI Historic" w:cs="Segoe UI Historic"/>
                <w:b/>
                <w:bCs/>
                <w:sz w:val="21"/>
                <w:szCs w:val="21"/>
                <w:lang w:val="en-GB"/>
              </w:rPr>
              <w:t>Hummer, A.M.</w:t>
            </w:r>
            <w:r w:rsidRPr="009E0B9F">
              <w:rPr>
                <w:rFonts w:ascii="Segoe UI Historic" w:hAnsi="Segoe UI Historic" w:cs="Segoe UI Historic"/>
                <w:sz w:val="21"/>
                <w:szCs w:val="21"/>
                <w:lang w:val="en-GB"/>
              </w:rPr>
              <w:t xml:space="preserve">, …, </w:t>
            </w:r>
            <w:proofErr w:type="spellStart"/>
            <w:r w:rsidRPr="009E0B9F">
              <w:rPr>
                <w:rFonts w:ascii="Segoe UI Historic" w:hAnsi="Segoe UI Historic" w:cs="Segoe UI Historic"/>
                <w:sz w:val="21"/>
                <w:szCs w:val="21"/>
                <w:lang w:val="en-GB"/>
              </w:rPr>
              <w:t>Stansfeld</w:t>
            </w:r>
            <w:proofErr w:type="spellEnd"/>
            <w:r w:rsidRPr="009E0B9F">
              <w:rPr>
                <w:rFonts w:ascii="Segoe UI Historic" w:hAnsi="Segoe UI Historic" w:cs="Segoe UI Historic"/>
                <w:sz w:val="21"/>
                <w:szCs w:val="21"/>
                <w:lang w:val="en-GB"/>
              </w:rPr>
              <w:t xml:space="preserve">, P.J., Robinson, C.V., </w:t>
            </w:r>
            <w:proofErr w:type="spellStart"/>
            <w:r w:rsidRPr="009E0B9F">
              <w:rPr>
                <w:rFonts w:ascii="Segoe UI Historic" w:hAnsi="Segoe UI Historic" w:cs="Segoe UI Historic"/>
                <w:sz w:val="21"/>
                <w:szCs w:val="21"/>
                <w:lang w:val="en-GB"/>
              </w:rPr>
              <w:t>Landreh</w:t>
            </w:r>
            <w:proofErr w:type="spellEnd"/>
            <w:r w:rsidRPr="009E0B9F">
              <w:rPr>
                <w:rFonts w:ascii="Segoe UI Historic" w:hAnsi="Segoe UI Historic" w:cs="Segoe UI Historic"/>
                <w:sz w:val="21"/>
                <w:szCs w:val="21"/>
                <w:lang w:val="en-GB"/>
              </w:rPr>
              <w:t xml:space="preserve">, M. A Mass-Spectrometry-Based Approach to Distinguish Annular and Specific Lipid Binding to Membrane Proteins. </w:t>
            </w:r>
            <w:proofErr w:type="spellStart"/>
            <w:r w:rsidRPr="009E0B9F">
              <w:rPr>
                <w:rFonts w:ascii="Segoe UI Historic" w:hAnsi="Segoe UI Historic" w:cs="Segoe UI Historic"/>
                <w:i/>
                <w:iCs/>
                <w:sz w:val="21"/>
                <w:szCs w:val="21"/>
                <w:lang w:val="en-GB"/>
              </w:rPr>
              <w:t>Angewandte</w:t>
            </w:r>
            <w:proofErr w:type="spellEnd"/>
            <w:r w:rsidRPr="009E0B9F">
              <w:rPr>
                <w:rFonts w:ascii="Segoe UI Historic" w:hAnsi="Segoe UI Historic" w:cs="Segoe UI Historic"/>
                <w:i/>
                <w:iCs/>
                <w:sz w:val="21"/>
                <w:szCs w:val="21"/>
                <w:lang w:val="en-GB"/>
              </w:rPr>
              <w:t xml:space="preserve"> </w:t>
            </w:r>
            <w:proofErr w:type="spellStart"/>
            <w:r w:rsidRPr="009E0B9F">
              <w:rPr>
                <w:rFonts w:ascii="Segoe UI Historic" w:hAnsi="Segoe UI Historic" w:cs="Segoe UI Historic"/>
                <w:i/>
                <w:iCs/>
                <w:sz w:val="21"/>
                <w:szCs w:val="21"/>
                <w:lang w:val="en-GB"/>
              </w:rPr>
              <w:t>Chemie</w:t>
            </w:r>
            <w:proofErr w:type="spellEnd"/>
            <w:r w:rsidRPr="009E0B9F">
              <w:rPr>
                <w:rFonts w:ascii="Segoe UI Historic" w:hAnsi="Segoe UI Historic" w:cs="Segoe UI Historic"/>
                <w:sz w:val="21"/>
                <w:szCs w:val="21"/>
                <w:lang w:val="en-GB"/>
              </w:rPr>
              <w:t xml:space="preserve"> 59(9): 3523-3528. </w:t>
            </w:r>
            <w:hyperlink r:id="rId12" w:history="1">
              <w:r w:rsidRPr="009E0B9F">
                <w:rPr>
                  <w:rStyle w:val="Hyperlink"/>
                  <w:rFonts w:ascii="Segoe UI Historic" w:hAnsi="Segoe UI Historic" w:cs="Segoe UI Historic"/>
                  <w:sz w:val="21"/>
                  <w:szCs w:val="21"/>
                  <w:lang w:val="en-GB"/>
                </w:rPr>
                <w:t>https://doi.org/10.1002/anie.201914411</w:t>
              </w:r>
            </w:hyperlink>
          </w:p>
          <w:p w14:paraId="327B2074" w14:textId="77777777" w:rsidR="003D0B95" w:rsidRPr="00923D24" w:rsidRDefault="003D0B95" w:rsidP="00E25FE0">
            <w:pPr>
              <w:jc w:val="both"/>
              <w:rPr>
                <w:rFonts w:ascii="Segoe UI Historic" w:hAnsi="Segoe UI Historic" w:cs="Segoe UI Historic"/>
                <w:sz w:val="10"/>
                <w:szCs w:val="10"/>
                <w:lang w:val="en-GB"/>
              </w:rPr>
            </w:pPr>
          </w:p>
        </w:tc>
      </w:tr>
      <w:tr w:rsidR="003D0B95" w:rsidRPr="009E0B9F" w14:paraId="62C559C9" w14:textId="77777777" w:rsidTr="003D0B95">
        <w:trPr>
          <w:trHeight w:val="66"/>
        </w:trPr>
        <w:tc>
          <w:tcPr>
            <w:tcW w:w="9936" w:type="dxa"/>
          </w:tcPr>
          <w:p w14:paraId="5A39497E" w14:textId="77777777" w:rsidR="003D0B95" w:rsidRPr="009E0B9F" w:rsidRDefault="003D0B95" w:rsidP="00E25FE0">
            <w:pPr>
              <w:jc w:val="both"/>
              <w:rPr>
                <w:rFonts w:ascii="Segoe UI Historic" w:hAnsi="Segoe UI Historic" w:cs="Segoe UI Historic"/>
                <w:sz w:val="21"/>
                <w:szCs w:val="21"/>
                <w:lang w:val="en-GB"/>
              </w:rPr>
            </w:pPr>
            <w:r w:rsidRPr="009E0B9F">
              <w:rPr>
                <w:rFonts w:ascii="Segoe UI Historic" w:hAnsi="Segoe UI Historic" w:cs="Segoe UI Historic"/>
                <w:sz w:val="21"/>
                <w:szCs w:val="21"/>
                <w:lang w:val="en-GB"/>
              </w:rPr>
              <w:t xml:space="preserve">Li, D., …, </w:t>
            </w:r>
            <w:r w:rsidRPr="00CA0F4F">
              <w:rPr>
                <w:rFonts w:ascii="Segoe UI Historic" w:hAnsi="Segoe UI Historic" w:cs="Segoe UI Historic"/>
                <w:b/>
                <w:bCs/>
                <w:sz w:val="21"/>
                <w:szCs w:val="21"/>
                <w:lang w:val="en-GB"/>
              </w:rPr>
              <w:t>Hummer, A.M.</w:t>
            </w:r>
            <w:r w:rsidRPr="009E0B9F">
              <w:rPr>
                <w:rFonts w:ascii="Segoe UI Historic" w:hAnsi="Segoe UI Historic" w:cs="Segoe UI Historic"/>
                <w:sz w:val="21"/>
                <w:szCs w:val="21"/>
                <w:lang w:val="en-GB"/>
              </w:rPr>
              <w:t xml:space="preserve">, …, Ho, M. Persistent Polyfunctional Chimeric Antigen Receptor T Cells That Target Glypican 3 Eliminate Orthotopic Hepatocellular Carcinomas in Mice. </w:t>
            </w:r>
            <w:r w:rsidRPr="009E0B9F">
              <w:rPr>
                <w:rFonts w:ascii="Segoe UI Historic" w:hAnsi="Segoe UI Historic" w:cs="Segoe UI Historic"/>
                <w:i/>
                <w:iCs/>
                <w:sz w:val="21"/>
                <w:szCs w:val="21"/>
                <w:lang w:val="en-GB"/>
              </w:rPr>
              <w:t xml:space="preserve">Gastroenterology </w:t>
            </w:r>
            <w:r w:rsidRPr="009E0B9F">
              <w:rPr>
                <w:rFonts w:ascii="Segoe UI Historic" w:hAnsi="Segoe UI Historic" w:cs="Segoe UI Historic"/>
                <w:sz w:val="21"/>
                <w:szCs w:val="21"/>
                <w:lang w:val="en-GB"/>
              </w:rPr>
              <w:t xml:space="preserve">158(8): 2250-2265. </w:t>
            </w:r>
            <w:hyperlink r:id="rId13" w:history="1">
              <w:r w:rsidRPr="009E0B9F">
                <w:rPr>
                  <w:rStyle w:val="Hyperlink"/>
                  <w:rFonts w:ascii="Segoe UI Historic" w:hAnsi="Segoe UI Historic" w:cs="Segoe UI Historic"/>
                  <w:sz w:val="21"/>
                  <w:szCs w:val="21"/>
                  <w:lang w:val="en-GB"/>
                </w:rPr>
                <w:t>https://doi.org/10.1053/j.gastro.2020.02.011</w:t>
              </w:r>
            </w:hyperlink>
            <w:r w:rsidRPr="009E0B9F">
              <w:rPr>
                <w:rFonts w:ascii="Segoe UI Historic" w:hAnsi="Segoe UI Historic" w:cs="Segoe UI Historic"/>
                <w:sz w:val="21"/>
                <w:szCs w:val="21"/>
                <w:lang w:val="en-GB"/>
              </w:rPr>
              <w:t>.</w:t>
            </w:r>
          </w:p>
        </w:tc>
      </w:tr>
    </w:tbl>
    <w:p w14:paraId="1F73D91E" w14:textId="77777777" w:rsidR="003D0B95" w:rsidRDefault="003D0B95" w:rsidP="009D0317">
      <w:pPr>
        <w:widowControl w:val="0"/>
        <w:autoSpaceDE w:val="0"/>
        <w:autoSpaceDN w:val="0"/>
        <w:adjustRightInd w:val="0"/>
        <w:ind w:left="640" w:hanging="640"/>
      </w:pPr>
    </w:p>
    <w:sectPr w:rsidR="003D0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9196D"/>
    <w:multiLevelType w:val="hybridMultilevel"/>
    <w:tmpl w:val="4642D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B5"/>
    <w:rsid w:val="00085B04"/>
    <w:rsid w:val="00173C14"/>
    <w:rsid w:val="001E015D"/>
    <w:rsid w:val="00263BB5"/>
    <w:rsid w:val="002A3B1E"/>
    <w:rsid w:val="003D0B95"/>
    <w:rsid w:val="004353D5"/>
    <w:rsid w:val="00584E62"/>
    <w:rsid w:val="007816A9"/>
    <w:rsid w:val="009D0317"/>
    <w:rsid w:val="00A003B6"/>
    <w:rsid w:val="00A50B07"/>
    <w:rsid w:val="00BB3DAF"/>
    <w:rsid w:val="00BD5FDF"/>
    <w:rsid w:val="00CB0895"/>
    <w:rsid w:val="00E4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FC82"/>
  <w15:chartTrackingRefBased/>
  <w15:docId w15:val="{AE1AF7C1-CD36-DD45-BDF3-2A84D142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B95"/>
    <w:rPr>
      <w:color w:val="0563C1" w:themeColor="hyperlink"/>
      <w:u w:val="single"/>
    </w:rPr>
  </w:style>
  <w:style w:type="table" w:styleId="TableGrid">
    <w:name w:val="Table Grid"/>
    <w:basedOn w:val="TableNormal"/>
    <w:uiPriority w:val="59"/>
    <w:rsid w:val="003D0B95"/>
    <w:rPr>
      <w:rFonts w:ascii="Times New Roman" w:eastAsiaTheme="minorEastAsia"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4E62"/>
    <w:pPr>
      <w:ind w:left="720"/>
      <w:contextualSpacing/>
    </w:pPr>
  </w:style>
  <w:style w:type="character" w:styleId="UnresolvedMention">
    <w:name w:val="Unresolved Mention"/>
    <w:basedOn w:val="DefaultParagraphFont"/>
    <w:uiPriority w:val="99"/>
    <w:semiHidden/>
    <w:unhideWhenUsed/>
    <w:rsid w:val="00584E62"/>
    <w:rPr>
      <w:color w:val="605E5C"/>
      <w:shd w:val="clear" w:color="auto" w:fill="E1DFDD"/>
    </w:rPr>
  </w:style>
  <w:style w:type="character" w:styleId="FollowedHyperlink">
    <w:name w:val="FollowedHyperlink"/>
    <w:basedOn w:val="DefaultParagraphFont"/>
    <w:uiPriority w:val="99"/>
    <w:semiHidden/>
    <w:unhideWhenUsed/>
    <w:rsid w:val="00584E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nie.201914411" TargetMode="External"/><Relationship Id="rId13" Type="http://schemas.openxmlformats.org/officeDocument/2006/relationships/hyperlink" Target="https://doi.org/10.1053/j.gastro.2020.02.011" TargetMode="External"/><Relationship Id="rId3" Type="http://schemas.openxmlformats.org/officeDocument/2006/relationships/styles" Target="styles.xml"/><Relationship Id="rId7" Type="http://schemas.openxmlformats.org/officeDocument/2006/relationships/hyperlink" Target="https://academic.oup.com/bioinformatics/article/37/22/4041/62958844" TargetMode="External"/><Relationship Id="rId12" Type="http://schemas.openxmlformats.org/officeDocument/2006/relationships/hyperlink" Target="https://doi.org/10.1002/anie.2019144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0959440X22000586" TargetMode="External"/><Relationship Id="rId11" Type="http://schemas.openxmlformats.org/officeDocument/2006/relationships/hyperlink" Target="https://doi.org/10.1093/bioinformatics/btab43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science/article/pii/S0959440X22000586" TargetMode="External"/><Relationship Id="rId4" Type="http://schemas.openxmlformats.org/officeDocument/2006/relationships/settings" Target="settings.xml"/><Relationship Id="rId9" Type="http://schemas.openxmlformats.org/officeDocument/2006/relationships/hyperlink" Target="https://doi.org/10.1053/j.gastro.2020.02.0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987DD-2B98-2640-94F0-8A806875C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Hummer</dc:creator>
  <cp:keywords/>
  <dc:description/>
  <cp:lastModifiedBy>Alissa Hummer</cp:lastModifiedBy>
  <cp:revision>12</cp:revision>
  <dcterms:created xsi:type="dcterms:W3CDTF">2022-12-09T16:18:00Z</dcterms:created>
  <dcterms:modified xsi:type="dcterms:W3CDTF">2022-12-12T15:14:00Z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http://www.zotero.org/styles/cell</vt:lpwstr>
  </property>
  <property fmtid="{D5CDD505-2E9C-101B-9397-08002B2CF9AE}" pid="7" name="Mendeley Recent Style Name 2_1">
    <vt:lpwstr>Cell</vt:lpwstr>
  </property>
  <property fmtid="{D5CDD505-2E9C-101B-9397-08002B2CF9AE}" pid="8" name="Mendeley Recent Style Id 3_1">
    <vt:lpwstr>http://www.zotero.org/styles/current-opinion-in-structural-biology</vt:lpwstr>
  </property>
  <property fmtid="{D5CDD505-2E9C-101B-9397-08002B2CF9AE}" pid="9" name="Mendeley Recent Style Name 3_1">
    <vt:lpwstr>Current Opinion in Structural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https://csl.mendeley.com/styles/569496931/nature</vt:lpwstr>
  </property>
  <property fmtid="{D5CDD505-2E9C-101B-9397-08002B2CF9AE}" pid="19" name="Mendeley Recent Style Name 8_1">
    <vt:lpwstr>Nature - all authors</vt:lpwstr>
  </property>
  <property fmtid="{D5CDD505-2E9C-101B-9397-08002B2CF9AE}" pid="20" name="Mendeley Recent Style Id 9_1">
    <vt:lpwstr>http://csl.mendeley.com/styles/569496931/nature</vt:lpwstr>
  </property>
  <property fmtid="{D5CDD505-2E9C-101B-9397-08002B2CF9AE}" pid="21" name="Mendeley Recent Style Name 9_1">
    <vt:lpwstr>Nature - all authors</vt:lpwstr>
  </property>
  <property fmtid="{D5CDD505-2E9C-101B-9397-08002B2CF9AE}" pid="22" name="Mendeley Document_1">
    <vt:lpwstr>True</vt:lpwstr>
  </property>
  <property fmtid="{D5CDD505-2E9C-101B-9397-08002B2CF9AE}" pid="23" name="Mendeley Unique User Id_1">
    <vt:lpwstr>66e87f2c-4510-325c-8668-1e6370faa2d4</vt:lpwstr>
  </property>
  <property fmtid="{D5CDD505-2E9C-101B-9397-08002B2CF9AE}" pid="24" name="Mendeley Citation Style_1">
    <vt:lpwstr>http://csl.mendeley.com/styles/569496931/nature</vt:lpwstr>
  </property>
</Properties>
</file>