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930" w:rsidRPr="000B22BB" w:rsidRDefault="00AC361C">
      <w:pPr>
        <w:jc w:val="center"/>
        <w:rPr>
          <w:rFonts w:ascii="Times New Roman" w:eastAsia="Times New Roman" w:hAnsi="Times New Roman" w:cs="Times New Roman"/>
          <w:b/>
          <w:sz w:val="24"/>
          <w:szCs w:val="24"/>
        </w:rPr>
      </w:pPr>
      <w:r w:rsidRPr="000B22BB">
        <w:rPr>
          <w:rFonts w:ascii="Times New Roman" w:eastAsia="Times New Roman" w:hAnsi="Times New Roman" w:cs="Times New Roman"/>
          <w:b/>
          <w:sz w:val="24"/>
          <w:szCs w:val="24"/>
        </w:rPr>
        <w:t xml:space="preserve">Predictors of Suspension and Failure in Greek Organizations </w:t>
      </w:r>
    </w:p>
    <w:p w:rsidR="00F94930" w:rsidRPr="000B22BB" w:rsidRDefault="00AC361C">
      <w:pPr>
        <w:jc w:val="center"/>
        <w:rPr>
          <w:rFonts w:ascii="Times New Roman" w:eastAsia="Times New Roman" w:hAnsi="Times New Roman" w:cs="Times New Roman"/>
          <w:b/>
          <w:sz w:val="24"/>
          <w:szCs w:val="24"/>
        </w:rPr>
      </w:pPr>
      <w:proofErr w:type="gramStart"/>
      <w:r w:rsidRPr="000B22BB">
        <w:rPr>
          <w:rFonts w:ascii="Times New Roman" w:eastAsia="Times New Roman" w:hAnsi="Times New Roman" w:cs="Times New Roman"/>
          <w:b/>
          <w:sz w:val="24"/>
          <w:szCs w:val="24"/>
        </w:rPr>
        <w:t>in</w:t>
      </w:r>
      <w:proofErr w:type="gramEnd"/>
      <w:r w:rsidRPr="000B22BB">
        <w:rPr>
          <w:rFonts w:ascii="Times New Roman" w:eastAsia="Times New Roman" w:hAnsi="Times New Roman" w:cs="Times New Roman"/>
          <w:b/>
          <w:sz w:val="24"/>
          <w:szCs w:val="24"/>
        </w:rPr>
        <w:t xml:space="preserve"> a Large Southeastern Public University</w:t>
      </w:r>
    </w:p>
    <w:p w:rsidR="00F94930" w:rsidRPr="000B22BB" w:rsidRDefault="00F94930">
      <w:pPr>
        <w:rPr>
          <w:rFonts w:ascii="Times New Roman" w:eastAsia="Times New Roman" w:hAnsi="Times New Roman" w:cs="Times New Roman"/>
          <w:b/>
          <w:sz w:val="24"/>
          <w:szCs w:val="24"/>
        </w:rPr>
      </w:pPr>
    </w:p>
    <w:p w:rsidR="00F94930" w:rsidRPr="000B22BB" w:rsidRDefault="00AC361C">
      <w:pPr>
        <w:jc w:val="center"/>
        <w:rPr>
          <w:rFonts w:ascii="Times New Roman" w:eastAsia="Times New Roman" w:hAnsi="Times New Roman" w:cs="Times New Roman"/>
          <w:sz w:val="24"/>
          <w:szCs w:val="24"/>
        </w:rPr>
      </w:pPr>
      <w:proofErr w:type="spellStart"/>
      <w:r w:rsidRPr="000B22BB">
        <w:rPr>
          <w:rFonts w:ascii="Times New Roman" w:eastAsia="Times New Roman" w:hAnsi="Times New Roman" w:cs="Times New Roman"/>
          <w:sz w:val="24"/>
          <w:szCs w:val="24"/>
        </w:rPr>
        <w:t>Kanyuck</w:t>
      </w:r>
      <w:proofErr w:type="spellEnd"/>
      <w:r w:rsidRPr="000B22BB">
        <w:rPr>
          <w:rFonts w:ascii="Times New Roman" w:eastAsia="Times New Roman" w:hAnsi="Times New Roman" w:cs="Times New Roman"/>
          <w:sz w:val="24"/>
          <w:szCs w:val="24"/>
        </w:rPr>
        <w:t xml:space="preserve">, Kelsey; </w:t>
      </w:r>
      <w:proofErr w:type="spellStart"/>
      <w:r w:rsidRPr="000B22BB">
        <w:rPr>
          <w:rFonts w:ascii="Times New Roman" w:eastAsia="Times New Roman" w:hAnsi="Times New Roman" w:cs="Times New Roman"/>
          <w:sz w:val="24"/>
          <w:szCs w:val="24"/>
        </w:rPr>
        <w:t>Scheunemann</w:t>
      </w:r>
      <w:proofErr w:type="spellEnd"/>
      <w:r w:rsidRPr="000B22BB">
        <w:rPr>
          <w:rFonts w:ascii="Times New Roman" w:eastAsia="Times New Roman" w:hAnsi="Times New Roman" w:cs="Times New Roman"/>
          <w:sz w:val="24"/>
          <w:szCs w:val="24"/>
        </w:rPr>
        <w:t xml:space="preserve">, Ann; </w:t>
      </w:r>
      <w:proofErr w:type="spellStart"/>
      <w:r w:rsidRPr="000B22BB">
        <w:rPr>
          <w:rFonts w:ascii="Times New Roman" w:eastAsia="Times New Roman" w:hAnsi="Times New Roman" w:cs="Times New Roman"/>
          <w:sz w:val="24"/>
          <w:szCs w:val="24"/>
        </w:rPr>
        <w:t>Tanna</w:t>
      </w:r>
      <w:proofErr w:type="spellEnd"/>
      <w:r w:rsidRPr="000B22BB">
        <w:rPr>
          <w:rFonts w:ascii="Times New Roman" w:eastAsia="Times New Roman" w:hAnsi="Times New Roman" w:cs="Times New Roman"/>
          <w:sz w:val="24"/>
          <w:szCs w:val="24"/>
        </w:rPr>
        <w:t>, Ami</w:t>
      </w:r>
    </w:p>
    <w:p w:rsidR="00F94930" w:rsidRPr="000B22BB" w:rsidRDefault="00F94930">
      <w:pPr>
        <w:rPr>
          <w:rFonts w:ascii="Times New Roman" w:eastAsia="Times New Roman" w:hAnsi="Times New Roman" w:cs="Times New Roman"/>
          <w:sz w:val="24"/>
          <w:szCs w:val="24"/>
        </w:rPr>
      </w:pPr>
    </w:p>
    <w:p w:rsidR="00F94930" w:rsidRPr="000B22BB" w:rsidRDefault="00F94930">
      <w:pPr>
        <w:rPr>
          <w:rFonts w:ascii="Times New Roman" w:eastAsia="Times New Roman" w:hAnsi="Times New Roman" w:cs="Times New Roman"/>
          <w:sz w:val="24"/>
          <w:szCs w:val="24"/>
        </w:rPr>
      </w:pPr>
    </w:p>
    <w:p w:rsidR="00F94930" w:rsidRPr="000B22BB" w:rsidRDefault="00AC361C">
      <w:pPr>
        <w:jc w:val="center"/>
        <w:rPr>
          <w:rFonts w:ascii="Times New Roman" w:eastAsia="Times New Roman" w:hAnsi="Times New Roman" w:cs="Times New Roman"/>
          <w:b/>
          <w:sz w:val="24"/>
          <w:szCs w:val="24"/>
        </w:rPr>
      </w:pPr>
      <w:r w:rsidRPr="000B22BB">
        <w:rPr>
          <w:rFonts w:ascii="Times New Roman" w:eastAsia="Times New Roman" w:hAnsi="Times New Roman" w:cs="Times New Roman"/>
          <w:b/>
          <w:sz w:val="24"/>
          <w:szCs w:val="24"/>
        </w:rPr>
        <w:t>Abstract</w:t>
      </w:r>
    </w:p>
    <w:p w:rsidR="00F94930" w:rsidRPr="000B22BB" w:rsidRDefault="00AC361C" w:rsidP="000B22BB">
      <w:pPr>
        <w:spacing w:line="480" w:lineRule="auto"/>
        <w:ind w:firstLine="720"/>
        <w:rPr>
          <w:rFonts w:ascii="Times New Roman" w:eastAsia="Times New Roman" w:hAnsi="Times New Roman" w:cs="Times New Roman"/>
          <w:b/>
          <w:sz w:val="24"/>
          <w:szCs w:val="24"/>
          <w:u w:val="single"/>
        </w:rPr>
      </w:pPr>
      <w:r w:rsidRPr="000B22BB">
        <w:rPr>
          <w:rFonts w:ascii="Times New Roman" w:eastAsia="Times New Roman" w:hAnsi="Times New Roman" w:cs="Times New Roman"/>
          <w:sz w:val="24"/>
          <w:szCs w:val="24"/>
        </w:rPr>
        <w:t xml:space="preserve">Greek organizations first started with the purpose of brotherhood and friendship, but in recent times reports of hazing, alcohol, </w:t>
      </w:r>
      <w:proofErr w:type="gramStart"/>
      <w:r w:rsidRPr="000B22BB">
        <w:rPr>
          <w:rFonts w:ascii="Times New Roman" w:eastAsia="Times New Roman" w:hAnsi="Times New Roman" w:cs="Times New Roman"/>
          <w:sz w:val="24"/>
          <w:szCs w:val="24"/>
        </w:rPr>
        <w:t>sexual</w:t>
      </w:r>
      <w:proofErr w:type="gramEnd"/>
      <w:r w:rsidRPr="000B22BB">
        <w:rPr>
          <w:rFonts w:ascii="Times New Roman" w:eastAsia="Times New Roman" w:hAnsi="Times New Roman" w:cs="Times New Roman"/>
          <w:sz w:val="24"/>
          <w:szCs w:val="24"/>
        </w:rPr>
        <w:t xml:space="preserve"> assault have been linked to these university organizations. At North Carolina State University, some have been sanctioned for violating the Code of Student Conduct and been suspended or rendered inactive. Active </w:t>
      </w:r>
      <w:proofErr w:type="spellStart"/>
      <w:proofErr w:type="gramStart"/>
      <w:r w:rsidRPr="000B22BB">
        <w:rPr>
          <w:rFonts w:ascii="Times New Roman" w:eastAsia="Times New Roman" w:hAnsi="Times New Roman" w:cs="Times New Roman"/>
          <w:sz w:val="24"/>
          <w:szCs w:val="24"/>
        </w:rPr>
        <w:t>greek</w:t>
      </w:r>
      <w:proofErr w:type="spellEnd"/>
      <w:proofErr w:type="gramEnd"/>
      <w:r w:rsidRPr="000B22BB">
        <w:rPr>
          <w:rFonts w:ascii="Times New Roman" w:eastAsia="Times New Roman" w:hAnsi="Times New Roman" w:cs="Times New Roman"/>
          <w:sz w:val="24"/>
          <w:szCs w:val="24"/>
        </w:rPr>
        <w:t xml:space="preserve"> organizations are </w:t>
      </w:r>
      <w:proofErr w:type="spellStart"/>
      <w:r w:rsidRPr="000B22BB">
        <w:rPr>
          <w:rFonts w:ascii="Times New Roman" w:eastAsia="Times New Roman" w:hAnsi="Times New Roman" w:cs="Times New Roman"/>
          <w:sz w:val="24"/>
          <w:szCs w:val="24"/>
        </w:rPr>
        <w:t>desireable</w:t>
      </w:r>
      <w:proofErr w:type="spellEnd"/>
      <w:r w:rsidRPr="000B22BB">
        <w:rPr>
          <w:rFonts w:ascii="Times New Roman" w:eastAsia="Times New Roman" w:hAnsi="Times New Roman" w:cs="Times New Roman"/>
          <w:sz w:val="24"/>
          <w:szCs w:val="24"/>
        </w:rPr>
        <w:t xml:space="preserve"> to a university, and predicting a future inactive chapter can allow resources to be better allocated to these organizations to prevent failure. Logistic regression was used to build a model to predict active status (a binary response) utilizing several published covariates from the university's Standards Program report. Only one covariate (the total compliance score) was a significant </w:t>
      </w:r>
      <w:proofErr w:type="gramStart"/>
      <w:r w:rsidRPr="000B22BB">
        <w:rPr>
          <w:rFonts w:ascii="Times New Roman" w:eastAsia="Times New Roman" w:hAnsi="Times New Roman" w:cs="Times New Roman"/>
          <w:sz w:val="24"/>
          <w:szCs w:val="24"/>
        </w:rPr>
        <w:t>( p</w:t>
      </w:r>
      <w:proofErr w:type="gramEnd"/>
      <w:r w:rsidRPr="000B22BB">
        <w:rPr>
          <w:rFonts w:ascii="Times New Roman" w:eastAsia="Times New Roman" w:hAnsi="Times New Roman" w:cs="Times New Roman"/>
          <w:sz w:val="24"/>
          <w:szCs w:val="24"/>
        </w:rPr>
        <w:t xml:space="preserve"> &lt; 0.05) parameter in the predictive model, with an APER of 17%. This model suggested that low compliance scores are associated with inactive chapters, and this knowledge can </w:t>
      </w:r>
      <w:r w:rsidRPr="000B22BB">
        <w:rPr>
          <w:rFonts w:ascii="Times New Roman" w:eastAsia="Times New Roman" w:hAnsi="Times New Roman" w:cs="Times New Roman"/>
          <w:color w:val="222222"/>
          <w:sz w:val="24"/>
          <w:szCs w:val="24"/>
        </w:rPr>
        <w:t xml:space="preserve">be used by the university to predict </w:t>
      </w:r>
      <w:proofErr w:type="spellStart"/>
      <w:proofErr w:type="gramStart"/>
      <w:r w:rsidRPr="000B22BB">
        <w:rPr>
          <w:rFonts w:ascii="Times New Roman" w:eastAsia="Times New Roman" w:hAnsi="Times New Roman" w:cs="Times New Roman"/>
          <w:color w:val="222222"/>
          <w:sz w:val="24"/>
          <w:szCs w:val="24"/>
        </w:rPr>
        <w:t>greek</w:t>
      </w:r>
      <w:proofErr w:type="spellEnd"/>
      <w:proofErr w:type="gramEnd"/>
      <w:r w:rsidRPr="000B22BB">
        <w:rPr>
          <w:rFonts w:ascii="Times New Roman" w:eastAsia="Times New Roman" w:hAnsi="Times New Roman" w:cs="Times New Roman"/>
          <w:color w:val="222222"/>
          <w:sz w:val="24"/>
          <w:szCs w:val="24"/>
        </w:rPr>
        <w:t xml:space="preserve"> organizations that are likely to fail so addition support or training can be offered.</w:t>
      </w:r>
    </w:p>
    <w:p w:rsidR="00F94930" w:rsidRPr="000B22BB" w:rsidRDefault="00F94930">
      <w:pPr>
        <w:rPr>
          <w:rFonts w:ascii="Times New Roman" w:eastAsia="Times New Roman" w:hAnsi="Times New Roman" w:cs="Times New Roman"/>
          <w:b/>
          <w:sz w:val="24"/>
          <w:szCs w:val="24"/>
          <w:u w:val="single"/>
        </w:rPr>
      </w:pPr>
    </w:p>
    <w:p w:rsidR="00F94930" w:rsidRPr="000B22BB" w:rsidRDefault="00F94930">
      <w:pPr>
        <w:rPr>
          <w:rFonts w:ascii="Times New Roman" w:eastAsia="Times New Roman" w:hAnsi="Times New Roman" w:cs="Times New Roman"/>
          <w:sz w:val="24"/>
          <w:szCs w:val="24"/>
        </w:rPr>
      </w:pPr>
    </w:p>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Keywords: Logistic Regression; Binary Classification; Greek Organizations Failure</w:t>
      </w:r>
    </w:p>
    <w:p w:rsidR="00F94930" w:rsidRPr="000B22BB" w:rsidRDefault="00AC361C">
      <w:pPr>
        <w:rPr>
          <w:rFonts w:ascii="Times New Roman" w:hAnsi="Times New Roman" w:cs="Times New Roman"/>
          <w:sz w:val="24"/>
          <w:szCs w:val="24"/>
        </w:rPr>
      </w:pPr>
      <w:r w:rsidRPr="000B22BB">
        <w:rPr>
          <w:rFonts w:ascii="Times New Roman" w:hAnsi="Times New Roman" w:cs="Times New Roman"/>
          <w:sz w:val="24"/>
          <w:szCs w:val="24"/>
        </w:rPr>
        <w:br w:type="page"/>
      </w:r>
    </w:p>
    <w:p w:rsidR="00F94930" w:rsidRPr="000B22BB" w:rsidRDefault="00F94930">
      <w:pPr>
        <w:rPr>
          <w:rFonts w:ascii="Times New Roman" w:eastAsia="Times New Roman" w:hAnsi="Times New Roman" w:cs="Times New Roman"/>
          <w:sz w:val="24"/>
          <w:szCs w:val="24"/>
        </w:rPr>
      </w:pPr>
    </w:p>
    <w:p w:rsidR="00F94930" w:rsidRPr="000B22BB" w:rsidRDefault="00AC361C">
      <w:pPr>
        <w:spacing w:line="480" w:lineRule="auto"/>
        <w:jc w:val="center"/>
        <w:rPr>
          <w:rFonts w:ascii="Times New Roman" w:eastAsia="Times New Roman" w:hAnsi="Times New Roman" w:cs="Times New Roman"/>
          <w:i/>
          <w:sz w:val="24"/>
          <w:szCs w:val="24"/>
        </w:rPr>
      </w:pPr>
      <w:r w:rsidRPr="000B22BB">
        <w:rPr>
          <w:rFonts w:ascii="Times New Roman" w:eastAsia="Times New Roman" w:hAnsi="Times New Roman" w:cs="Times New Roman"/>
          <w:b/>
          <w:sz w:val="24"/>
          <w:szCs w:val="24"/>
        </w:rPr>
        <w:t xml:space="preserve">Introduction </w:t>
      </w:r>
    </w:p>
    <w:p w:rsidR="00F94930" w:rsidRPr="000B22BB" w:rsidRDefault="00AC361C">
      <w:pPr>
        <w:spacing w:line="480" w:lineRule="auto"/>
        <w:ind w:firstLine="720"/>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 The establishment of the Phi Beta Kappa fraternity in 1776 initiated a tradition that has for many university students in American become an integral part of college life: membership in a Greek organization (Wikipedia). While Phi Beta Kappa is a predominantly academic fraternity, social fraternities and sororities began appearing on college campuses as early as 1825, when the Kappa Alpha Society was established. The stated purpose of these organizations was originally brotherhood and friendship, and over time other themes such as service, philanthropy, scholarship, leadership, and social responsibility also became part of their mission. These foci still apply to </w:t>
      </w:r>
      <w:proofErr w:type="gramStart"/>
      <w:r w:rsidRPr="000B22BB">
        <w:rPr>
          <w:rFonts w:ascii="Times New Roman" w:eastAsia="Times New Roman" w:hAnsi="Times New Roman" w:cs="Times New Roman"/>
          <w:sz w:val="24"/>
          <w:szCs w:val="24"/>
        </w:rPr>
        <w:t>modern</w:t>
      </w:r>
      <w:proofErr w:type="gramEnd"/>
      <w:r w:rsidRPr="000B22BB">
        <w:rPr>
          <w:rFonts w:ascii="Times New Roman" w:eastAsia="Times New Roman" w:hAnsi="Times New Roman" w:cs="Times New Roman"/>
          <w:sz w:val="24"/>
          <w:szCs w:val="24"/>
        </w:rPr>
        <w:t xml:space="preserve"> Greek organizations, and current research suggests that membership in Greek life does help students to grow in these areas (</w:t>
      </w:r>
      <w:proofErr w:type="spellStart"/>
      <w:r w:rsidRPr="000B22BB">
        <w:rPr>
          <w:rFonts w:ascii="Times New Roman" w:eastAsia="Times New Roman" w:hAnsi="Times New Roman" w:cs="Times New Roman"/>
          <w:sz w:val="24"/>
          <w:szCs w:val="24"/>
        </w:rPr>
        <w:t>Barnhardt</w:t>
      </w:r>
      <w:proofErr w:type="spellEnd"/>
      <w:r w:rsidRPr="000B22BB">
        <w:rPr>
          <w:rFonts w:ascii="Times New Roman" w:eastAsia="Times New Roman" w:hAnsi="Times New Roman" w:cs="Times New Roman"/>
          <w:sz w:val="24"/>
          <w:szCs w:val="24"/>
        </w:rPr>
        <w:t xml:space="preserve"> Cassie L., 2014; </w:t>
      </w:r>
      <w:proofErr w:type="spellStart"/>
      <w:r w:rsidRPr="000B22BB">
        <w:rPr>
          <w:rFonts w:ascii="Times New Roman" w:eastAsia="Times New Roman" w:hAnsi="Times New Roman" w:cs="Times New Roman"/>
          <w:sz w:val="24"/>
          <w:szCs w:val="24"/>
        </w:rPr>
        <w:t>Hevel</w:t>
      </w:r>
      <w:proofErr w:type="spellEnd"/>
      <w:r w:rsidRPr="000B22BB">
        <w:rPr>
          <w:rFonts w:ascii="Times New Roman" w:eastAsia="Times New Roman" w:hAnsi="Times New Roman" w:cs="Times New Roman"/>
          <w:sz w:val="24"/>
          <w:szCs w:val="24"/>
        </w:rPr>
        <w:t xml:space="preserve"> Michael S., Martin </w:t>
      </w:r>
      <w:proofErr w:type="spellStart"/>
      <w:r w:rsidRPr="000B22BB">
        <w:rPr>
          <w:rFonts w:ascii="Times New Roman" w:eastAsia="Times New Roman" w:hAnsi="Times New Roman" w:cs="Times New Roman"/>
          <w:sz w:val="24"/>
          <w:szCs w:val="24"/>
        </w:rPr>
        <w:t>Georgianna</w:t>
      </w:r>
      <w:proofErr w:type="spellEnd"/>
      <w:r w:rsidRPr="000B22BB">
        <w:rPr>
          <w:rFonts w:ascii="Times New Roman" w:eastAsia="Times New Roman" w:hAnsi="Times New Roman" w:cs="Times New Roman"/>
          <w:sz w:val="24"/>
          <w:szCs w:val="24"/>
        </w:rPr>
        <w:t xml:space="preserve"> L., &amp; </w:t>
      </w:r>
      <w:proofErr w:type="spellStart"/>
      <w:r w:rsidRPr="000B22BB">
        <w:rPr>
          <w:rFonts w:ascii="Times New Roman" w:eastAsia="Times New Roman" w:hAnsi="Times New Roman" w:cs="Times New Roman"/>
          <w:sz w:val="24"/>
          <w:szCs w:val="24"/>
        </w:rPr>
        <w:t>Pascarella</w:t>
      </w:r>
      <w:proofErr w:type="spellEnd"/>
      <w:r w:rsidRPr="000B22BB">
        <w:rPr>
          <w:rFonts w:ascii="Times New Roman" w:eastAsia="Times New Roman" w:hAnsi="Times New Roman" w:cs="Times New Roman"/>
          <w:sz w:val="24"/>
          <w:szCs w:val="24"/>
        </w:rPr>
        <w:t xml:space="preserve"> Ernest T., 2014; Martin, </w:t>
      </w:r>
      <w:proofErr w:type="spellStart"/>
      <w:r w:rsidRPr="000B22BB">
        <w:rPr>
          <w:rFonts w:ascii="Times New Roman" w:eastAsia="Times New Roman" w:hAnsi="Times New Roman" w:cs="Times New Roman"/>
          <w:sz w:val="24"/>
          <w:szCs w:val="24"/>
        </w:rPr>
        <w:t>Hevel</w:t>
      </w:r>
      <w:proofErr w:type="spellEnd"/>
      <w:r w:rsidRPr="000B22BB">
        <w:rPr>
          <w:rFonts w:ascii="Times New Roman" w:eastAsia="Times New Roman" w:hAnsi="Times New Roman" w:cs="Times New Roman"/>
          <w:sz w:val="24"/>
          <w:szCs w:val="24"/>
        </w:rPr>
        <w:t xml:space="preserve">, </w:t>
      </w:r>
      <w:proofErr w:type="spellStart"/>
      <w:r w:rsidRPr="000B22BB">
        <w:rPr>
          <w:rFonts w:ascii="Times New Roman" w:eastAsia="Times New Roman" w:hAnsi="Times New Roman" w:cs="Times New Roman"/>
          <w:sz w:val="24"/>
          <w:szCs w:val="24"/>
        </w:rPr>
        <w:t>Asel</w:t>
      </w:r>
      <w:proofErr w:type="spellEnd"/>
      <w:r w:rsidRPr="000B22BB">
        <w:rPr>
          <w:rFonts w:ascii="Times New Roman" w:eastAsia="Times New Roman" w:hAnsi="Times New Roman" w:cs="Times New Roman"/>
          <w:sz w:val="24"/>
          <w:szCs w:val="24"/>
        </w:rPr>
        <w:t xml:space="preserve">, &amp; </w:t>
      </w:r>
      <w:proofErr w:type="spellStart"/>
      <w:r w:rsidRPr="000B22BB">
        <w:rPr>
          <w:rFonts w:ascii="Times New Roman" w:eastAsia="Times New Roman" w:hAnsi="Times New Roman" w:cs="Times New Roman"/>
          <w:sz w:val="24"/>
          <w:szCs w:val="24"/>
        </w:rPr>
        <w:t>Pascarella</w:t>
      </w:r>
      <w:proofErr w:type="spellEnd"/>
      <w:r w:rsidRPr="000B22BB">
        <w:rPr>
          <w:rFonts w:ascii="Times New Roman" w:eastAsia="Times New Roman" w:hAnsi="Times New Roman" w:cs="Times New Roman"/>
          <w:sz w:val="24"/>
          <w:szCs w:val="24"/>
        </w:rPr>
        <w:t xml:space="preserve">, 2011; Martin, </w:t>
      </w:r>
      <w:proofErr w:type="spellStart"/>
      <w:r w:rsidRPr="000B22BB">
        <w:rPr>
          <w:rFonts w:ascii="Times New Roman" w:eastAsia="Times New Roman" w:hAnsi="Times New Roman" w:cs="Times New Roman"/>
          <w:sz w:val="24"/>
          <w:szCs w:val="24"/>
        </w:rPr>
        <w:t>Hevel</w:t>
      </w:r>
      <w:proofErr w:type="spellEnd"/>
      <w:r w:rsidRPr="000B22BB">
        <w:rPr>
          <w:rFonts w:ascii="Times New Roman" w:eastAsia="Times New Roman" w:hAnsi="Times New Roman" w:cs="Times New Roman"/>
          <w:sz w:val="24"/>
          <w:szCs w:val="24"/>
        </w:rPr>
        <w:t xml:space="preserve">, &amp; </w:t>
      </w:r>
      <w:proofErr w:type="spellStart"/>
      <w:r w:rsidRPr="000B22BB">
        <w:rPr>
          <w:rFonts w:ascii="Times New Roman" w:eastAsia="Times New Roman" w:hAnsi="Times New Roman" w:cs="Times New Roman"/>
          <w:sz w:val="24"/>
          <w:szCs w:val="24"/>
        </w:rPr>
        <w:t>Pascarella</w:t>
      </w:r>
      <w:proofErr w:type="spellEnd"/>
      <w:r w:rsidRPr="000B22BB">
        <w:rPr>
          <w:rFonts w:ascii="Times New Roman" w:eastAsia="Times New Roman" w:hAnsi="Times New Roman" w:cs="Times New Roman"/>
          <w:sz w:val="24"/>
          <w:szCs w:val="24"/>
        </w:rPr>
        <w:t xml:space="preserve">, 2012; Long, 2012; </w:t>
      </w:r>
      <w:proofErr w:type="spellStart"/>
      <w:r w:rsidRPr="000B22BB">
        <w:rPr>
          <w:rFonts w:ascii="Times New Roman" w:eastAsia="Times New Roman" w:hAnsi="Times New Roman" w:cs="Times New Roman"/>
          <w:sz w:val="24"/>
          <w:szCs w:val="24"/>
        </w:rPr>
        <w:t>Routon</w:t>
      </w:r>
      <w:proofErr w:type="spellEnd"/>
      <w:r w:rsidRPr="000B22BB">
        <w:rPr>
          <w:rFonts w:ascii="Times New Roman" w:eastAsia="Times New Roman" w:hAnsi="Times New Roman" w:cs="Times New Roman"/>
          <w:sz w:val="24"/>
          <w:szCs w:val="24"/>
        </w:rPr>
        <w:t xml:space="preserve"> &amp; Walker, 2014). Additionally, membership provides valuable networking opportunities with alumni, which can lead to employment post-graduation (McClain, 2017).</w:t>
      </w:r>
    </w:p>
    <w:p w:rsidR="00F94930" w:rsidRPr="000B22BB" w:rsidRDefault="00AC361C">
      <w:pPr>
        <w:spacing w:line="480" w:lineRule="auto"/>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sz w:val="24"/>
          <w:szCs w:val="24"/>
        </w:rPr>
        <w:tab/>
        <w:t xml:space="preserve">Despite evidence of the benefits of Greek life memberships, recent decades have witnessed a shift in public perceptions of Greek life on college campuses as an increasing number of reports of hazing, alcohol and other substance use, and sexual assault have been </w:t>
      </w:r>
      <w:proofErr w:type="gramStart"/>
      <w:r w:rsidRPr="000B22BB">
        <w:rPr>
          <w:rFonts w:ascii="Times New Roman" w:eastAsia="Times New Roman" w:hAnsi="Times New Roman" w:cs="Times New Roman"/>
          <w:sz w:val="24"/>
          <w:szCs w:val="24"/>
        </w:rPr>
        <w:t>linked</w:t>
      </w:r>
      <w:proofErr w:type="gramEnd"/>
      <w:r w:rsidRPr="000B22BB">
        <w:rPr>
          <w:rFonts w:ascii="Times New Roman" w:eastAsia="Times New Roman" w:hAnsi="Times New Roman" w:cs="Times New Roman"/>
          <w:sz w:val="24"/>
          <w:szCs w:val="24"/>
        </w:rPr>
        <w:t xml:space="preserve"> to social fraternities (and some, though fewer, sororities), especially those that are majority white male (Franklin, </w:t>
      </w:r>
      <w:proofErr w:type="spellStart"/>
      <w:r w:rsidRPr="000B22BB">
        <w:rPr>
          <w:rFonts w:ascii="Times New Roman" w:eastAsia="Times New Roman" w:hAnsi="Times New Roman" w:cs="Times New Roman"/>
          <w:sz w:val="24"/>
          <w:szCs w:val="24"/>
        </w:rPr>
        <w:t>Bouffard</w:t>
      </w:r>
      <w:proofErr w:type="spellEnd"/>
      <w:r w:rsidRPr="000B22BB">
        <w:rPr>
          <w:rFonts w:ascii="Times New Roman" w:eastAsia="Times New Roman" w:hAnsi="Times New Roman" w:cs="Times New Roman"/>
          <w:sz w:val="24"/>
          <w:szCs w:val="24"/>
        </w:rPr>
        <w:t xml:space="preserve">, &amp; Pratt, 2012; </w:t>
      </w:r>
      <w:proofErr w:type="spellStart"/>
      <w:r w:rsidRPr="000B22BB">
        <w:rPr>
          <w:rFonts w:ascii="Times New Roman" w:eastAsia="Times New Roman" w:hAnsi="Times New Roman" w:cs="Times New Roman"/>
          <w:sz w:val="24"/>
          <w:szCs w:val="24"/>
        </w:rPr>
        <w:t>Phua</w:t>
      </w:r>
      <w:proofErr w:type="spellEnd"/>
      <w:r w:rsidRPr="000B22BB">
        <w:rPr>
          <w:rFonts w:ascii="Times New Roman" w:eastAsia="Times New Roman" w:hAnsi="Times New Roman" w:cs="Times New Roman"/>
          <w:sz w:val="24"/>
          <w:szCs w:val="24"/>
        </w:rPr>
        <w:t xml:space="preserve">, 2011; Ragsdale et al., 2012). Recent studies have confirmed that these problems often co-occur and mediate one another. For example, </w:t>
      </w:r>
      <w:proofErr w:type="spellStart"/>
      <w:r w:rsidRPr="000B22BB">
        <w:rPr>
          <w:rFonts w:ascii="Times New Roman" w:eastAsia="Times New Roman" w:hAnsi="Times New Roman" w:cs="Times New Roman"/>
          <w:sz w:val="24"/>
          <w:szCs w:val="24"/>
        </w:rPr>
        <w:t>Kingree</w:t>
      </w:r>
      <w:proofErr w:type="spellEnd"/>
      <w:r w:rsidRPr="000B22BB">
        <w:rPr>
          <w:rFonts w:ascii="Times New Roman" w:eastAsia="Times New Roman" w:hAnsi="Times New Roman" w:cs="Times New Roman"/>
          <w:sz w:val="24"/>
          <w:szCs w:val="24"/>
        </w:rPr>
        <w:t xml:space="preserve"> &amp; Thompson (2013) linked high risk alcohol use to sexual aggression in a longitudinal study of over 400 male students.</w:t>
      </w:r>
    </w:p>
    <w:p w:rsidR="00F94930" w:rsidRPr="000B22BB" w:rsidRDefault="00AC361C">
      <w:pPr>
        <w:spacing w:line="480" w:lineRule="auto"/>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lastRenderedPageBreak/>
        <w:t xml:space="preserve">        </w:t>
      </w:r>
      <w:r w:rsidRPr="000B22BB">
        <w:rPr>
          <w:rFonts w:ascii="Times New Roman" w:eastAsia="Times New Roman" w:hAnsi="Times New Roman" w:cs="Times New Roman"/>
          <w:sz w:val="24"/>
          <w:szCs w:val="24"/>
        </w:rPr>
        <w:tab/>
        <w:t>North Carolina State University (NCSU) is not immune to these problematic behaviors within fraternities. As of January 4</w:t>
      </w:r>
      <w:r w:rsidRPr="000B22BB">
        <w:rPr>
          <w:rFonts w:ascii="Times New Roman" w:eastAsia="Times New Roman" w:hAnsi="Times New Roman" w:cs="Times New Roman"/>
          <w:sz w:val="24"/>
          <w:szCs w:val="24"/>
          <w:vertAlign w:val="superscript"/>
        </w:rPr>
        <w:t>th</w:t>
      </w:r>
      <w:r w:rsidRPr="000B22BB">
        <w:rPr>
          <w:rFonts w:ascii="Times New Roman" w:eastAsia="Times New Roman" w:hAnsi="Times New Roman" w:cs="Times New Roman"/>
          <w:sz w:val="24"/>
          <w:szCs w:val="24"/>
        </w:rPr>
        <w:t xml:space="preserve">, 2017, three Greek organizations – Sigma Alpha Epsilon, Sigma Chi, and Theta Chi </w:t>
      </w:r>
      <w:proofErr w:type="gramStart"/>
      <w:r w:rsidRPr="000B22BB">
        <w:rPr>
          <w:rFonts w:ascii="Times New Roman" w:eastAsia="Times New Roman" w:hAnsi="Times New Roman" w:cs="Times New Roman"/>
          <w:sz w:val="24"/>
          <w:szCs w:val="24"/>
        </w:rPr>
        <w:t>-  had</w:t>
      </w:r>
      <w:proofErr w:type="gramEnd"/>
      <w:r w:rsidRPr="000B22BB">
        <w:rPr>
          <w:rFonts w:ascii="Times New Roman" w:eastAsia="Times New Roman" w:hAnsi="Times New Roman" w:cs="Times New Roman"/>
          <w:sz w:val="24"/>
          <w:szCs w:val="24"/>
        </w:rPr>
        <w:t xml:space="preserve"> been revoked and one – Zeta Psi - permanently suspended from the campus, mainly for substance use violations. Additionally, three fraternities and one sorority have been sanctioned for violating NCSU’s Code of Student Conduct. The prevalence of infractions within Greek life at NCSU indicates that actions should be taken to determine what factors might predict revocation of Greek charters or suspension from the university.</w:t>
      </w:r>
    </w:p>
    <w:p w:rsidR="00F94930" w:rsidRPr="000B22BB" w:rsidRDefault="00AC361C">
      <w:pPr>
        <w:spacing w:line="480" w:lineRule="auto"/>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sz w:val="24"/>
          <w:szCs w:val="24"/>
        </w:rPr>
        <w:tab/>
        <w:t xml:space="preserve">In 2004, leaders in the Greek life community collaborated with staff from the university’s Department of Fraternity and Sorority Life to create a Standards Program that mapped out organizational expectations for 10 shared </w:t>
      </w:r>
      <w:proofErr w:type="gramStart"/>
      <w:r w:rsidRPr="000B22BB">
        <w:rPr>
          <w:rFonts w:ascii="Times New Roman" w:eastAsia="Times New Roman" w:hAnsi="Times New Roman" w:cs="Times New Roman"/>
          <w:sz w:val="24"/>
          <w:szCs w:val="24"/>
        </w:rPr>
        <w:t>principle</w:t>
      </w:r>
      <w:proofErr w:type="gramEnd"/>
      <w:r w:rsidRPr="000B22BB">
        <w:rPr>
          <w:rFonts w:ascii="Times New Roman" w:eastAsia="Times New Roman" w:hAnsi="Times New Roman" w:cs="Times New Roman"/>
          <w:sz w:val="24"/>
          <w:szCs w:val="24"/>
        </w:rPr>
        <w:t xml:space="preserve"> within the Greek community: Alumni/Chapter Relations, Campus Leadership &amp; Involvement, Council Involvement, Educational Programming, Finances, Leadership Training, Membership, Risk Management, Scholarship/Academics, and Service/Philanthropy. Annual reports that score organizations on their success in these areas seek to create accountability within Greek life. Our proposed study is exploratory and seeks to determine whether compliance scores on the Standards Program report is significantly related to the likelihood of an organization’s suspension or failure over the 12 years since the program’s establishment. Further, because this study is exploratory it will test the number of members, average GPA, council membership, and organization gender as covariates.</w:t>
      </w:r>
    </w:p>
    <w:p w:rsidR="00F94930" w:rsidRPr="000B22BB" w:rsidRDefault="00AC361C">
      <w:pPr>
        <w:spacing w:line="480" w:lineRule="auto"/>
        <w:jc w:val="center"/>
        <w:rPr>
          <w:rFonts w:ascii="Times New Roman" w:eastAsia="Times New Roman" w:hAnsi="Times New Roman" w:cs="Times New Roman"/>
          <w:b/>
          <w:sz w:val="24"/>
          <w:szCs w:val="24"/>
        </w:rPr>
      </w:pPr>
      <w:r w:rsidRPr="000B22BB">
        <w:rPr>
          <w:rFonts w:ascii="Times New Roman" w:eastAsia="Times New Roman" w:hAnsi="Times New Roman" w:cs="Times New Roman"/>
          <w:b/>
          <w:sz w:val="24"/>
          <w:szCs w:val="24"/>
        </w:rPr>
        <w:t>Methodology</w:t>
      </w:r>
    </w:p>
    <w:p w:rsidR="00F94930" w:rsidRPr="000B22BB" w:rsidRDefault="00AC361C">
      <w:pPr>
        <w:spacing w:line="480" w:lineRule="auto"/>
        <w:ind w:firstLine="720"/>
        <w:rPr>
          <w:rFonts w:ascii="Times New Roman" w:eastAsia="Times New Roman" w:hAnsi="Times New Roman" w:cs="Times New Roman"/>
          <w:b/>
          <w:sz w:val="24"/>
          <w:szCs w:val="24"/>
        </w:rPr>
      </w:pPr>
      <w:r w:rsidRPr="000B22BB">
        <w:rPr>
          <w:rFonts w:ascii="Times New Roman" w:eastAsia="Times New Roman" w:hAnsi="Times New Roman" w:cs="Times New Roman"/>
          <w:sz w:val="24"/>
          <w:szCs w:val="24"/>
        </w:rPr>
        <w:t>Data were collected from Grade and Membership Reports of the North Carolina State University Fraternity and Sorority Life Department, and it is publicly available on the website (</w:t>
      </w:r>
      <w:hyperlink r:id="rId6">
        <w:r w:rsidRPr="000B22BB">
          <w:rPr>
            <w:rFonts w:ascii="Times New Roman" w:eastAsia="Times New Roman" w:hAnsi="Times New Roman" w:cs="Times New Roman"/>
            <w:color w:val="1155CC"/>
            <w:sz w:val="24"/>
            <w:szCs w:val="24"/>
            <w:u w:val="single"/>
          </w:rPr>
          <w:t>https://fsl.dasa.ncsu.edu/about-our-community/reports/</w:t>
        </w:r>
      </w:hyperlink>
      <w:r w:rsidRPr="000B22BB">
        <w:rPr>
          <w:rFonts w:ascii="Times New Roman" w:eastAsia="Times New Roman" w:hAnsi="Times New Roman" w:cs="Times New Roman"/>
          <w:sz w:val="24"/>
          <w:szCs w:val="24"/>
        </w:rPr>
        <w:t xml:space="preserve">). </w:t>
      </w:r>
      <w:r w:rsidRPr="00693F44">
        <w:rPr>
          <w:rFonts w:ascii="Times New Roman" w:eastAsia="Times New Roman" w:hAnsi="Times New Roman" w:cs="Times New Roman"/>
          <w:sz w:val="24"/>
          <w:szCs w:val="24"/>
          <w:highlight w:val="yellow"/>
        </w:rPr>
        <w:t xml:space="preserve">For each of the 66 Fraternity and Sorority organizations, the following scores were reported for each year between 2005 and 2016 </w:t>
      </w:r>
      <w:r w:rsidRPr="00693F44">
        <w:rPr>
          <w:rFonts w:ascii="Times New Roman" w:eastAsia="Times New Roman" w:hAnsi="Times New Roman" w:cs="Times New Roman"/>
          <w:sz w:val="24"/>
          <w:szCs w:val="24"/>
          <w:highlight w:val="yellow"/>
        </w:rPr>
        <w:lastRenderedPageBreak/>
        <w:t xml:space="preserve">(for years when an organization was ‘inactive’ no data was collected): Status (Active/Inactive); Organization Gender (Fraternity/Sorority); Council Recognized by (4 councils: PA, IFC, NPHC, MGC); Compliance scores for 10 organizational expectations (2=met; 1=conditional; 0=not met); Number of Members (Continuous Variable); and Grade Point Average (GPA, Continuous Variable). The two groups for discrimination and classification are a) organizations that were never inactive (n=42) and b) organizations that were inactive at one point in the 11-year span (n=15). Inactive </w:t>
      </w:r>
      <w:r w:rsidR="009F5594" w:rsidRPr="00693F44">
        <w:rPr>
          <w:rFonts w:ascii="Times New Roman" w:eastAsia="Times New Roman" w:hAnsi="Times New Roman" w:cs="Times New Roman"/>
          <w:sz w:val="24"/>
          <w:szCs w:val="24"/>
          <w:highlight w:val="yellow"/>
        </w:rPr>
        <w:t>G</w:t>
      </w:r>
      <w:r w:rsidRPr="00693F44">
        <w:rPr>
          <w:rFonts w:ascii="Times New Roman" w:eastAsia="Times New Roman" w:hAnsi="Times New Roman" w:cs="Times New Roman"/>
          <w:sz w:val="24"/>
          <w:szCs w:val="24"/>
          <w:highlight w:val="yellow"/>
        </w:rPr>
        <w:t>reek organizations are also referred to as failures, and the two will be used interchangeably in this report.</w:t>
      </w:r>
    </w:p>
    <w:p w:rsidR="00F94930" w:rsidRPr="000B22BB" w:rsidRDefault="00AC361C">
      <w:pPr>
        <w:spacing w:line="480" w:lineRule="auto"/>
        <w:ind w:firstLine="720"/>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The objective of the logistic regression analysis was to determine which covariates could predict the active/inactive status of an organization. Logistic regression will be used to form classifications that predict likelihood of</w:t>
      </w:r>
      <w:r w:rsidR="009F5594">
        <w:rPr>
          <w:rFonts w:ascii="Times New Roman" w:eastAsia="Times New Roman" w:hAnsi="Times New Roman" w:cs="Times New Roman"/>
          <w:sz w:val="24"/>
          <w:szCs w:val="24"/>
        </w:rPr>
        <w:t xml:space="preserve"> expulsion (or suspension) for G</w:t>
      </w:r>
      <w:r w:rsidRPr="000B22BB">
        <w:rPr>
          <w:rFonts w:ascii="Times New Roman" w:eastAsia="Times New Roman" w:hAnsi="Times New Roman" w:cs="Times New Roman"/>
          <w:sz w:val="24"/>
          <w:szCs w:val="24"/>
        </w:rPr>
        <w:t xml:space="preserve">reek organizations utilizing compliance scores, GPAs, member size, and other organization classifications. </w:t>
      </w:r>
      <w:r w:rsidR="009F5594" w:rsidRPr="000B22BB">
        <w:rPr>
          <w:rFonts w:ascii="Times New Roman" w:eastAsia="Times New Roman" w:hAnsi="Times New Roman" w:cs="Times New Roman"/>
          <w:sz w:val="24"/>
          <w:szCs w:val="24"/>
        </w:rPr>
        <w:t>The ten compliance scores will be assessed together as a one ‘percent compliance’ value. Numerical covariates (total compliance, member number, and GPA) were averaged over the 11 years of data. The categorical covariates (gender and council) did not change with time, and thus were not to be averaged. Organizations that were not in existence for at least 3 years prior to reaching inactive status were excluded from analysis because not sufficient data was able to be collected (n=9).</w:t>
      </w:r>
      <w:r w:rsidR="009F5594">
        <w:rPr>
          <w:rFonts w:ascii="Times New Roman" w:eastAsia="Times New Roman" w:hAnsi="Times New Roman" w:cs="Times New Roman"/>
          <w:sz w:val="24"/>
          <w:szCs w:val="24"/>
        </w:rPr>
        <w:t xml:space="preserve"> </w:t>
      </w:r>
      <w:r w:rsidRPr="000B22BB">
        <w:rPr>
          <w:rFonts w:ascii="Times New Roman" w:eastAsia="Times New Roman" w:hAnsi="Times New Roman" w:cs="Times New Roman"/>
          <w:sz w:val="24"/>
          <w:szCs w:val="24"/>
        </w:rPr>
        <w:t xml:space="preserve">This type of discriminant analysis was chosen because data are not expected to follow a normal distribution (instead it is binary). The regression will predict the inactive status G=0 “never” vs. G=1 “at one point” using the collected data (averaged continuous variables and classification variables discussed above). </w:t>
      </w:r>
    </w:p>
    <w:p w:rsidR="00F94930" w:rsidRPr="000B22BB" w:rsidRDefault="00AC361C">
      <w:pPr>
        <w:spacing w:line="480" w:lineRule="auto"/>
        <w:ind w:firstLine="720"/>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The GLM function in R was used to model the data because the population average was of interest, not individual organizations (</w:t>
      </w:r>
      <w:r w:rsidR="009F5594">
        <w:rPr>
          <w:rFonts w:ascii="Times New Roman" w:eastAsia="Times New Roman" w:hAnsi="Times New Roman" w:cs="Times New Roman"/>
          <w:sz w:val="24"/>
          <w:szCs w:val="24"/>
        </w:rPr>
        <w:t>fixed</w:t>
      </w:r>
      <w:r w:rsidRPr="000B22BB">
        <w:rPr>
          <w:rFonts w:ascii="Times New Roman" w:eastAsia="Times New Roman" w:hAnsi="Times New Roman" w:cs="Times New Roman"/>
          <w:sz w:val="24"/>
          <w:szCs w:val="24"/>
        </w:rPr>
        <w:t xml:space="preserve"> effects). The </w:t>
      </w:r>
      <w:r w:rsidR="009F5594" w:rsidRPr="000B22BB">
        <w:rPr>
          <w:rFonts w:ascii="Times New Roman" w:eastAsia="Times New Roman" w:hAnsi="Times New Roman" w:cs="Times New Roman"/>
          <w:sz w:val="24"/>
          <w:szCs w:val="24"/>
        </w:rPr>
        <w:t xml:space="preserve">logistic </w:t>
      </w:r>
      <w:r w:rsidRPr="000B22BB">
        <w:rPr>
          <w:rFonts w:ascii="Times New Roman" w:eastAsia="Times New Roman" w:hAnsi="Times New Roman" w:cs="Times New Roman"/>
          <w:sz w:val="24"/>
          <w:szCs w:val="24"/>
        </w:rPr>
        <w:t xml:space="preserve">exponential family </w:t>
      </w:r>
      <w:r w:rsidR="009F5594">
        <w:rPr>
          <w:rFonts w:ascii="Times New Roman" w:eastAsia="Times New Roman" w:hAnsi="Times New Roman" w:cs="Times New Roman"/>
          <w:sz w:val="24"/>
          <w:szCs w:val="24"/>
        </w:rPr>
        <w:t xml:space="preserve">for the </w:t>
      </w:r>
      <w:r w:rsidR="009F5594">
        <w:rPr>
          <w:rFonts w:ascii="Times New Roman" w:eastAsia="Times New Roman" w:hAnsi="Times New Roman" w:cs="Times New Roman"/>
          <w:sz w:val="24"/>
          <w:szCs w:val="24"/>
        </w:rPr>
        <w:lastRenderedPageBreak/>
        <w:t xml:space="preserve">active status </w:t>
      </w:r>
      <w:r w:rsidRPr="000B22BB">
        <w:rPr>
          <w:rFonts w:ascii="Times New Roman" w:eastAsia="Times New Roman" w:hAnsi="Times New Roman" w:cs="Times New Roman"/>
          <w:sz w:val="24"/>
          <w:szCs w:val="24"/>
        </w:rPr>
        <w:t>(either active/inactive) was specified by the code (family=</w:t>
      </w:r>
      <w:proofErr w:type="gramStart"/>
      <w:r w:rsidRPr="000B22BB">
        <w:rPr>
          <w:rFonts w:ascii="Times New Roman" w:eastAsia="Times New Roman" w:hAnsi="Times New Roman" w:cs="Times New Roman"/>
          <w:sz w:val="24"/>
          <w:szCs w:val="24"/>
        </w:rPr>
        <w:t>binomial(</w:t>
      </w:r>
      <w:proofErr w:type="gramEnd"/>
      <w:r w:rsidRPr="000B22BB">
        <w:rPr>
          <w:rFonts w:ascii="Times New Roman" w:eastAsia="Times New Roman" w:hAnsi="Times New Roman" w:cs="Times New Roman"/>
          <w:sz w:val="24"/>
          <w:szCs w:val="24"/>
        </w:rPr>
        <w:t>link='</w:t>
      </w:r>
      <w:proofErr w:type="spellStart"/>
      <w:r w:rsidRPr="000B22BB">
        <w:rPr>
          <w:rFonts w:ascii="Times New Roman" w:eastAsia="Times New Roman" w:hAnsi="Times New Roman" w:cs="Times New Roman"/>
          <w:sz w:val="24"/>
          <w:szCs w:val="24"/>
        </w:rPr>
        <w:t>logit</w:t>
      </w:r>
      <w:proofErr w:type="spellEnd"/>
      <w:r w:rsidRPr="000B22BB">
        <w:rPr>
          <w:rFonts w:ascii="Times New Roman" w:eastAsia="Times New Roman" w:hAnsi="Times New Roman" w:cs="Times New Roman"/>
          <w:sz w:val="24"/>
          <w:szCs w:val="24"/>
        </w:rPr>
        <w:t>')).  Each of the covariates, as well as interactions between covariates, was evaluated within the model. I</w:t>
      </w:r>
      <w:commentRangeStart w:id="0"/>
      <w:r w:rsidRPr="000B22BB">
        <w:rPr>
          <w:rFonts w:ascii="Times New Roman" w:eastAsia="Times New Roman" w:hAnsi="Times New Roman" w:cs="Times New Roman"/>
          <w:sz w:val="24"/>
          <w:szCs w:val="24"/>
        </w:rPr>
        <w:t xml:space="preserve">nitially, significance of the beta parameters was assessed using the standard error and z-values, </w:t>
      </w:r>
      <w:r w:rsidR="009F5594">
        <w:rPr>
          <w:rFonts w:ascii="Times New Roman" w:eastAsia="Times New Roman" w:hAnsi="Times New Roman" w:cs="Times New Roman"/>
          <w:sz w:val="24"/>
          <w:szCs w:val="24"/>
        </w:rPr>
        <w:t>and</w:t>
      </w:r>
      <w:r w:rsidRPr="000B22BB">
        <w:rPr>
          <w:rFonts w:ascii="Times New Roman" w:eastAsia="Times New Roman" w:hAnsi="Times New Roman" w:cs="Times New Roman"/>
          <w:sz w:val="24"/>
          <w:szCs w:val="24"/>
        </w:rPr>
        <w:t xml:space="preserve"> the deviance and corresponding Chi Square tests were also utilized. Further, an apparent error rate (APER) was calculated using the final model to measure the quality of the model</w:t>
      </w:r>
      <w:commentRangeEnd w:id="0"/>
      <w:r w:rsidRPr="000B22BB">
        <w:rPr>
          <w:rFonts w:ascii="Times New Roman" w:hAnsi="Times New Roman" w:cs="Times New Roman"/>
          <w:sz w:val="24"/>
          <w:szCs w:val="24"/>
        </w:rPr>
        <w:commentReference w:id="0"/>
      </w:r>
      <w:r w:rsidRPr="000B22BB">
        <w:rPr>
          <w:rFonts w:ascii="Times New Roman" w:eastAsia="Times New Roman" w:hAnsi="Times New Roman" w:cs="Times New Roman"/>
          <w:sz w:val="24"/>
          <w:szCs w:val="24"/>
        </w:rPr>
        <w:t>. It is expected that these accuracy values are biased because the</w:t>
      </w:r>
      <w:r w:rsidR="009F5594">
        <w:rPr>
          <w:rFonts w:ascii="Times New Roman" w:eastAsia="Times New Roman" w:hAnsi="Times New Roman" w:cs="Times New Roman"/>
          <w:sz w:val="24"/>
          <w:szCs w:val="24"/>
        </w:rPr>
        <w:t xml:space="preserve"> tested data</w:t>
      </w:r>
      <w:r w:rsidRPr="000B22BB">
        <w:rPr>
          <w:rFonts w:ascii="Times New Roman" w:eastAsia="Times New Roman" w:hAnsi="Times New Roman" w:cs="Times New Roman"/>
          <w:sz w:val="24"/>
          <w:szCs w:val="24"/>
        </w:rPr>
        <w:t xml:space="preserve"> were used to fit the original model, but due to the small data set, it was decided not </w:t>
      </w:r>
      <w:r w:rsidR="009F5594" w:rsidRPr="000B22BB">
        <w:rPr>
          <w:rFonts w:ascii="Times New Roman" w:eastAsia="Times New Roman" w:hAnsi="Times New Roman" w:cs="Times New Roman"/>
          <w:sz w:val="24"/>
          <w:szCs w:val="24"/>
        </w:rPr>
        <w:t>to reduce</w:t>
      </w:r>
      <w:r w:rsidRPr="000B22BB">
        <w:rPr>
          <w:rFonts w:ascii="Times New Roman" w:eastAsia="Times New Roman" w:hAnsi="Times New Roman" w:cs="Times New Roman"/>
          <w:sz w:val="24"/>
          <w:szCs w:val="24"/>
        </w:rPr>
        <w:t xml:space="preserve"> the </w:t>
      </w:r>
      <w:r w:rsidR="009F5594">
        <w:rPr>
          <w:rFonts w:ascii="Times New Roman" w:eastAsia="Times New Roman" w:hAnsi="Times New Roman" w:cs="Times New Roman"/>
          <w:sz w:val="24"/>
          <w:szCs w:val="24"/>
        </w:rPr>
        <w:t>number of samples</w:t>
      </w:r>
      <w:r w:rsidRPr="000B22BB">
        <w:rPr>
          <w:rFonts w:ascii="Times New Roman" w:eastAsia="Times New Roman" w:hAnsi="Times New Roman" w:cs="Times New Roman"/>
          <w:sz w:val="24"/>
          <w:szCs w:val="24"/>
        </w:rPr>
        <w:t xml:space="preserve"> any further by saving a ‘testing’ set.   </w:t>
      </w:r>
    </w:p>
    <w:p w:rsidR="00F94930" w:rsidRPr="000B22BB" w:rsidRDefault="00AC361C">
      <w:pPr>
        <w:spacing w:line="480" w:lineRule="auto"/>
        <w:jc w:val="center"/>
        <w:rPr>
          <w:rFonts w:ascii="Times New Roman" w:eastAsia="Times New Roman" w:hAnsi="Times New Roman" w:cs="Times New Roman"/>
          <w:b/>
          <w:sz w:val="24"/>
          <w:szCs w:val="24"/>
        </w:rPr>
      </w:pPr>
      <w:commentRangeStart w:id="1"/>
      <w:r w:rsidRPr="000B22BB">
        <w:rPr>
          <w:rFonts w:ascii="Times New Roman" w:eastAsia="Times New Roman" w:hAnsi="Times New Roman" w:cs="Times New Roman"/>
          <w:b/>
          <w:sz w:val="24"/>
          <w:szCs w:val="24"/>
        </w:rPr>
        <w:t>Results</w:t>
      </w:r>
      <w:commentRangeEnd w:id="1"/>
      <w:r w:rsidRPr="000B22BB">
        <w:rPr>
          <w:rFonts w:ascii="Times New Roman" w:hAnsi="Times New Roman" w:cs="Times New Roman"/>
          <w:sz w:val="24"/>
          <w:szCs w:val="24"/>
        </w:rPr>
        <w:commentReference w:id="1"/>
      </w:r>
    </w:p>
    <w:p w:rsidR="00F94930" w:rsidRPr="000B22BB" w:rsidRDefault="00AC361C">
      <w:pPr>
        <w:spacing w:line="480" w:lineRule="auto"/>
        <w:ind w:firstLine="720"/>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Data were first plotted for outliers. For any outliers, the dataset was checked for accuracy and the issues were resolved</w:t>
      </w:r>
      <w:r w:rsidR="000D0763">
        <w:rPr>
          <w:rFonts w:ascii="Times New Roman" w:eastAsia="Times New Roman" w:hAnsi="Times New Roman" w:cs="Times New Roman"/>
          <w:sz w:val="24"/>
          <w:szCs w:val="24"/>
        </w:rPr>
        <w:t xml:space="preserve"> (correcting typos)</w:t>
      </w:r>
      <w:r w:rsidRPr="000B22BB">
        <w:rPr>
          <w:rFonts w:ascii="Times New Roman" w:eastAsia="Times New Roman" w:hAnsi="Times New Roman" w:cs="Times New Roman"/>
          <w:sz w:val="24"/>
          <w:szCs w:val="24"/>
        </w:rPr>
        <w:t xml:space="preserve">. Correlations between variables were also assessed, and tended to be negligible to moderate. The final logistic regression model (using a significance level of p &lt; 0.05) was: </w:t>
      </w:r>
    </w:p>
    <w:p w:rsidR="00F94930" w:rsidRPr="000B22BB" w:rsidRDefault="00AC361C">
      <w:pPr>
        <w:spacing w:line="480" w:lineRule="auto"/>
        <w:ind w:firstLine="720"/>
        <w:jc w:val="right"/>
        <w:rPr>
          <w:rFonts w:ascii="Times New Roman" w:eastAsia="Times New Roman" w:hAnsi="Times New Roman" w:cs="Times New Roman"/>
          <w:sz w:val="24"/>
          <w:szCs w:val="24"/>
        </w:rPr>
      </w:pPr>
      <w:proofErr w:type="gramStart"/>
      <w:r w:rsidRPr="000B22BB">
        <w:rPr>
          <w:rFonts w:ascii="Times New Roman" w:eastAsia="Times New Roman" w:hAnsi="Times New Roman" w:cs="Times New Roman"/>
          <w:sz w:val="24"/>
          <w:szCs w:val="24"/>
        </w:rPr>
        <w:t>log(</w:t>
      </w:r>
      <w:proofErr w:type="gramEnd"/>
      <w:r w:rsidRPr="000B22BB">
        <w:rPr>
          <w:rFonts w:ascii="Times New Roman" w:eastAsia="Times New Roman" w:hAnsi="Times New Roman" w:cs="Times New Roman"/>
          <w:sz w:val="24"/>
          <w:szCs w:val="24"/>
        </w:rPr>
        <w:t xml:space="preserve">Pi/(Pi-1)) = β0 + β1*Total Compliance Score                          [ Eq. 1] </w:t>
      </w:r>
    </w:p>
    <w:p w:rsidR="00F94930" w:rsidRPr="000B22BB" w:rsidRDefault="00AC361C">
      <w:pPr>
        <w:spacing w:line="480" w:lineRule="auto"/>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Where Pi = probability </w:t>
      </w:r>
      <w:r w:rsidR="000D0763">
        <w:rPr>
          <w:rFonts w:ascii="Times New Roman" w:eastAsia="Times New Roman" w:hAnsi="Times New Roman" w:cs="Times New Roman"/>
          <w:sz w:val="24"/>
          <w:szCs w:val="24"/>
        </w:rPr>
        <w:t xml:space="preserve">of </w:t>
      </w:r>
      <w:r w:rsidRPr="000B22BB">
        <w:rPr>
          <w:rFonts w:ascii="Times New Roman" w:eastAsia="Times New Roman" w:hAnsi="Times New Roman" w:cs="Times New Roman"/>
          <w:sz w:val="24"/>
          <w:szCs w:val="24"/>
        </w:rPr>
        <w:t>“never inactive</w:t>
      </w:r>
      <w:proofErr w:type="gramStart"/>
      <w:r w:rsidRPr="000B22BB">
        <w:rPr>
          <w:rFonts w:ascii="Times New Roman" w:eastAsia="Times New Roman" w:hAnsi="Times New Roman" w:cs="Times New Roman"/>
          <w:sz w:val="24"/>
          <w:szCs w:val="24"/>
        </w:rPr>
        <w:t>” ;</w:t>
      </w:r>
      <w:proofErr w:type="gramEnd"/>
      <w:r w:rsidRPr="000B22BB">
        <w:rPr>
          <w:rFonts w:ascii="Times New Roman" w:eastAsia="Times New Roman" w:hAnsi="Times New Roman" w:cs="Times New Roman"/>
          <w:sz w:val="24"/>
          <w:szCs w:val="24"/>
        </w:rPr>
        <w:t xml:space="preserve"> β0= 12.3  ;  β1= -1.04</w:t>
      </w:r>
    </w:p>
    <w:p w:rsidR="00EE4712" w:rsidRDefault="00AC361C" w:rsidP="00EE4712">
      <w:pPr>
        <w:spacing w:line="480" w:lineRule="auto"/>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Other covariates (gender, member number, </w:t>
      </w:r>
      <w:r w:rsidR="000D0763">
        <w:rPr>
          <w:rFonts w:ascii="Times New Roman" w:eastAsia="Times New Roman" w:hAnsi="Times New Roman" w:cs="Times New Roman"/>
          <w:sz w:val="24"/>
          <w:szCs w:val="24"/>
        </w:rPr>
        <w:t>GPA, council</w:t>
      </w:r>
      <w:r w:rsidRPr="000B22BB">
        <w:rPr>
          <w:rFonts w:ascii="Times New Roman" w:eastAsia="Times New Roman" w:hAnsi="Times New Roman" w:cs="Times New Roman"/>
          <w:sz w:val="24"/>
          <w:szCs w:val="24"/>
        </w:rPr>
        <w:t>) and each interaction between the covariat</w:t>
      </w:r>
      <w:r w:rsidR="00EE4712">
        <w:rPr>
          <w:rFonts w:ascii="Times New Roman" w:eastAsia="Times New Roman" w:hAnsi="Times New Roman" w:cs="Times New Roman"/>
          <w:sz w:val="24"/>
          <w:szCs w:val="24"/>
        </w:rPr>
        <w:t xml:space="preserve">es was tested through multiple </w:t>
      </w:r>
      <w:r w:rsidRPr="000B22BB">
        <w:rPr>
          <w:rFonts w:ascii="Times New Roman" w:eastAsia="Times New Roman" w:hAnsi="Times New Roman" w:cs="Times New Roman"/>
          <w:sz w:val="24"/>
          <w:szCs w:val="24"/>
        </w:rPr>
        <w:t xml:space="preserve">models, but none were significant (p&lt;0.05) (Table 1). </w:t>
      </w:r>
      <w:r w:rsidR="00EE4712">
        <w:rPr>
          <w:rFonts w:ascii="Times New Roman" w:eastAsia="Times New Roman" w:hAnsi="Times New Roman" w:cs="Times New Roman"/>
          <w:sz w:val="24"/>
          <w:szCs w:val="24"/>
        </w:rPr>
        <w:t xml:space="preserve">Based on the model, organizations with lower average GPA or member numbers are not necessarily at risk for becoming inactive. Instead, the compliance scores of the organizations were the best indicator of a group that is at risk for becoming inactive. </w:t>
      </w:r>
      <w:r w:rsidRPr="000B22BB">
        <w:rPr>
          <w:rFonts w:ascii="Times New Roman" w:eastAsia="Times New Roman" w:hAnsi="Times New Roman" w:cs="Times New Roman"/>
          <w:sz w:val="24"/>
          <w:szCs w:val="24"/>
        </w:rPr>
        <w:t xml:space="preserve">Table 2 provides classification/misclassification information </w:t>
      </w:r>
      <w:r w:rsidR="000D0763">
        <w:rPr>
          <w:rFonts w:ascii="Times New Roman" w:eastAsia="Times New Roman" w:hAnsi="Times New Roman" w:cs="Times New Roman"/>
          <w:sz w:val="24"/>
          <w:szCs w:val="24"/>
        </w:rPr>
        <w:t xml:space="preserve">in the form of a confusion matrix </w:t>
      </w:r>
      <w:r w:rsidRPr="000B22BB">
        <w:rPr>
          <w:rFonts w:ascii="Times New Roman" w:eastAsia="Times New Roman" w:hAnsi="Times New Roman" w:cs="Times New Roman"/>
          <w:sz w:val="24"/>
          <w:szCs w:val="24"/>
        </w:rPr>
        <w:t>based upon a model using total compliance score as the only independent variable</w:t>
      </w:r>
      <w:r w:rsidR="000D0763">
        <w:rPr>
          <w:rFonts w:ascii="Times New Roman" w:eastAsia="Times New Roman" w:hAnsi="Times New Roman" w:cs="Times New Roman"/>
          <w:sz w:val="24"/>
          <w:szCs w:val="24"/>
        </w:rPr>
        <w:t xml:space="preserve"> (Eq. 1)</w:t>
      </w:r>
      <w:r w:rsidRPr="000B22BB">
        <w:rPr>
          <w:rFonts w:ascii="Times New Roman" w:eastAsia="Times New Roman" w:hAnsi="Times New Roman" w:cs="Times New Roman"/>
          <w:sz w:val="24"/>
          <w:szCs w:val="24"/>
        </w:rPr>
        <w:t xml:space="preserve">. The apparent error rate (APER) was calculated for this model </w:t>
      </w:r>
      <w:r w:rsidR="000D0763">
        <w:rPr>
          <w:rFonts w:ascii="Times New Roman" w:eastAsia="Times New Roman" w:hAnsi="Times New Roman" w:cs="Times New Roman"/>
          <w:sz w:val="24"/>
          <w:szCs w:val="24"/>
        </w:rPr>
        <w:t>to be</w:t>
      </w:r>
      <w:r w:rsidRPr="000B22BB">
        <w:rPr>
          <w:rFonts w:ascii="Times New Roman" w:eastAsia="Times New Roman" w:hAnsi="Times New Roman" w:cs="Times New Roman"/>
          <w:sz w:val="24"/>
          <w:szCs w:val="24"/>
        </w:rPr>
        <w:t xml:space="preserve"> 17% (10/57). </w:t>
      </w:r>
      <w:r w:rsidR="000D0763" w:rsidRPr="000D0763">
        <w:rPr>
          <w:rFonts w:ascii="Times New Roman" w:eastAsia="Times New Roman" w:hAnsi="Times New Roman" w:cs="Times New Roman"/>
          <w:color w:val="000000" w:themeColor="text1"/>
          <w:sz w:val="24"/>
          <w:szCs w:val="24"/>
        </w:rPr>
        <w:t xml:space="preserve">To test the model, scores from Greek </w:t>
      </w:r>
      <w:r w:rsidR="000D0763" w:rsidRPr="000D0763">
        <w:rPr>
          <w:rFonts w:ascii="Times New Roman" w:eastAsia="Times New Roman" w:hAnsi="Times New Roman" w:cs="Times New Roman"/>
          <w:color w:val="000000" w:themeColor="text1"/>
          <w:sz w:val="24"/>
          <w:szCs w:val="24"/>
        </w:rPr>
        <w:lastRenderedPageBreak/>
        <w:t xml:space="preserve">organizations from a different university may </w:t>
      </w:r>
      <w:r w:rsidR="00EE4712">
        <w:rPr>
          <w:rFonts w:ascii="Times New Roman" w:eastAsia="Times New Roman" w:hAnsi="Times New Roman" w:cs="Times New Roman"/>
          <w:color w:val="000000" w:themeColor="text1"/>
          <w:sz w:val="24"/>
          <w:szCs w:val="24"/>
        </w:rPr>
        <w:t xml:space="preserve">have </w:t>
      </w:r>
      <w:r w:rsidR="000D0763" w:rsidRPr="000D0763">
        <w:rPr>
          <w:rFonts w:ascii="Times New Roman" w:eastAsia="Times New Roman" w:hAnsi="Times New Roman" w:cs="Times New Roman"/>
          <w:color w:val="000000" w:themeColor="text1"/>
          <w:sz w:val="24"/>
          <w:szCs w:val="24"/>
        </w:rPr>
        <w:t>provide</w:t>
      </w:r>
      <w:r w:rsidR="00EE4712">
        <w:rPr>
          <w:rFonts w:ascii="Times New Roman" w:eastAsia="Times New Roman" w:hAnsi="Times New Roman" w:cs="Times New Roman"/>
          <w:color w:val="000000" w:themeColor="text1"/>
          <w:sz w:val="24"/>
          <w:szCs w:val="24"/>
        </w:rPr>
        <w:t>d</w:t>
      </w:r>
      <w:r w:rsidR="000D0763" w:rsidRPr="000D0763">
        <w:rPr>
          <w:rFonts w:ascii="Times New Roman" w:eastAsia="Times New Roman" w:hAnsi="Times New Roman" w:cs="Times New Roman"/>
          <w:color w:val="000000" w:themeColor="text1"/>
          <w:sz w:val="24"/>
          <w:szCs w:val="24"/>
        </w:rPr>
        <w:t xml:space="preserve"> a more accurate representation of the accuracy of the model</w:t>
      </w:r>
      <w:r w:rsidR="000D0763">
        <w:rPr>
          <w:rFonts w:ascii="Times New Roman" w:eastAsia="Times New Roman" w:hAnsi="Times New Roman" w:cs="Times New Roman"/>
          <w:color w:val="000000" w:themeColor="text1"/>
          <w:sz w:val="24"/>
          <w:szCs w:val="24"/>
        </w:rPr>
        <w:t>, but was not available for thi</w:t>
      </w:r>
      <w:r w:rsidR="00EE4712">
        <w:rPr>
          <w:rFonts w:ascii="Times New Roman" w:eastAsia="Times New Roman" w:hAnsi="Times New Roman" w:cs="Times New Roman"/>
          <w:color w:val="000000" w:themeColor="text1"/>
          <w:sz w:val="24"/>
          <w:szCs w:val="24"/>
        </w:rPr>
        <w:t>s analysis.</w:t>
      </w:r>
      <w:r w:rsidR="000D0763" w:rsidRPr="000D0763">
        <w:rPr>
          <w:rFonts w:ascii="Times New Roman" w:eastAsia="Times New Roman" w:hAnsi="Times New Roman" w:cs="Times New Roman"/>
          <w:color w:val="000000" w:themeColor="text1"/>
          <w:sz w:val="24"/>
          <w:szCs w:val="24"/>
        </w:rPr>
        <w:t xml:space="preserve"> </w:t>
      </w:r>
      <w:r w:rsidR="000D0763">
        <w:rPr>
          <w:rFonts w:ascii="Times New Roman" w:eastAsia="Times New Roman" w:hAnsi="Times New Roman" w:cs="Times New Roman"/>
          <w:sz w:val="24"/>
          <w:szCs w:val="24"/>
        </w:rPr>
        <w:t>From the confusion matrix, i</w:t>
      </w:r>
      <w:r w:rsidRPr="000B22BB">
        <w:rPr>
          <w:rFonts w:ascii="Times New Roman" w:eastAsia="Times New Roman" w:hAnsi="Times New Roman" w:cs="Times New Roman"/>
          <w:sz w:val="24"/>
          <w:szCs w:val="24"/>
        </w:rPr>
        <w:t xml:space="preserve">t appears that one source of chapters becoming inactive was addressed in the model (with low compliance scores) but this covariate could not predict the inactivity of all the inactive organizations. </w:t>
      </w:r>
      <w:r w:rsidR="000D0763">
        <w:rPr>
          <w:rFonts w:ascii="Times New Roman" w:eastAsia="Times New Roman" w:hAnsi="Times New Roman" w:cs="Times New Roman"/>
          <w:sz w:val="24"/>
          <w:szCs w:val="24"/>
        </w:rPr>
        <w:t xml:space="preserve">Of the 15 “once inactive” </w:t>
      </w:r>
      <w:r w:rsidR="00EE4712">
        <w:rPr>
          <w:rFonts w:ascii="Times New Roman" w:eastAsia="Times New Roman" w:hAnsi="Times New Roman" w:cs="Times New Roman"/>
          <w:sz w:val="24"/>
          <w:szCs w:val="24"/>
        </w:rPr>
        <w:t xml:space="preserve">organizations, </w:t>
      </w:r>
      <w:r w:rsidR="000D0763">
        <w:rPr>
          <w:rFonts w:ascii="Times New Roman" w:eastAsia="Times New Roman" w:hAnsi="Times New Roman" w:cs="Times New Roman"/>
          <w:sz w:val="24"/>
          <w:szCs w:val="24"/>
        </w:rPr>
        <w:t>only 6 were correctly predicted by the model (Eq. 1). Thus, the other 9 Greek organizations likely</w:t>
      </w:r>
      <w:r w:rsidR="00EE4712">
        <w:rPr>
          <w:rFonts w:ascii="Times New Roman" w:eastAsia="Times New Roman" w:hAnsi="Times New Roman" w:cs="Times New Roman"/>
          <w:sz w:val="24"/>
          <w:szCs w:val="24"/>
        </w:rPr>
        <w:t xml:space="preserve"> beca</w:t>
      </w:r>
      <w:r w:rsidRPr="000B22BB">
        <w:rPr>
          <w:rFonts w:ascii="Times New Roman" w:eastAsia="Times New Roman" w:hAnsi="Times New Roman" w:cs="Times New Roman"/>
          <w:sz w:val="24"/>
          <w:szCs w:val="24"/>
        </w:rPr>
        <w:t>me inactive for reasons not accounted in the variables we obtained</w:t>
      </w:r>
      <w:r w:rsidR="000D0763">
        <w:rPr>
          <w:rFonts w:ascii="Times New Roman" w:eastAsia="Times New Roman" w:hAnsi="Times New Roman" w:cs="Times New Roman"/>
          <w:sz w:val="24"/>
          <w:szCs w:val="24"/>
        </w:rPr>
        <w:t xml:space="preserve"> </w:t>
      </w:r>
      <w:r w:rsidRPr="000B22BB">
        <w:rPr>
          <w:rFonts w:ascii="Times New Roman" w:eastAsia="Times New Roman" w:hAnsi="Times New Roman" w:cs="Times New Roman"/>
          <w:sz w:val="24"/>
          <w:szCs w:val="24"/>
        </w:rPr>
        <w:t xml:space="preserve">(such as suspension for behavior). </w:t>
      </w:r>
      <w:r w:rsidR="000D0763">
        <w:rPr>
          <w:rFonts w:ascii="Times New Roman" w:eastAsia="Times New Roman" w:hAnsi="Times New Roman" w:cs="Times New Roman"/>
          <w:sz w:val="24"/>
          <w:szCs w:val="24"/>
        </w:rPr>
        <w:t xml:space="preserve">It is hypothesized that this model predicts organizations that go inactive due to lack of involvement for the members, but does not capture organizations that are suspended or expelled for behavior reasons. </w:t>
      </w:r>
      <w:r w:rsidR="00EE4712">
        <w:rPr>
          <w:rFonts w:ascii="Times New Roman" w:eastAsia="Times New Roman" w:hAnsi="Times New Roman" w:cs="Times New Roman"/>
          <w:sz w:val="24"/>
          <w:szCs w:val="24"/>
        </w:rPr>
        <w:t xml:space="preserve">For an improved model, covariates that can capture alcohol citations or other predictors relating to suspensions/expulsions should be assessed. </w:t>
      </w:r>
    </w:p>
    <w:p w:rsidR="00F94930" w:rsidRPr="000B22BB" w:rsidRDefault="00AC361C" w:rsidP="00EE4712">
      <w:pPr>
        <w:spacing w:line="480" w:lineRule="auto"/>
        <w:jc w:val="center"/>
        <w:rPr>
          <w:rFonts w:ascii="Times New Roman" w:eastAsia="Times New Roman" w:hAnsi="Times New Roman" w:cs="Times New Roman"/>
          <w:b/>
          <w:color w:val="E69138"/>
          <w:sz w:val="24"/>
          <w:szCs w:val="24"/>
        </w:rPr>
      </w:pPr>
      <w:r w:rsidRPr="000B22BB">
        <w:rPr>
          <w:rFonts w:ascii="Times New Roman" w:eastAsia="Times New Roman" w:hAnsi="Times New Roman" w:cs="Times New Roman"/>
          <w:b/>
          <w:sz w:val="24"/>
          <w:szCs w:val="24"/>
        </w:rPr>
        <w:t>Discussion</w:t>
      </w:r>
    </w:p>
    <w:p w:rsidR="00F94930" w:rsidRPr="000B22BB" w:rsidRDefault="00AC361C">
      <w:pPr>
        <w:spacing w:line="480" w:lineRule="auto"/>
        <w:ind w:firstLine="720"/>
        <w:rPr>
          <w:rFonts w:ascii="Times New Roman" w:eastAsia="Times New Roman" w:hAnsi="Times New Roman" w:cs="Times New Roman"/>
          <w:color w:val="333333"/>
          <w:sz w:val="24"/>
          <w:szCs w:val="24"/>
        </w:rPr>
      </w:pPr>
      <w:r w:rsidRPr="000B22BB">
        <w:rPr>
          <w:rFonts w:ascii="Times New Roman" w:eastAsia="Times New Roman" w:hAnsi="Times New Roman" w:cs="Times New Roman"/>
          <w:sz w:val="24"/>
          <w:szCs w:val="24"/>
        </w:rPr>
        <w:t xml:space="preserve">In testing multiple models, only the total compliant score was found to be significantly associated with the failure rates of Greek organizations, at the &lt; .05 level. These results contradict our expectations that other factors in Greek life, such as organization gender, would be significant as well. Little research has currently been conducted into correlates and predictors of failure rates in Greek organizations, though a plethora of research has found organization gender differences in alcohol and other substance use, which we would have expected to be reflected in the Greek organization failure rate. It could be that the substance use differences </w:t>
      </w:r>
      <w:r w:rsidR="00EE4712" w:rsidRPr="000B22BB">
        <w:rPr>
          <w:rFonts w:ascii="Times New Roman" w:eastAsia="Times New Roman" w:hAnsi="Times New Roman" w:cs="Times New Roman"/>
          <w:sz w:val="24"/>
          <w:szCs w:val="24"/>
        </w:rPr>
        <w:t>were</w:t>
      </w:r>
      <w:r w:rsidRPr="000B22BB">
        <w:rPr>
          <w:rFonts w:ascii="Times New Roman" w:eastAsia="Times New Roman" w:hAnsi="Times New Roman" w:cs="Times New Roman"/>
          <w:sz w:val="24"/>
          <w:szCs w:val="24"/>
        </w:rPr>
        <w:t xml:space="preserve"> captured in the “risk management” dimension of the total compliance scores, rendering the gender factor </w:t>
      </w:r>
      <w:proofErr w:type="spellStart"/>
      <w:r w:rsidRPr="000B22BB">
        <w:rPr>
          <w:rFonts w:ascii="Times New Roman" w:eastAsia="Times New Roman" w:hAnsi="Times New Roman" w:cs="Times New Roman"/>
          <w:sz w:val="24"/>
          <w:szCs w:val="24"/>
        </w:rPr>
        <w:t>nonsignificant</w:t>
      </w:r>
      <w:proofErr w:type="spellEnd"/>
      <w:r w:rsidRPr="000B22BB">
        <w:rPr>
          <w:rFonts w:ascii="Times New Roman" w:eastAsia="Times New Roman" w:hAnsi="Times New Roman" w:cs="Times New Roman"/>
          <w:sz w:val="24"/>
          <w:szCs w:val="24"/>
        </w:rPr>
        <w:t xml:space="preserve">. In order to get a better fitting model, we could have carried out a stepwise logistic regression, but again this may yield biased results since the data remains same </w:t>
      </w:r>
      <w:proofErr w:type="gramStart"/>
      <w:r w:rsidRPr="000B22BB">
        <w:rPr>
          <w:rFonts w:ascii="Times New Roman" w:eastAsia="Times New Roman" w:hAnsi="Times New Roman" w:cs="Times New Roman"/>
          <w:sz w:val="24"/>
          <w:szCs w:val="24"/>
        </w:rPr>
        <w:t>for each iteration</w:t>
      </w:r>
      <w:proofErr w:type="gramEnd"/>
      <w:r w:rsidRPr="000B22BB">
        <w:rPr>
          <w:rFonts w:ascii="Times New Roman" w:eastAsia="Times New Roman" w:hAnsi="Times New Roman" w:cs="Times New Roman"/>
          <w:sz w:val="24"/>
          <w:szCs w:val="24"/>
        </w:rPr>
        <w:t xml:space="preserve"> and the model is likely to be overly simplistic, thereby missing out on details specific to the data </w:t>
      </w:r>
      <w:r w:rsidRPr="000B22BB">
        <w:rPr>
          <w:rFonts w:ascii="Times New Roman" w:eastAsia="Times New Roman" w:hAnsi="Times New Roman" w:cs="Times New Roman"/>
          <w:sz w:val="24"/>
          <w:szCs w:val="24"/>
        </w:rPr>
        <w:lastRenderedPageBreak/>
        <w:t xml:space="preserve">that we have. Additionally, </w:t>
      </w:r>
      <w:r w:rsidRPr="000B22BB">
        <w:rPr>
          <w:rFonts w:ascii="Times New Roman" w:eastAsia="Times New Roman" w:hAnsi="Times New Roman" w:cs="Times New Roman"/>
          <w:color w:val="333333"/>
          <w:sz w:val="24"/>
          <w:szCs w:val="24"/>
        </w:rPr>
        <w:t>if two predictor variables are highly correlated, only one might end up in the model even though either may be important.</w:t>
      </w:r>
    </w:p>
    <w:p w:rsidR="00F94930" w:rsidRPr="000B22BB" w:rsidRDefault="00AC361C">
      <w:pPr>
        <w:spacing w:line="480" w:lineRule="auto"/>
        <w:ind w:firstLine="720"/>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There are two major limitations in our study. The first is that the data were aggregated to perform a cross-sectional analysis. This was necessary as the data were too imbalanced to treat longitudinally, but could have oversimplified our model, influencing our data. The second limitation is that we were unable to conduct a holdout cross-validation because the data were too limited, which could have biased our APER. However, considering how unbalanced the data are, fitting any model was a challenge and GLM was a</w:t>
      </w:r>
      <w:bookmarkStart w:id="2" w:name="_GoBack"/>
      <w:bookmarkEnd w:id="2"/>
      <w:r w:rsidRPr="000B22BB">
        <w:rPr>
          <w:rFonts w:ascii="Times New Roman" w:eastAsia="Times New Roman" w:hAnsi="Times New Roman" w:cs="Times New Roman"/>
          <w:sz w:val="24"/>
          <w:szCs w:val="24"/>
        </w:rPr>
        <w:t xml:space="preserve">ble to provide an exploratory perspective of the correlates to failure in Greek organizations. </w:t>
      </w:r>
    </w:p>
    <w:p w:rsidR="00F94930" w:rsidRPr="000B22BB" w:rsidRDefault="00F94930">
      <w:pPr>
        <w:rPr>
          <w:rFonts w:ascii="Times New Roman" w:eastAsia="Times New Roman" w:hAnsi="Times New Roman" w:cs="Times New Roman"/>
          <w:sz w:val="24"/>
          <w:szCs w:val="24"/>
        </w:rPr>
      </w:pPr>
    </w:p>
    <w:p w:rsidR="00F94930" w:rsidRPr="000B22BB" w:rsidRDefault="00F94930">
      <w:pPr>
        <w:rPr>
          <w:rFonts w:ascii="Times New Roman" w:eastAsia="Times New Roman" w:hAnsi="Times New Roman" w:cs="Times New Roman"/>
          <w:sz w:val="24"/>
          <w:szCs w:val="24"/>
        </w:rPr>
      </w:pPr>
    </w:p>
    <w:p w:rsidR="00F94930" w:rsidRPr="000B22BB" w:rsidRDefault="00F94930">
      <w:pPr>
        <w:rPr>
          <w:rFonts w:ascii="Times New Roman" w:eastAsia="Times New Roman" w:hAnsi="Times New Roman" w:cs="Times New Roman"/>
          <w:sz w:val="24"/>
          <w:szCs w:val="24"/>
        </w:rPr>
      </w:pPr>
    </w:p>
    <w:p w:rsidR="00F94930" w:rsidRPr="000B22BB" w:rsidRDefault="000B22BB">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br w:type="page"/>
      </w:r>
    </w:p>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lastRenderedPageBreak/>
        <w:t>Table 1</w:t>
      </w:r>
    </w:p>
    <w:p w:rsidR="00F94930" w:rsidRPr="000B22BB" w:rsidRDefault="00F94930">
      <w:pPr>
        <w:rPr>
          <w:rFonts w:ascii="Times New Roman" w:eastAsia="Times New Roman" w:hAnsi="Times New Roman" w:cs="Times New Roman"/>
          <w:sz w:val="24"/>
          <w:szCs w:val="24"/>
        </w:rPr>
      </w:pPr>
    </w:p>
    <w:p w:rsidR="00F94930" w:rsidRPr="000B22BB" w:rsidRDefault="00AC361C" w:rsidP="000B22BB">
      <w:pPr>
        <w:spacing w:line="240" w:lineRule="auto"/>
        <w:rPr>
          <w:rFonts w:ascii="Times New Roman" w:eastAsia="Times New Roman" w:hAnsi="Times New Roman" w:cs="Times New Roman"/>
          <w:i/>
          <w:sz w:val="24"/>
          <w:szCs w:val="24"/>
        </w:rPr>
      </w:pPr>
      <w:r w:rsidRPr="000B22BB">
        <w:rPr>
          <w:rFonts w:ascii="Times New Roman" w:eastAsia="Times New Roman" w:hAnsi="Times New Roman" w:cs="Times New Roman"/>
          <w:i/>
          <w:sz w:val="24"/>
          <w:szCs w:val="24"/>
        </w:rPr>
        <w:t xml:space="preserve">Models fit to data, quality of </w:t>
      </w:r>
      <w:proofErr w:type="gramStart"/>
      <w:r w:rsidRPr="000B22BB">
        <w:rPr>
          <w:rFonts w:ascii="Times New Roman" w:eastAsia="Times New Roman" w:hAnsi="Times New Roman" w:cs="Times New Roman"/>
          <w:i/>
          <w:sz w:val="24"/>
          <w:szCs w:val="24"/>
        </w:rPr>
        <w:t>fit,</w:t>
      </w:r>
      <w:proofErr w:type="gramEnd"/>
      <w:r w:rsidRPr="000B22BB">
        <w:rPr>
          <w:rFonts w:ascii="Times New Roman" w:eastAsia="Times New Roman" w:hAnsi="Times New Roman" w:cs="Times New Roman"/>
          <w:i/>
          <w:sz w:val="24"/>
          <w:szCs w:val="24"/>
        </w:rPr>
        <w:t xml:space="preserve"> and significant variables</w:t>
      </w:r>
    </w:p>
    <w:tbl>
      <w:tblPr>
        <w:tblStyle w:val="a"/>
        <w:tblW w:w="9360" w:type="dxa"/>
        <w:tblBorders>
          <w:top w:val="nil"/>
          <w:left w:val="nil"/>
          <w:bottom w:val="nil"/>
          <w:right w:val="nil"/>
          <w:insideH w:val="nil"/>
          <w:insideV w:val="nil"/>
        </w:tblBorders>
        <w:tblLayout w:type="fixed"/>
        <w:tblLook w:val="0600"/>
      </w:tblPr>
      <w:tblGrid>
        <w:gridCol w:w="6040"/>
        <w:gridCol w:w="909"/>
        <w:gridCol w:w="2411"/>
      </w:tblGrid>
      <w:tr w:rsidR="00F94930" w:rsidRPr="000B22BB" w:rsidTr="000B22BB">
        <w:trPr>
          <w:trHeight w:val="480"/>
        </w:trPr>
        <w:tc>
          <w:tcPr>
            <w:tcW w:w="6040" w:type="dxa"/>
            <w:tcBorders>
              <w:top w:val="single" w:sz="8" w:space="0" w:color="000000"/>
              <w:bottom w:val="single" w:sz="8" w:space="0" w:color="000000"/>
            </w:tcBorders>
            <w:tcMar>
              <w:top w:w="100" w:type="dxa"/>
              <w:left w:w="100" w:type="dxa"/>
              <w:bottom w:w="100" w:type="dxa"/>
              <w:right w:w="100" w:type="dxa"/>
            </w:tcMar>
            <w:vAlign w:val="bottom"/>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Model</w:t>
            </w:r>
          </w:p>
        </w:tc>
        <w:tc>
          <w:tcPr>
            <w:tcW w:w="909" w:type="dxa"/>
            <w:tcBorders>
              <w:top w:val="single" w:sz="8" w:space="0" w:color="000000"/>
              <w:bottom w:val="single" w:sz="8" w:space="0" w:color="000000"/>
            </w:tcBorders>
            <w:tcMar>
              <w:top w:w="100" w:type="dxa"/>
              <w:left w:w="100" w:type="dxa"/>
              <w:bottom w:w="100" w:type="dxa"/>
              <w:right w:w="100" w:type="dxa"/>
            </w:tcMar>
            <w:vAlign w:val="bottom"/>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AIC</w:t>
            </w:r>
          </w:p>
        </w:tc>
        <w:tc>
          <w:tcPr>
            <w:tcW w:w="2411" w:type="dxa"/>
            <w:tcBorders>
              <w:top w:val="single" w:sz="8" w:space="0" w:color="000000"/>
              <w:bottom w:val="single" w:sz="8" w:space="0" w:color="000000"/>
            </w:tcBorders>
            <w:tcMar>
              <w:top w:w="100" w:type="dxa"/>
              <w:left w:w="100" w:type="dxa"/>
              <w:bottom w:w="100" w:type="dxa"/>
              <w:right w:w="100" w:type="dxa"/>
            </w:tcMar>
            <w:vAlign w:val="bottom"/>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Significance</w:t>
            </w:r>
          </w:p>
        </w:tc>
      </w:tr>
      <w:tr w:rsidR="00F94930" w:rsidRPr="000B22BB" w:rsidTr="000B22BB">
        <w:trPr>
          <w:trHeight w:val="620"/>
        </w:trPr>
        <w:tc>
          <w:tcPr>
            <w:tcW w:w="6040"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Failure ~ Council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 xml:space="preserve">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 xml:space="preserve"> * </w:t>
            </w:r>
            <w:proofErr w:type="spellStart"/>
            <w:r w:rsidRPr="000B22BB">
              <w:rPr>
                <w:rFonts w:ascii="Times New Roman" w:eastAsia="Times New Roman" w:hAnsi="Times New Roman" w:cs="Times New Roman"/>
                <w:sz w:val="24"/>
                <w:szCs w:val="24"/>
              </w:rPr>
              <w:t>totalcomp</w:t>
            </w:r>
            <w:proofErr w:type="spellEnd"/>
            <w:r w:rsidRPr="000B22BB">
              <w:rPr>
                <w:rFonts w:ascii="Times New Roman" w:eastAsia="Times New Roman" w:hAnsi="Times New Roman" w:cs="Times New Roman"/>
                <w:sz w:val="24"/>
                <w:szCs w:val="24"/>
              </w:rPr>
              <w:t xml:space="preserve"> + </w:t>
            </w:r>
            <w:proofErr w:type="spellStart"/>
            <w:r w:rsidRPr="000B22BB">
              <w:rPr>
                <w:rFonts w:ascii="Times New Roman" w:eastAsia="Times New Roman" w:hAnsi="Times New Roman" w:cs="Times New Roman"/>
                <w:sz w:val="24"/>
                <w:szCs w:val="24"/>
              </w:rPr>
              <w:t>totalcomp</w:t>
            </w:r>
            <w:proofErr w:type="spellEnd"/>
          </w:p>
        </w:tc>
        <w:tc>
          <w:tcPr>
            <w:tcW w:w="909" w:type="dxa"/>
            <w:tcMar>
              <w:top w:w="100" w:type="dxa"/>
              <w:left w:w="100" w:type="dxa"/>
              <w:bottom w:w="100" w:type="dxa"/>
              <w:right w:w="100" w:type="dxa"/>
            </w:tcMar>
          </w:tcPr>
          <w:p w:rsidR="00F94930" w:rsidRPr="000B22BB" w:rsidRDefault="00AC361C">
            <w:pPr>
              <w:jc w:val="right"/>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52.118</w:t>
            </w:r>
          </w:p>
        </w:tc>
        <w:tc>
          <w:tcPr>
            <w:tcW w:w="2411"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Total Compliance</w:t>
            </w:r>
          </w:p>
        </w:tc>
      </w:tr>
      <w:tr w:rsidR="00F94930" w:rsidRPr="000B22BB" w:rsidTr="000B22BB">
        <w:trPr>
          <w:trHeight w:val="620"/>
        </w:trPr>
        <w:tc>
          <w:tcPr>
            <w:tcW w:w="6040"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Failure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 xml:space="preserve"> * Council + </w:t>
            </w:r>
            <w:proofErr w:type="spellStart"/>
            <w:r w:rsidRPr="000B22BB">
              <w:rPr>
                <w:rFonts w:ascii="Times New Roman" w:eastAsia="Times New Roman" w:hAnsi="Times New Roman" w:cs="Times New Roman"/>
                <w:sz w:val="24"/>
                <w:szCs w:val="24"/>
              </w:rPr>
              <w:t>totalcomp</w:t>
            </w:r>
            <w:proofErr w:type="spellEnd"/>
          </w:p>
        </w:tc>
        <w:tc>
          <w:tcPr>
            <w:tcW w:w="909" w:type="dxa"/>
            <w:tcMar>
              <w:top w:w="100" w:type="dxa"/>
              <w:left w:w="100" w:type="dxa"/>
              <w:bottom w:w="100" w:type="dxa"/>
              <w:right w:w="100" w:type="dxa"/>
            </w:tcMar>
          </w:tcPr>
          <w:p w:rsidR="00F94930" w:rsidRPr="000B22BB" w:rsidRDefault="00AC361C">
            <w:pPr>
              <w:jc w:val="right"/>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54.215</w:t>
            </w:r>
          </w:p>
        </w:tc>
        <w:tc>
          <w:tcPr>
            <w:tcW w:w="2411"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Total Compliance</w:t>
            </w:r>
          </w:p>
        </w:tc>
      </w:tr>
      <w:tr w:rsidR="00F94930" w:rsidRPr="000B22BB" w:rsidTr="000B22BB">
        <w:trPr>
          <w:trHeight w:val="920"/>
        </w:trPr>
        <w:tc>
          <w:tcPr>
            <w:tcW w:w="6040"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Failure ~ Council*</w:t>
            </w:r>
            <w:proofErr w:type="spellStart"/>
            <w:r w:rsidRPr="000B22BB">
              <w:rPr>
                <w:rFonts w:ascii="Times New Roman" w:eastAsia="Times New Roman" w:hAnsi="Times New Roman" w:cs="Times New Roman"/>
                <w:sz w:val="24"/>
                <w:szCs w:val="24"/>
              </w:rPr>
              <w:t>totalcomp</w:t>
            </w:r>
            <w:proofErr w:type="spellEnd"/>
            <w:r w:rsidRPr="000B22BB">
              <w:rPr>
                <w:rFonts w:ascii="Times New Roman" w:eastAsia="Times New Roman" w:hAnsi="Times New Roman" w:cs="Times New Roman"/>
                <w:sz w:val="24"/>
                <w:szCs w:val="24"/>
              </w:rPr>
              <w:t xml:space="preserve">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*Council + Council*</w:t>
            </w:r>
            <w:proofErr w:type="spellStart"/>
            <w:r w:rsidRPr="000B22BB">
              <w:rPr>
                <w:rFonts w:ascii="Times New Roman" w:eastAsia="Times New Roman" w:hAnsi="Times New Roman" w:cs="Times New Roman"/>
                <w:sz w:val="24"/>
                <w:szCs w:val="24"/>
              </w:rPr>
              <w:t>totalcomp</w:t>
            </w:r>
            <w:proofErr w:type="spellEnd"/>
            <w:r w:rsidRPr="000B22BB">
              <w:rPr>
                <w:rFonts w:ascii="Times New Roman" w:eastAsia="Times New Roman" w:hAnsi="Times New Roman" w:cs="Times New Roman"/>
                <w:sz w:val="24"/>
                <w:szCs w:val="24"/>
              </w:rPr>
              <w:t xml:space="preserve"> + Council*GPA + Council</w:t>
            </w:r>
          </w:p>
        </w:tc>
        <w:tc>
          <w:tcPr>
            <w:tcW w:w="909" w:type="dxa"/>
            <w:tcMar>
              <w:top w:w="100" w:type="dxa"/>
              <w:left w:w="100" w:type="dxa"/>
              <w:bottom w:w="100" w:type="dxa"/>
              <w:right w:w="100" w:type="dxa"/>
            </w:tcMar>
          </w:tcPr>
          <w:p w:rsidR="00F94930" w:rsidRPr="000B22BB" w:rsidRDefault="00AC361C">
            <w:pPr>
              <w:jc w:val="right"/>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55.151</w:t>
            </w:r>
          </w:p>
        </w:tc>
        <w:tc>
          <w:tcPr>
            <w:tcW w:w="2411"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Total Compliance</w:t>
            </w:r>
          </w:p>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Council*Number of Members</w:t>
            </w:r>
          </w:p>
        </w:tc>
      </w:tr>
      <w:tr w:rsidR="00F94930" w:rsidRPr="000B22BB" w:rsidTr="000B22BB">
        <w:trPr>
          <w:trHeight w:val="620"/>
        </w:trPr>
        <w:tc>
          <w:tcPr>
            <w:tcW w:w="6040"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Failure ~ </w:t>
            </w:r>
            <w:proofErr w:type="spellStart"/>
            <w:r w:rsidRPr="000B22BB">
              <w:rPr>
                <w:rFonts w:ascii="Times New Roman" w:eastAsia="Times New Roman" w:hAnsi="Times New Roman" w:cs="Times New Roman"/>
                <w:sz w:val="24"/>
                <w:szCs w:val="24"/>
              </w:rPr>
              <w:t>totalcomp</w:t>
            </w:r>
            <w:proofErr w:type="spellEnd"/>
            <w:r w:rsidRPr="000B22BB">
              <w:rPr>
                <w:rFonts w:ascii="Times New Roman" w:eastAsia="Times New Roman" w:hAnsi="Times New Roman" w:cs="Times New Roman"/>
                <w:sz w:val="24"/>
                <w:szCs w:val="24"/>
              </w:rPr>
              <w:t xml:space="preserve"> + GPA + gender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 xml:space="preserve"> + Council</w:t>
            </w:r>
          </w:p>
        </w:tc>
        <w:tc>
          <w:tcPr>
            <w:tcW w:w="909" w:type="dxa"/>
            <w:tcMar>
              <w:top w:w="100" w:type="dxa"/>
              <w:left w:w="100" w:type="dxa"/>
              <w:bottom w:w="100" w:type="dxa"/>
              <w:right w:w="100" w:type="dxa"/>
            </w:tcMar>
          </w:tcPr>
          <w:p w:rsidR="00F94930" w:rsidRPr="000B22BB" w:rsidRDefault="00AC361C">
            <w:pPr>
              <w:jc w:val="right"/>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55.933</w:t>
            </w:r>
          </w:p>
        </w:tc>
        <w:tc>
          <w:tcPr>
            <w:tcW w:w="2411"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Total Compliance</w:t>
            </w:r>
          </w:p>
        </w:tc>
      </w:tr>
      <w:tr w:rsidR="00F94930" w:rsidRPr="000B22BB" w:rsidTr="000B22BB">
        <w:trPr>
          <w:trHeight w:val="620"/>
        </w:trPr>
        <w:tc>
          <w:tcPr>
            <w:tcW w:w="6040"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Failure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 xml:space="preserve"> * Council + </w:t>
            </w:r>
            <w:proofErr w:type="spellStart"/>
            <w:r w:rsidRPr="000B22BB">
              <w:rPr>
                <w:rFonts w:ascii="Times New Roman" w:eastAsia="Times New Roman" w:hAnsi="Times New Roman" w:cs="Times New Roman"/>
                <w:sz w:val="24"/>
                <w:szCs w:val="24"/>
              </w:rPr>
              <w:t>totalcomp</w:t>
            </w:r>
            <w:proofErr w:type="spellEnd"/>
          </w:p>
        </w:tc>
        <w:tc>
          <w:tcPr>
            <w:tcW w:w="909" w:type="dxa"/>
            <w:tcMar>
              <w:top w:w="100" w:type="dxa"/>
              <w:left w:w="100" w:type="dxa"/>
              <w:bottom w:w="100" w:type="dxa"/>
              <w:right w:w="100" w:type="dxa"/>
            </w:tcMar>
          </w:tcPr>
          <w:p w:rsidR="00F94930" w:rsidRPr="000B22BB" w:rsidRDefault="00AC361C">
            <w:pPr>
              <w:jc w:val="right"/>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54.215</w:t>
            </w:r>
          </w:p>
        </w:tc>
        <w:tc>
          <w:tcPr>
            <w:tcW w:w="2411"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Total Compliance</w:t>
            </w:r>
          </w:p>
        </w:tc>
      </w:tr>
      <w:tr w:rsidR="00F94930" w:rsidRPr="000B22BB" w:rsidTr="000B22BB">
        <w:trPr>
          <w:trHeight w:val="920"/>
        </w:trPr>
        <w:tc>
          <w:tcPr>
            <w:tcW w:w="6040"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Failure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 xml:space="preserve"> * </w:t>
            </w:r>
            <w:proofErr w:type="spellStart"/>
            <w:r w:rsidRPr="000B22BB">
              <w:rPr>
                <w:rFonts w:ascii="Times New Roman" w:eastAsia="Times New Roman" w:hAnsi="Times New Roman" w:cs="Times New Roman"/>
                <w:sz w:val="24"/>
                <w:szCs w:val="24"/>
              </w:rPr>
              <w:t>totalcomp</w:t>
            </w:r>
            <w:proofErr w:type="spellEnd"/>
            <w:r w:rsidRPr="000B22BB">
              <w:rPr>
                <w:rFonts w:ascii="Times New Roman" w:eastAsia="Times New Roman" w:hAnsi="Times New Roman" w:cs="Times New Roman"/>
                <w:sz w:val="24"/>
                <w:szCs w:val="24"/>
              </w:rPr>
              <w:t xml:space="preserve">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 xml:space="preserve"> *   Council + Council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 xml:space="preserve"> + </w:t>
            </w:r>
            <w:proofErr w:type="spellStart"/>
            <w:r w:rsidRPr="000B22BB">
              <w:rPr>
                <w:rFonts w:ascii="Times New Roman" w:eastAsia="Times New Roman" w:hAnsi="Times New Roman" w:cs="Times New Roman"/>
                <w:sz w:val="24"/>
                <w:szCs w:val="24"/>
              </w:rPr>
              <w:t>member.count</w:t>
            </w:r>
            <w:proofErr w:type="spellEnd"/>
            <w:r w:rsidRPr="000B22BB">
              <w:rPr>
                <w:rFonts w:ascii="Times New Roman" w:eastAsia="Times New Roman" w:hAnsi="Times New Roman" w:cs="Times New Roman"/>
                <w:sz w:val="24"/>
                <w:szCs w:val="24"/>
              </w:rPr>
              <w:t xml:space="preserve"> * GPA + </w:t>
            </w:r>
            <w:proofErr w:type="spellStart"/>
            <w:r w:rsidRPr="000B22BB">
              <w:rPr>
                <w:rFonts w:ascii="Times New Roman" w:eastAsia="Times New Roman" w:hAnsi="Times New Roman" w:cs="Times New Roman"/>
                <w:sz w:val="24"/>
                <w:szCs w:val="24"/>
              </w:rPr>
              <w:t>member.count</w:t>
            </w:r>
            <w:proofErr w:type="spellEnd"/>
          </w:p>
        </w:tc>
        <w:tc>
          <w:tcPr>
            <w:tcW w:w="909" w:type="dxa"/>
            <w:tcMar>
              <w:top w:w="100" w:type="dxa"/>
              <w:left w:w="100" w:type="dxa"/>
              <w:bottom w:w="100" w:type="dxa"/>
              <w:right w:w="100" w:type="dxa"/>
            </w:tcMar>
          </w:tcPr>
          <w:p w:rsidR="00F94930" w:rsidRPr="000B22BB" w:rsidRDefault="00AC361C">
            <w:pPr>
              <w:jc w:val="right"/>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59.525</w:t>
            </w:r>
          </w:p>
        </w:tc>
        <w:tc>
          <w:tcPr>
            <w:tcW w:w="2411" w:type="dxa"/>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Total Compliance</w:t>
            </w:r>
          </w:p>
        </w:tc>
      </w:tr>
      <w:tr w:rsidR="00F94930" w:rsidRPr="000B22BB" w:rsidTr="000B22BB">
        <w:trPr>
          <w:trHeight w:val="920"/>
        </w:trPr>
        <w:tc>
          <w:tcPr>
            <w:tcW w:w="6040" w:type="dxa"/>
            <w:tcBorders>
              <w:bottom w:val="single" w:sz="8" w:space="0" w:color="000000"/>
            </w:tcBorders>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Failure ~ </w:t>
            </w:r>
            <w:proofErr w:type="spellStart"/>
            <w:r w:rsidRPr="000B22BB">
              <w:rPr>
                <w:rFonts w:ascii="Times New Roman" w:eastAsia="Times New Roman" w:hAnsi="Times New Roman" w:cs="Times New Roman"/>
                <w:sz w:val="24"/>
                <w:szCs w:val="24"/>
              </w:rPr>
              <w:t>totalcomp</w:t>
            </w:r>
            <w:proofErr w:type="spellEnd"/>
            <w:r w:rsidRPr="000B22BB">
              <w:rPr>
                <w:rFonts w:ascii="Times New Roman" w:eastAsia="Times New Roman" w:hAnsi="Times New Roman" w:cs="Times New Roman"/>
                <w:sz w:val="24"/>
                <w:szCs w:val="24"/>
              </w:rPr>
              <w:t xml:space="preserve"> + Council + Council * </w:t>
            </w:r>
            <w:proofErr w:type="spellStart"/>
            <w:r w:rsidRPr="000B22BB">
              <w:rPr>
                <w:rFonts w:ascii="Times New Roman" w:eastAsia="Times New Roman" w:hAnsi="Times New Roman" w:cs="Times New Roman"/>
                <w:sz w:val="24"/>
                <w:szCs w:val="24"/>
              </w:rPr>
              <w:t>totalcomp</w:t>
            </w:r>
            <w:proofErr w:type="spellEnd"/>
            <w:r w:rsidRPr="000B22BB">
              <w:rPr>
                <w:rFonts w:ascii="Times New Roman" w:eastAsia="Times New Roman" w:hAnsi="Times New Roman" w:cs="Times New Roman"/>
                <w:sz w:val="24"/>
                <w:szCs w:val="24"/>
              </w:rPr>
              <w:t xml:space="preserve"> +</w:t>
            </w:r>
            <w:proofErr w:type="spellStart"/>
            <w:r w:rsidRPr="000B22BB">
              <w:rPr>
                <w:rFonts w:ascii="Times New Roman" w:eastAsia="Times New Roman" w:hAnsi="Times New Roman" w:cs="Times New Roman"/>
                <w:sz w:val="24"/>
                <w:szCs w:val="24"/>
              </w:rPr>
              <w:t>totalcomp</w:t>
            </w:r>
            <w:proofErr w:type="spellEnd"/>
            <w:r w:rsidRPr="000B22BB">
              <w:rPr>
                <w:rFonts w:ascii="Times New Roman" w:eastAsia="Times New Roman" w:hAnsi="Times New Roman" w:cs="Times New Roman"/>
                <w:sz w:val="24"/>
                <w:szCs w:val="24"/>
              </w:rPr>
              <w:t xml:space="preserve"> * gender + GPA + gender + </w:t>
            </w:r>
            <w:proofErr w:type="spellStart"/>
            <w:r w:rsidRPr="000B22BB">
              <w:rPr>
                <w:rFonts w:ascii="Times New Roman" w:eastAsia="Times New Roman" w:hAnsi="Times New Roman" w:cs="Times New Roman"/>
                <w:sz w:val="24"/>
                <w:szCs w:val="24"/>
              </w:rPr>
              <w:t>member.count</w:t>
            </w:r>
            <w:proofErr w:type="spellEnd"/>
          </w:p>
        </w:tc>
        <w:tc>
          <w:tcPr>
            <w:tcW w:w="909" w:type="dxa"/>
            <w:tcBorders>
              <w:bottom w:val="single" w:sz="8" w:space="0" w:color="000000"/>
            </w:tcBorders>
            <w:tcMar>
              <w:top w:w="100" w:type="dxa"/>
              <w:left w:w="100" w:type="dxa"/>
              <w:bottom w:w="100" w:type="dxa"/>
              <w:right w:w="100" w:type="dxa"/>
            </w:tcMar>
          </w:tcPr>
          <w:p w:rsidR="00F94930" w:rsidRPr="000B22BB" w:rsidRDefault="00AC361C">
            <w:pPr>
              <w:jc w:val="right"/>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62.334</w:t>
            </w:r>
          </w:p>
        </w:tc>
        <w:tc>
          <w:tcPr>
            <w:tcW w:w="2411" w:type="dxa"/>
            <w:tcBorders>
              <w:bottom w:val="single" w:sz="8" w:space="0" w:color="000000"/>
            </w:tcBorders>
            <w:tcMar>
              <w:top w:w="100" w:type="dxa"/>
              <w:left w:w="100" w:type="dxa"/>
              <w:bottom w:w="100" w:type="dxa"/>
              <w:right w:w="100" w:type="dxa"/>
            </w:tcMar>
          </w:tcPr>
          <w:p w:rsidR="00F94930" w:rsidRPr="000B22BB" w:rsidRDefault="00AC361C">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ns</w:t>
            </w:r>
          </w:p>
        </w:tc>
      </w:tr>
    </w:tbl>
    <w:p w:rsidR="000B22BB" w:rsidRPr="000B22BB" w:rsidRDefault="000B22BB">
      <w:pPr>
        <w:rPr>
          <w:rFonts w:ascii="Times New Roman" w:eastAsia="Times New Roman" w:hAnsi="Times New Roman" w:cs="Times New Roman"/>
          <w:sz w:val="24"/>
          <w:szCs w:val="24"/>
        </w:rPr>
      </w:pPr>
    </w:p>
    <w:p w:rsidR="000B22BB" w:rsidRPr="000B22BB" w:rsidRDefault="000B22BB">
      <w:pPr>
        <w:rPr>
          <w:rFonts w:ascii="Times New Roman" w:eastAsia="Times New Roman" w:hAnsi="Times New Roman" w:cs="Times New Roman"/>
          <w:sz w:val="24"/>
          <w:szCs w:val="24"/>
        </w:rPr>
      </w:pPr>
    </w:p>
    <w:p w:rsidR="000B22BB" w:rsidRDefault="000B22BB">
      <w:pPr>
        <w:rPr>
          <w:rFonts w:ascii="Times New Roman" w:eastAsia="Times New Roman" w:hAnsi="Times New Roman" w:cs="Times New Roman"/>
          <w:color w:val="auto"/>
          <w:sz w:val="24"/>
          <w:szCs w:val="24"/>
        </w:rPr>
      </w:pPr>
      <w:r w:rsidRPr="000B22BB">
        <w:rPr>
          <w:rFonts w:ascii="Times New Roman" w:eastAsia="Times New Roman" w:hAnsi="Times New Roman" w:cs="Times New Roman"/>
          <w:color w:val="auto"/>
          <w:sz w:val="24"/>
          <w:szCs w:val="24"/>
        </w:rPr>
        <w:t>Table 2</w:t>
      </w:r>
    </w:p>
    <w:p w:rsidR="009F5594" w:rsidRPr="000B22BB" w:rsidRDefault="009F5594">
      <w:pPr>
        <w:rPr>
          <w:rFonts w:ascii="Times New Roman" w:eastAsia="Times New Roman" w:hAnsi="Times New Roman" w:cs="Times New Roman"/>
          <w:color w:val="auto"/>
          <w:sz w:val="24"/>
          <w:szCs w:val="24"/>
        </w:rPr>
      </w:pPr>
    </w:p>
    <w:p w:rsidR="00F94930" w:rsidRPr="000B22BB" w:rsidRDefault="000B22BB">
      <w:pPr>
        <w:rPr>
          <w:rFonts w:ascii="Times New Roman" w:eastAsia="Times New Roman" w:hAnsi="Times New Roman" w:cs="Times New Roman"/>
          <w:color w:val="auto"/>
          <w:sz w:val="24"/>
          <w:szCs w:val="24"/>
        </w:rPr>
      </w:pPr>
      <w:r w:rsidRPr="000B22BB">
        <w:rPr>
          <w:rFonts w:ascii="Times New Roman" w:eastAsia="Times New Roman" w:hAnsi="Times New Roman" w:cs="Times New Roman"/>
          <w:i/>
          <w:color w:val="auto"/>
          <w:sz w:val="24"/>
          <w:szCs w:val="24"/>
        </w:rPr>
        <w:t>Confusion Matrix for failures based on total compliance scores</w:t>
      </w:r>
      <w:commentRangeStart w:id="3"/>
      <w:commentRangeStart w:id="4"/>
      <w:r w:rsidR="00AC361C" w:rsidRPr="000B22BB">
        <w:rPr>
          <w:rFonts w:ascii="Times New Roman" w:eastAsia="Times New Roman" w:hAnsi="Times New Roman" w:cs="Times New Roman"/>
          <w:color w:val="auto"/>
          <w:sz w:val="24"/>
          <w:szCs w:val="24"/>
        </w:rPr>
        <w:t xml:space="preserve"> </w:t>
      </w:r>
      <w:commentRangeEnd w:id="3"/>
      <w:r w:rsidR="00AC361C" w:rsidRPr="000B22BB">
        <w:rPr>
          <w:rFonts w:ascii="Times New Roman" w:hAnsi="Times New Roman" w:cs="Times New Roman"/>
          <w:color w:val="auto"/>
          <w:sz w:val="24"/>
          <w:szCs w:val="24"/>
        </w:rPr>
        <w:commentReference w:id="3"/>
      </w:r>
      <w:commentRangeEnd w:id="4"/>
      <w:r w:rsidR="00AC361C" w:rsidRPr="000B22BB">
        <w:rPr>
          <w:rFonts w:ascii="Times New Roman" w:hAnsi="Times New Roman" w:cs="Times New Roman"/>
          <w:color w:val="auto"/>
          <w:sz w:val="24"/>
          <w:szCs w:val="24"/>
        </w:rPr>
        <w:commentReference w:id="4"/>
      </w:r>
    </w:p>
    <w:tbl>
      <w:tblPr>
        <w:tblStyle w:val="a0"/>
        <w:tblW w:w="5194" w:type="dxa"/>
        <w:tblInd w:w="18" w:type="dxa"/>
        <w:tblLayout w:type="fixed"/>
        <w:tblLook w:val="0600"/>
      </w:tblPr>
      <w:tblGrid>
        <w:gridCol w:w="457"/>
        <w:gridCol w:w="1091"/>
        <w:gridCol w:w="252"/>
        <w:gridCol w:w="1710"/>
        <w:gridCol w:w="1684"/>
      </w:tblGrid>
      <w:tr w:rsidR="00277B0C" w:rsidRPr="000B22BB" w:rsidTr="00277B0C">
        <w:trPr>
          <w:trHeight w:val="140"/>
        </w:trPr>
        <w:tc>
          <w:tcPr>
            <w:tcW w:w="457" w:type="dxa"/>
            <w:vMerge w:val="restart"/>
            <w:tcBorders>
              <w:top w:val="single" w:sz="4" w:space="0" w:color="auto"/>
            </w:tcBorders>
            <w:textDirection w:val="btLr"/>
          </w:tcPr>
          <w:p w:rsidR="00277B0C" w:rsidRPr="000B22BB" w:rsidRDefault="00277B0C" w:rsidP="000B22BB">
            <w:pPr>
              <w:widowControl w:val="0"/>
              <w:ind w:left="113" w:right="113"/>
              <w:rPr>
                <w:rFonts w:ascii="Times New Roman" w:eastAsia="Times New Roman" w:hAnsi="Times New Roman" w:cs="Times New Roman"/>
                <w:color w:val="6AA84F"/>
                <w:sz w:val="24"/>
                <w:szCs w:val="24"/>
              </w:rPr>
            </w:pPr>
          </w:p>
        </w:tc>
        <w:tc>
          <w:tcPr>
            <w:tcW w:w="1091" w:type="dxa"/>
            <w:tcBorders>
              <w:top w:val="single" w:sz="4" w:space="0" w:color="auto"/>
            </w:tcBorders>
            <w:tcMar>
              <w:top w:w="100" w:type="dxa"/>
              <w:left w:w="100" w:type="dxa"/>
              <w:bottom w:w="100" w:type="dxa"/>
              <w:right w:w="100" w:type="dxa"/>
            </w:tcMar>
            <w:vAlign w:val="bottom"/>
          </w:tcPr>
          <w:p w:rsidR="00277B0C" w:rsidRPr="000B22BB" w:rsidRDefault="00277B0C">
            <w:pPr>
              <w:widowControl w:val="0"/>
              <w:rPr>
                <w:rFonts w:ascii="Times New Roman" w:eastAsia="Times New Roman" w:hAnsi="Times New Roman" w:cs="Times New Roman"/>
                <w:color w:val="6AA84F"/>
                <w:sz w:val="24"/>
                <w:szCs w:val="24"/>
              </w:rPr>
            </w:pPr>
          </w:p>
        </w:tc>
        <w:tc>
          <w:tcPr>
            <w:tcW w:w="252" w:type="dxa"/>
            <w:tcBorders>
              <w:top w:val="single" w:sz="4" w:space="0" w:color="auto"/>
            </w:tcBorders>
            <w:tcMar>
              <w:top w:w="100" w:type="dxa"/>
              <w:left w:w="100" w:type="dxa"/>
              <w:bottom w:w="100" w:type="dxa"/>
              <w:right w:w="100" w:type="dxa"/>
            </w:tcMar>
            <w:vAlign w:val="bottom"/>
          </w:tcPr>
          <w:p w:rsidR="00277B0C" w:rsidRPr="000B22BB" w:rsidRDefault="00277B0C" w:rsidP="00277B0C">
            <w:pPr>
              <w:rPr>
                <w:rFonts w:ascii="Times New Roman" w:eastAsia="Times New Roman" w:hAnsi="Times New Roman" w:cs="Times New Roman"/>
                <w:sz w:val="24"/>
                <w:szCs w:val="24"/>
              </w:rPr>
            </w:pPr>
          </w:p>
        </w:tc>
        <w:tc>
          <w:tcPr>
            <w:tcW w:w="3394" w:type="dxa"/>
            <w:gridSpan w:val="2"/>
            <w:tcBorders>
              <w:top w:val="single" w:sz="4" w:space="0" w:color="auto"/>
            </w:tcBorders>
            <w:vAlign w:val="bottom"/>
          </w:tcPr>
          <w:p w:rsidR="00277B0C" w:rsidRPr="000B22BB" w:rsidRDefault="00277B0C" w:rsidP="00277B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Classified As</w:t>
            </w:r>
          </w:p>
        </w:tc>
      </w:tr>
      <w:tr w:rsidR="000B22BB" w:rsidRPr="000B22BB" w:rsidTr="00277B0C">
        <w:trPr>
          <w:trHeight w:val="146"/>
        </w:trPr>
        <w:tc>
          <w:tcPr>
            <w:tcW w:w="457" w:type="dxa"/>
            <w:vMerge/>
          </w:tcPr>
          <w:p w:rsidR="000B22BB" w:rsidRPr="000B22BB" w:rsidRDefault="000B22BB">
            <w:pPr>
              <w:rPr>
                <w:rFonts w:ascii="Times New Roman" w:eastAsia="Times New Roman" w:hAnsi="Times New Roman" w:cs="Times New Roman"/>
                <w:sz w:val="24"/>
                <w:szCs w:val="24"/>
              </w:rPr>
            </w:pPr>
          </w:p>
        </w:tc>
        <w:tc>
          <w:tcPr>
            <w:tcW w:w="1091" w:type="dxa"/>
            <w:tcBorders>
              <w:bottom w:val="single" w:sz="4" w:space="0" w:color="auto"/>
            </w:tcBorders>
            <w:tcMar>
              <w:top w:w="100" w:type="dxa"/>
              <w:left w:w="100" w:type="dxa"/>
              <w:bottom w:w="100" w:type="dxa"/>
              <w:right w:w="100" w:type="dxa"/>
            </w:tcMar>
            <w:vAlign w:val="bottom"/>
          </w:tcPr>
          <w:p w:rsidR="000B22BB" w:rsidRPr="000B22BB" w:rsidRDefault="000B22BB">
            <w:pPr>
              <w:rPr>
                <w:rFonts w:ascii="Times New Roman" w:eastAsia="Times New Roman" w:hAnsi="Times New Roman" w:cs="Times New Roman"/>
                <w:sz w:val="24"/>
                <w:szCs w:val="24"/>
              </w:rPr>
            </w:pPr>
          </w:p>
        </w:tc>
        <w:tc>
          <w:tcPr>
            <w:tcW w:w="1962" w:type="dxa"/>
            <w:gridSpan w:val="2"/>
            <w:tcBorders>
              <w:bottom w:val="single" w:sz="4" w:space="0" w:color="auto"/>
            </w:tcBorders>
            <w:tcMar>
              <w:top w:w="100" w:type="dxa"/>
              <w:left w:w="100" w:type="dxa"/>
              <w:bottom w:w="100" w:type="dxa"/>
              <w:right w:w="100" w:type="dxa"/>
            </w:tcMar>
            <w:vAlign w:val="bottom"/>
          </w:tcPr>
          <w:p w:rsidR="000B22BB" w:rsidRPr="000B22BB" w:rsidRDefault="000B22BB" w:rsidP="00277B0C">
            <w:pPr>
              <w:jc w:val="cente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Never Inactive</w:t>
            </w:r>
          </w:p>
        </w:tc>
        <w:tc>
          <w:tcPr>
            <w:tcW w:w="1684" w:type="dxa"/>
            <w:tcBorders>
              <w:bottom w:val="single" w:sz="4" w:space="0" w:color="auto"/>
            </w:tcBorders>
            <w:tcMar>
              <w:top w:w="100" w:type="dxa"/>
              <w:left w:w="100" w:type="dxa"/>
              <w:bottom w:w="100" w:type="dxa"/>
              <w:right w:w="100" w:type="dxa"/>
            </w:tcMar>
            <w:vAlign w:val="bottom"/>
          </w:tcPr>
          <w:p w:rsidR="000B22BB" w:rsidRPr="000B22BB" w:rsidRDefault="000B22BB" w:rsidP="00277B0C">
            <w:pPr>
              <w:jc w:val="cente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Failed</w:t>
            </w:r>
          </w:p>
        </w:tc>
      </w:tr>
      <w:tr w:rsidR="000B22BB" w:rsidRPr="000B22BB" w:rsidTr="00277B0C">
        <w:trPr>
          <w:trHeight w:val="425"/>
        </w:trPr>
        <w:tc>
          <w:tcPr>
            <w:tcW w:w="457" w:type="dxa"/>
            <w:vMerge w:val="restart"/>
            <w:textDirection w:val="btLr"/>
          </w:tcPr>
          <w:p w:rsidR="000B22BB" w:rsidRPr="000B22BB" w:rsidRDefault="000B22BB" w:rsidP="00277B0C">
            <w:pPr>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c>
          <w:tcPr>
            <w:tcW w:w="1091" w:type="dxa"/>
            <w:tcBorders>
              <w:top w:val="single" w:sz="4" w:space="0" w:color="auto"/>
              <w:left w:val="nil"/>
            </w:tcBorders>
            <w:tcMar>
              <w:top w:w="100" w:type="dxa"/>
              <w:left w:w="100" w:type="dxa"/>
              <w:bottom w:w="100" w:type="dxa"/>
              <w:right w:w="100" w:type="dxa"/>
            </w:tcMar>
            <w:vAlign w:val="bottom"/>
          </w:tcPr>
          <w:p w:rsidR="000B22BB" w:rsidRPr="000B22BB" w:rsidRDefault="000B22BB">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Never Inactive</w:t>
            </w:r>
          </w:p>
        </w:tc>
        <w:tc>
          <w:tcPr>
            <w:tcW w:w="1962" w:type="dxa"/>
            <w:gridSpan w:val="2"/>
            <w:tcBorders>
              <w:top w:val="single" w:sz="4" w:space="0" w:color="auto"/>
            </w:tcBorders>
            <w:tcMar>
              <w:top w:w="100" w:type="dxa"/>
              <w:left w:w="100" w:type="dxa"/>
              <w:bottom w:w="100" w:type="dxa"/>
              <w:right w:w="100" w:type="dxa"/>
            </w:tcMar>
            <w:vAlign w:val="center"/>
          </w:tcPr>
          <w:p w:rsidR="000B22BB" w:rsidRPr="000B22BB" w:rsidRDefault="000B22BB" w:rsidP="00277B0C">
            <w:pPr>
              <w:jc w:val="cente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41</w:t>
            </w:r>
          </w:p>
        </w:tc>
        <w:tc>
          <w:tcPr>
            <w:tcW w:w="1684" w:type="dxa"/>
            <w:tcBorders>
              <w:top w:val="single" w:sz="4" w:space="0" w:color="auto"/>
            </w:tcBorders>
            <w:tcMar>
              <w:top w:w="100" w:type="dxa"/>
              <w:left w:w="100" w:type="dxa"/>
              <w:bottom w:w="100" w:type="dxa"/>
              <w:right w:w="100" w:type="dxa"/>
            </w:tcMar>
            <w:vAlign w:val="center"/>
          </w:tcPr>
          <w:p w:rsidR="000B22BB" w:rsidRPr="000B22BB" w:rsidRDefault="000B22BB" w:rsidP="00277B0C">
            <w:pPr>
              <w:jc w:val="cente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1</w:t>
            </w:r>
          </w:p>
        </w:tc>
      </w:tr>
      <w:tr w:rsidR="000B22BB" w:rsidRPr="000B22BB" w:rsidTr="00277B0C">
        <w:trPr>
          <w:trHeight w:val="416"/>
        </w:trPr>
        <w:tc>
          <w:tcPr>
            <w:tcW w:w="457" w:type="dxa"/>
            <w:vMerge/>
          </w:tcPr>
          <w:p w:rsidR="000B22BB" w:rsidRPr="000B22BB" w:rsidRDefault="000B22BB">
            <w:pPr>
              <w:rPr>
                <w:rFonts w:ascii="Times New Roman" w:eastAsia="Times New Roman" w:hAnsi="Times New Roman" w:cs="Times New Roman"/>
                <w:sz w:val="24"/>
                <w:szCs w:val="24"/>
              </w:rPr>
            </w:pPr>
          </w:p>
        </w:tc>
        <w:tc>
          <w:tcPr>
            <w:tcW w:w="1091" w:type="dxa"/>
            <w:tcBorders>
              <w:left w:val="nil"/>
            </w:tcBorders>
            <w:tcMar>
              <w:top w:w="100" w:type="dxa"/>
              <w:left w:w="100" w:type="dxa"/>
              <w:bottom w:w="100" w:type="dxa"/>
              <w:right w:w="100" w:type="dxa"/>
            </w:tcMar>
            <w:vAlign w:val="bottom"/>
          </w:tcPr>
          <w:p w:rsidR="000B22BB" w:rsidRPr="000B22BB" w:rsidRDefault="000B22BB">
            <w:pP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Failed</w:t>
            </w:r>
          </w:p>
        </w:tc>
        <w:tc>
          <w:tcPr>
            <w:tcW w:w="1962" w:type="dxa"/>
            <w:gridSpan w:val="2"/>
            <w:tcMar>
              <w:top w:w="100" w:type="dxa"/>
              <w:left w:w="100" w:type="dxa"/>
              <w:bottom w:w="100" w:type="dxa"/>
              <w:right w:w="100" w:type="dxa"/>
            </w:tcMar>
            <w:vAlign w:val="center"/>
          </w:tcPr>
          <w:p w:rsidR="000B22BB" w:rsidRPr="000B22BB" w:rsidRDefault="000B22BB" w:rsidP="00277B0C">
            <w:pPr>
              <w:jc w:val="cente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9</w:t>
            </w:r>
          </w:p>
        </w:tc>
        <w:tc>
          <w:tcPr>
            <w:tcW w:w="1684" w:type="dxa"/>
            <w:tcMar>
              <w:top w:w="100" w:type="dxa"/>
              <w:left w:w="100" w:type="dxa"/>
              <w:bottom w:w="100" w:type="dxa"/>
              <w:right w:w="100" w:type="dxa"/>
            </w:tcMar>
            <w:vAlign w:val="center"/>
          </w:tcPr>
          <w:p w:rsidR="000B22BB" w:rsidRPr="000B22BB" w:rsidRDefault="000B22BB" w:rsidP="00277B0C">
            <w:pPr>
              <w:jc w:val="center"/>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6</w:t>
            </w:r>
          </w:p>
        </w:tc>
      </w:tr>
    </w:tbl>
    <w:p w:rsidR="009F5594" w:rsidRDefault="009F5594" w:rsidP="009F5594">
      <w:pPr>
        <w:rPr>
          <w:rFonts w:ascii="Times New Roman" w:eastAsia="Times New Roman" w:hAnsi="Times New Roman" w:cs="Times New Roman"/>
          <w:sz w:val="24"/>
          <w:szCs w:val="24"/>
        </w:rPr>
      </w:pPr>
    </w:p>
    <w:p w:rsidR="009F5594" w:rsidRPr="000B22BB" w:rsidRDefault="009F5594" w:rsidP="009F5594">
      <w:pPr>
        <w:spacing w:line="480" w:lineRule="auto"/>
        <w:jc w:val="center"/>
        <w:rPr>
          <w:rFonts w:ascii="Times New Roman" w:eastAsia="Times New Roman" w:hAnsi="Times New Roman" w:cs="Times New Roman"/>
          <w:b/>
          <w:color w:val="0000FF"/>
          <w:sz w:val="24"/>
          <w:szCs w:val="24"/>
        </w:rPr>
      </w:pPr>
      <w:r w:rsidRPr="000B22BB">
        <w:rPr>
          <w:rFonts w:ascii="Times New Roman" w:eastAsia="Times New Roman" w:hAnsi="Times New Roman" w:cs="Times New Roman"/>
          <w:b/>
          <w:sz w:val="24"/>
          <w:szCs w:val="24"/>
        </w:rPr>
        <w:lastRenderedPageBreak/>
        <w:t xml:space="preserve">References </w:t>
      </w:r>
    </w:p>
    <w:p w:rsidR="009F5594" w:rsidRPr="000B22BB" w:rsidRDefault="009F5594" w:rsidP="009F5594">
      <w:pPr>
        <w:spacing w:line="480" w:lineRule="auto"/>
        <w:ind w:left="810" w:hanging="810"/>
        <w:rPr>
          <w:rFonts w:ascii="Times New Roman" w:eastAsia="Times New Roman" w:hAnsi="Times New Roman" w:cs="Times New Roman"/>
          <w:sz w:val="24"/>
          <w:szCs w:val="24"/>
        </w:rPr>
      </w:pPr>
      <w:proofErr w:type="spellStart"/>
      <w:r w:rsidRPr="000B22BB">
        <w:rPr>
          <w:rFonts w:ascii="Times New Roman" w:eastAsia="Times New Roman" w:hAnsi="Times New Roman" w:cs="Times New Roman"/>
          <w:sz w:val="24"/>
          <w:szCs w:val="24"/>
        </w:rPr>
        <w:t>Barnhardt</w:t>
      </w:r>
      <w:proofErr w:type="spellEnd"/>
      <w:r w:rsidRPr="000B22BB">
        <w:rPr>
          <w:rFonts w:ascii="Times New Roman" w:eastAsia="Times New Roman" w:hAnsi="Times New Roman" w:cs="Times New Roman"/>
          <w:sz w:val="24"/>
          <w:szCs w:val="24"/>
        </w:rPr>
        <w:t xml:space="preserve"> Cassie L. (2014). </w:t>
      </w:r>
      <w:proofErr w:type="gramStart"/>
      <w:r w:rsidRPr="000B22BB">
        <w:rPr>
          <w:rFonts w:ascii="Times New Roman" w:eastAsia="Times New Roman" w:hAnsi="Times New Roman" w:cs="Times New Roman"/>
          <w:sz w:val="24"/>
          <w:szCs w:val="24"/>
        </w:rPr>
        <w:t>Fraternities and Sororities Shaping the Campus Climate of Personal and Social Responsibility.</w:t>
      </w:r>
      <w:proofErr w:type="gramEnd"/>
      <w:r w:rsidRPr="000B22BB">
        <w:rPr>
          <w:rFonts w:ascii="Times New Roman" w:eastAsia="Times New Roman" w:hAnsi="Times New Roman" w:cs="Times New Roman"/>
          <w:sz w:val="24"/>
          <w:szCs w:val="24"/>
        </w:rPr>
        <w:t xml:space="preserve"> </w:t>
      </w:r>
      <w:proofErr w:type="gramStart"/>
      <w:r w:rsidRPr="000B22BB">
        <w:rPr>
          <w:rFonts w:ascii="Times New Roman" w:eastAsia="Times New Roman" w:hAnsi="Times New Roman" w:cs="Times New Roman"/>
          <w:i/>
          <w:sz w:val="24"/>
          <w:szCs w:val="24"/>
        </w:rPr>
        <w:t>Journal of Student Affairs Research and Practice</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51</w:t>
      </w:r>
      <w:r w:rsidRPr="000B22BB">
        <w:rPr>
          <w:rFonts w:ascii="Times New Roman" w:eastAsia="Times New Roman" w:hAnsi="Times New Roman" w:cs="Times New Roman"/>
          <w:sz w:val="24"/>
          <w:szCs w:val="24"/>
        </w:rPr>
        <w:t>(2), 128.</w:t>
      </w:r>
      <w:proofErr w:type="gramEnd"/>
      <w:r w:rsidRPr="000B22BB">
        <w:rPr>
          <w:rFonts w:ascii="Times New Roman" w:eastAsia="Times New Roman" w:hAnsi="Times New Roman" w:cs="Times New Roman"/>
          <w:sz w:val="24"/>
          <w:szCs w:val="24"/>
        </w:rPr>
        <w:t xml:space="preserve"> https://doi.org/10.1515/jsarp-2014-0014</w:t>
      </w:r>
    </w:p>
    <w:p w:rsidR="009F5594" w:rsidRPr="000B22BB" w:rsidRDefault="009F5594" w:rsidP="009F5594">
      <w:pPr>
        <w:spacing w:line="480" w:lineRule="auto"/>
        <w:ind w:left="810" w:hanging="810"/>
        <w:rPr>
          <w:rFonts w:ascii="Times New Roman" w:eastAsia="Times New Roman" w:hAnsi="Times New Roman" w:cs="Times New Roman"/>
          <w:sz w:val="24"/>
          <w:szCs w:val="24"/>
        </w:rPr>
      </w:pPr>
      <w:proofErr w:type="gramStart"/>
      <w:r w:rsidRPr="000B22BB">
        <w:rPr>
          <w:rFonts w:ascii="Times New Roman" w:eastAsia="Times New Roman" w:hAnsi="Times New Roman" w:cs="Times New Roman"/>
          <w:sz w:val="24"/>
          <w:szCs w:val="24"/>
        </w:rPr>
        <w:t xml:space="preserve">Franklin, C. A., </w:t>
      </w:r>
      <w:proofErr w:type="spellStart"/>
      <w:r w:rsidRPr="000B22BB">
        <w:rPr>
          <w:rFonts w:ascii="Times New Roman" w:eastAsia="Times New Roman" w:hAnsi="Times New Roman" w:cs="Times New Roman"/>
          <w:sz w:val="24"/>
          <w:szCs w:val="24"/>
        </w:rPr>
        <w:t>Bouffard</w:t>
      </w:r>
      <w:proofErr w:type="spellEnd"/>
      <w:r w:rsidRPr="000B22BB">
        <w:rPr>
          <w:rFonts w:ascii="Times New Roman" w:eastAsia="Times New Roman" w:hAnsi="Times New Roman" w:cs="Times New Roman"/>
          <w:sz w:val="24"/>
          <w:szCs w:val="24"/>
        </w:rPr>
        <w:t>, L. A., &amp; Pratt, T. C. (2012).</w:t>
      </w:r>
      <w:proofErr w:type="gramEnd"/>
      <w:r w:rsidRPr="000B22BB">
        <w:rPr>
          <w:rFonts w:ascii="Times New Roman" w:eastAsia="Times New Roman" w:hAnsi="Times New Roman" w:cs="Times New Roman"/>
          <w:sz w:val="24"/>
          <w:szCs w:val="24"/>
        </w:rPr>
        <w:t xml:space="preserve"> Sexual Assault on the College Campus: Fraternity Affiliation, Male Peer Support, and Low Self-Control. </w:t>
      </w:r>
      <w:r w:rsidRPr="000B22BB">
        <w:rPr>
          <w:rFonts w:ascii="Times New Roman" w:eastAsia="Times New Roman" w:hAnsi="Times New Roman" w:cs="Times New Roman"/>
          <w:i/>
          <w:sz w:val="24"/>
          <w:szCs w:val="24"/>
        </w:rPr>
        <w:t>Criminal Justice and Behavior</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39</w:t>
      </w:r>
      <w:r w:rsidRPr="000B22BB">
        <w:rPr>
          <w:rFonts w:ascii="Times New Roman" w:eastAsia="Times New Roman" w:hAnsi="Times New Roman" w:cs="Times New Roman"/>
          <w:sz w:val="24"/>
          <w:szCs w:val="24"/>
        </w:rPr>
        <w:t>(11), 1457–1480. https://doi.org/10.1177/0093854812456527</w:t>
      </w:r>
    </w:p>
    <w:p w:rsidR="009F5594" w:rsidRPr="000B22BB" w:rsidRDefault="009F5594" w:rsidP="009F5594">
      <w:pPr>
        <w:spacing w:line="480" w:lineRule="auto"/>
        <w:ind w:left="810" w:hanging="810"/>
        <w:rPr>
          <w:rFonts w:ascii="Times New Roman" w:eastAsia="Times New Roman" w:hAnsi="Times New Roman" w:cs="Times New Roman"/>
          <w:sz w:val="24"/>
          <w:szCs w:val="24"/>
        </w:rPr>
      </w:pPr>
      <w:proofErr w:type="spellStart"/>
      <w:r w:rsidRPr="000B22BB">
        <w:rPr>
          <w:rFonts w:ascii="Times New Roman" w:eastAsia="Times New Roman" w:hAnsi="Times New Roman" w:cs="Times New Roman"/>
          <w:sz w:val="24"/>
          <w:szCs w:val="24"/>
        </w:rPr>
        <w:t>Hevel</w:t>
      </w:r>
      <w:proofErr w:type="spellEnd"/>
      <w:r w:rsidRPr="000B22BB">
        <w:rPr>
          <w:rFonts w:ascii="Times New Roman" w:eastAsia="Times New Roman" w:hAnsi="Times New Roman" w:cs="Times New Roman"/>
          <w:sz w:val="24"/>
          <w:szCs w:val="24"/>
        </w:rPr>
        <w:t xml:space="preserve"> Michael S., Martin </w:t>
      </w:r>
      <w:proofErr w:type="spellStart"/>
      <w:r w:rsidRPr="000B22BB">
        <w:rPr>
          <w:rFonts w:ascii="Times New Roman" w:eastAsia="Times New Roman" w:hAnsi="Times New Roman" w:cs="Times New Roman"/>
          <w:sz w:val="24"/>
          <w:szCs w:val="24"/>
        </w:rPr>
        <w:t>Georgianna</w:t>
      </w:r>
      <w:proofErr w:type="spellEnd"/>
      <w:r w:rsidRPr="000B22BB">
        <w:rPr>
          <w:rFonts w:ascii="Times New Roman" w:eastAsia="Times New Roman" w:hAnsi="Times New Roman" w:cs="Times New Roman"/>
          <w:sz w:val="24"/>
          <w:szCs w:val="24"/>
        </w:rPr>
        <w:t xml:space="preserve"> L., &amp; </w:t>
      </w:r>
      <w:proofErr w:type="spellStart"/>
      <w:r w:rsidRPr="000B22BB">
        <w:rPr>
          <w:rFonts w:ascii="Times New Roman" w:eastAsia="Times New Roman" w:hAnsi="Times New Roman" w:cs="Times New Roman"/>
          <w:sz w:val="24"/>
          <w:szCs w:val="24"/>
        </w:rPr>
        <w:t>Pascarella</w:t>
      </w:r>
      <w:proofErr w:type="spellEnd"/>
      <w:r w:rsidRPr="000B22BB">
        <w:rPr>
          <w:rFonts w:ascii="Times New Roman" w:eastAsia="Times New Roman" w:hAnsi="Times New Roman" w:cs="Times New Roman"/>
          <w:sz w:val="24"/>
          <w:szCs w:val="24"/>
        </w:rPr>
        <w:t xml:space="preserve"> Ernest T. (2014). Do Fraternities and Sororities Still Enhance Socially Responsible Leadership? Evidence </w:t>
      </w:r>
      <w:proofErr w:type="gramStart"/>
      <w:r w:rsidRPr="000B22BB">
        <w:rPr>
          <w:rFonts w:ascii="Times New Roman" w:eastAsia="Times New Roman" w:hAnsi="Times New Roman" w:cs="Times New Roman"/>
          <w:sz w:val="24"/>
          <w:szCs w:val="24"/>
        </w:rPr>
        <w:t>From</w:t>
      </w:r>
      <w:proofErr w:type="gramEnd"/>
      <w:r w:rsidRPr="000B22BB">
        <w:rPr>
          <w:rFonts w:ascii="Times New Roman" w:eastAsia="Times New Roman" w:hAnsi="Times New Roman" w:cs="Times New Roman"/>
          <w:sz w:val="24"/>
          <w:szCs w:val="24"/>
        </w:rPr>
        <w:t xml:space="preserve"> the Fourth Year of College. </w:t>
      </w:r>
      <w:proofErr w:type="gramStart"/>
      <w:r w:rsidRPr="000B22BB">
        <w:rPr>
          <w:rFonts w:ascii="Times New Roman" w:eastAsia="Times New Roman" w:hAnsi="Times New Roman" w:cs="Times New Roman"/>
          <w:i/>
          <w:sz w:val="24"/>
          <w:szCs w:val="24"/>
        </w:rPr>
        <w:t>Journal of Student Affairs Research and Practice</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51</w:t>
      </w:r>
      <w:r w:rsidRPr="000B22BB">
        <w:rPr>
          <w:rFonts w:ascii="Times New Roman" w:eastAsia="Times New Roman" w:hAnsi="Times New Roman" w:cs="Times New Roman"/>
          <w:sz w:val="24"/>
          <w:szCs w:val="24"/>
        </w:rPr>
        <w:t>(3), 233.</w:t>
      </w:r>
      <w:proofErr w:type="gramEnd"/>
      <w:r w:rsidRPr="000B22BB">
        <w:rPr>
          <w:rFonts w:ascii="Times New Roman" w:eastAsia="Times New Roman" w:hAnsi="Times New Roman" w:cs="Times New Roman"/>
          <w:sz w:val="24"/>
          <w:szCs w:val="24"/>
        </w:rPr>
        <w:t xml:space="preserve"> https://doi.org/10.1515/jsarp-2014-0025</w:t>
      </w:r>
    </w:p>
    <w:p w:rsidR="009F5594" w:rsidRPr="000B22BB" w:rsidRDefault="009F5594" w:rsidP="009F5594">
      <w:pPr>
        <w:spacing w:line="480" w:lineRule="auto"/>
        <w:ind w:left="810" w:hanging="810"/>
        <w:rPr>
          <w:rFonts w:ascii="Times New Roman" w:eastAsia="Times New Roman" w:hAnsi="Times New Roman" w:cs="Times New Roman"/>
          <w:sz w:val="24"/>
          <w:szCs w:val="24"/>
        </w:rPr>
      </w:pPr>
      <w:proofErr w:type="spellStart"/>
      <w:proofErr w:type="gramStart"/>
      <w:r w:rsidRPr="000B22BB">
        <w:rPr>
          <w:rFonts w:ascii="Times New Roman" w:eastAsia="Times New Roman" w:hAnsi="Times New Roman" w:cs="Times New Roman"/>
          <w:sz w:val="24"/>
          <w:szCs w:val="24"/>
        </w:rPr>
        <w:t>Kingree</w:t>
      </w:r>
      <w:proofErr w:type="spellEnd"/>
      <w:r w:rsidRPr="000B22BB">
        <w:rPr>
          <w:rFonts w:ascii="Times New Roman" w:eastAsia="Times New Roman" w:hAnsi="Times New Roman" w:cs="Times New Roman"/>
          <w:sz w:val="24"/>
          <w:szCs w:val="24"/>
        </w:rPr>
        <w:t>, J. B., &amp; Thompson, M. P. (2013).</w:t>
      </w:r>
      <w:proofErr w:type="gramEnd"/>
      <w:r w:rsidRPr="000B22BB">
        <w:rPr>
          <w:rFonts w:ascii="Times New Roman" w:eastAsia="Times New Roman" w:hAnsi="Times New Roman" w:cs="Times New Roman"/>
          <w:sz w:val="24"/>
          <w:szCs w:val="24"/>
        </w:rPr>
        <w:t xml:space="preserve"> Fraternity Membership and Sexual Aggression: An Examination of Mediators of the Association. </w:t>
      </w:r>
      <w:r w:rsidRPr="000B22BB">
        <w:rPr>
          <w:rFonts w:ascii="Times New Roman" w:eastAsia="Times New Roman" w:hAnsi="Times New Roman" w:cs="Times New Roman"/>
          <w:i/>
          <w:sz w:val="24"/>
          <w:szCs w:val="24"/>
        </w:rPr>
        <w:t>Journal of American College Health</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61</w:t>
      </w:r>
      <w:r w:rsidRPr="000B22BB">
        <w:rPr>
          <w:rFonts w:ascii="Times New Roman" w:eastAsia="Times New Roman" w:hAnsi="Times New Roman" w:cs="Times New Roman"/>
          <w:sz w:val="24"/>
          <w:szCs w:val="24"/>
        </w:rPr>
        <w:t>(4), 213–221.</w:t>
      </w:r>
    </w:p>
    <w:p w:rsidR="009F5594" w:rsidRPr="000B22BB" w:rsidRDefault="009F5594" w:rsidP="009F5594">
      <w:pPr>
        <w:spacing w:line="480" w:lineRule="auto"/>
        <w:ind w:left="810" w:hanging="810"/>
        <w:rPr>
          <w:rFonts w:ascii="Times New Roman" w:eastAsia="Times New Roman" w:hAnsi="Times New Roman" w:cs="Times New Roman"/>
          <w:sz w:val="24"/>
          <w:szCs w:val="24"/>
        </w:rPr>
      </w:pPr>
      <w:r w:rsidRPr="000B22BB">
        <w:rPr>
          <w:rFonts w:ascii="Times New Roman" w:eastAsia="Times New Roman" w:hAnsi="Times New Roman" w:cs="Times New Roman"/>
          <w:sz w:val="24"/>
          <w:szCs w:val="24"/>
        </w:rPr>
        <w:t xml:space="preserve">Long, L. D. (2012). UNCHALLENGED, PROFESSED CORE VALUES: Do Undergraduate Fraternity/Sorority Members Actually Benefit in the Areas of Scholarship, Leadership, Service, and Friendship? </w:t>
      </w:r>
      <w:r w:rsidRPr="000B22BB">
        <w:rPr>
          <w:rFonts w:ascii="Times New Roman" w:eastAsia="Times New Roman" w:hAnsi="Times New Roman" w:cs="Times New Roman"/>
          <w:i/>
          <w:sz w:val="24"/>
          <w:szCs w:val="24"/>
        </w:rPr>
        <w:t>College Student Affairs Journal</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30</w:t>
      </w:r>
      <w:r w:rsidRPr="000B22BB">
        <w:rPr>
          <w:rFonts w:ascii="Times New Roman" w:eastAsia="Times New Roman" w:hAnsi="Times New Roman" w:cs="Times New Roman"/>
          <w:sz w:val="24"/>
          <w:szCs w:val="24"/>
        </w:rPr>
        <w:t>(2), 15–30</w:t>
      </w:r>
      <w:proofErr w:type="gramStart"/>
      <w:r w:rsidRPr="000B22BB">
        <w:rPr>
          <w:rFonts w:ascii="Times New Roman" w:eastAsia="Times New Roman" w:hAnsi="Times New Roman" w:cs="Times New Roman"/>
          <w:sz w:val="24"/>
          <w:szCs w:val="24"/>
        </w:rPr>
        <w:t>,92</w:t>
      </w:r>
      <w:proofErr w:type="gramEnd"/>
      <w:r w:rsidRPr="000B22BB">
        <w:rPr>
          <w:rFonts w:ascii="Times New Roman" w:eastAsia="Times New Roman" w:hAnsi="Times New Roman" w:cs="Times New Roman"/>
          <w:sz w:val="24"/>
          <w:szCs w:val="24"/>
        </w:rPr>
        <w:t>.</w:t>
      </w:r>
    </w:p>
    <w:p w:rsidR="009F5594" w:rsidRPr="000B22BB" w:rsidRDefault="009F5594" w:rsidP="009F5594">
      <w:pPr>
        <w:spacing w:line="480" w:lineRule="auto"/>
        <w:ind w:left="810" w:hanging="810"/>
        <w:rPr>
          <w:rFonts w:ascii="Times New Roman" w:eastAsia="Times New Roman" w:hAnsi="Times New Roman" w:cs="Times New Roman"/>
          <w:sz w:val="24"/>
          <w:szCs w:val="24"/>
        </w:rPr>
      </w:pPr>
      <w:proofErr w:type="gramStart"/>
      <w:r w:rsidRPr="000B22BB">
        <w:rPr>
          <w:rFonts w:ascii="Times New Roman" w:eastAsia="Times New Roman" w:hAnsi="Times New Roman" w:cs="Times New Roman"/>
          <w:sz w:val="24"/>
          <w:szCs w:val="24"/>
        </w:rPr>
        <w:t xml:space="preserve">Martin, G. L., </w:t>
      </w:r>
      <w:proofErr w:type="spellStart"/>
      <w:r w:rsidRPr="000B22BB">
        <w:rPr>
          <w:rFonts w:ascii="Times New Roman" w:eastAsia="Times New Roman" w:hAnsi="Times New Roman" w:cs="Times New Roman"/>
          <w:sz w:val="24"/>
          <w:szCs w:val="24"/>
        </w:rPr>
        <w:t>Hevel</w:t>
      </w:r>
      <w:proofErr w:type="spellEnd"/>
      <w:r w:rsidRPr="000B22BB">
        <w:rPr>
          <w:rFonts w:ascii="Times New Roman" w:eastAsia="Times New Roman" w:hAnsi="Times New Roman" w:cs="Times New Roman"/>
          <w:sz w:val="24"/>
          <w:szCs w:val="24"/>
        </w:rPr>
        <w:t xml:space="preserve">, M. S., </w:t>
      </w:r>
      <w:proofErr w:type="spellStart"/>
      <w:r w:rsidRPr="000B22BB">
        <w:rPr>
          <w:rFonts w:ascii="Times New Roman" w:eastAsia="Times New Roman" w:hAnsi="Times New Roman" w:cs="Times New Roman"/>
          <w:sz w:val="24"/>
          <w:szCs w:val="24"/>
        </w:rPr>
        <w:t>Asel</w:t>
      </w:r>
      <w:proofErr w:type="spellEnd"/>
      <w:r w:rsidRPr="000B22BB">
        <w:rPr>
          <w:rFonts w:ascii="Times New Roman" w:eastAsia="Times New Roman" w:hAnsi="Times New Roman" w:cs="Times New Roman"/>
          <w:sz w:val="24"/>
          <w:szCs w:val="24"/>
        </w:rPr>
        <w:t xml:space="preserve">, A. M., &amp; </w:t>
      </w:r>
      <w:proofErr w:type="spellStart"/>
      <w:r w:rsidRPr="000B22BB">
        <w:rPr>
          <w:rFonts w:ascii="Times New Roman" w:eastAsia="Times New Roman" w:hAnsi="Times New Roman" w:cs="Times New Roman"/>
          <w:sz w:val="24"/>
          <w:szCs w:val="24"/>
        </w:rPr>
        <w:t>Pascarella</w:t>
      </w:r>
      <w:proofErr w:type="spellEnd"/>
      <w:r w:rsidRPr="000B22BB">
        <w:rPr>
          <w:rFonts w:ascii="Times New Roman" w:eastAsia="Times New Roman" w:hAnsi="Times New Roman" w:cs="Times New Roman"/>
          <w:sz w:val="24"/>
          <w:szCs w:val="24"/>
        </w:rPr>
        <w:t>, E. T. (2011).</w:t>
      </w:r>
      <w:proofErr w:type="gramEnd"/>
      <w:r w:rsidRPr="000B22BB">
        <w:rPr>
          <w:rFonts w:ascii="Times New Roman" w:eastAsia="Times New Roman" w:hAnsi="Times New Roman" w:cs="Times New Roman"/>
          <w:sz w:val="24"/>
          <w:szCs w:val="24"/>
        </w:rPr>
        <w:t xml:space="preserve"> </w:t>
      </w:r>
      <w:proofErr w:type="gramStart"/>
      <w:r w:rsidRPr="000B22BB">
        <w:rPr>
          <w:rFonts w:ascii="Times New Roman" w:eastAsia="Times New Roman" w:hAnsi="Times New Roman" w:cs="Times New Roman"/>
          <w:sz w:val="24"/>
          <w:szCs w:val="24"/>
        </w:rPr>
        <w:t>New evidence on the effects of fraternity and sorority affiliation during the first year of college.</w:t>
      </w:r>
      <w:proofErr w:type="gramEnd"/>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Journal of College Student Development</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52</w:t>
      </w:r>
      <w:r w:rsidRPr="000B22BB">
        <w:rPr>
          <w:rFonts w:ascii="Times New Roman" w:eastAsia="Times New Roman" w:hAnsi="Times New Roman" w:cs="Times New Roman"/>
          <w:sz w:val="24"/>
          <w:szCs w:val="24"/>
        </w:rPr>
        <w:t>(5), 543–559.</w:t>
      </w:r>
    </w:p>
    <w:p w:rsidR="009F5594" w:rsidRPr="000B22BB" w:rsidRDefault="009F5594" w:rsidP="009F5594">
      <w:pPr>
        <w:spacing w:line="480" w:lineRule="auto"/>
        <w:ind w:left="720" w:hanging="720"/>
        <w:rPr>
          <w:rFonts w:ascii="Times New Roman" w:eastAsia="Times New Roman" w:hAnsi="Times New Roman" w:cs="Times New Roman"/>
          <w:sz w:val="24"/>
          <w:szCs w:val="24"/>
        </w:rPr>
      </w:pPr>
      <w:proofErr w:type="gramStart"/>
      <w:r w:rsidRPr="000B22BB">
        <w:rPr>
          <w:rFonts w:ascii="Times New Roman" w:eastAsia="Times New Roman" w:hAnsi="Times New Roman" w:cs="Times New Roman"/>
          <w:sz w:val="24"/>
          <w:szCs w:val="24"/>
        </w:rPr>
        <w:t xml:space="preserve">Martin, G. L., </w:t>
      </w:r>
      <w:proofErr w:type="spellStart"/>
      <w:r w:rsidRPr="000B22BB">
        <w:rPr>
          <w:rFonts w:ascii="Times New Roman" w:eastAsia="Times New Roman" w:hAnsi="Times New Roman" w:cs="Times New Roman"/>
          <w:sz w:val="24"/>
          <w:szCs w:val="24"/>
        </w:rPr>
        <w:t>Hevel</w:t>
      </w:r>
      <w:proofErr w:type="spellEnd"/>
      <w:r w:rsidRPr="000B22BB">
        <w:rPr>
          <w:rFonts w:ascii="Times New Roman" w:eastAsia="Times New Roman" w:hAnsi="Times New Roman" w:cs="Times New Roman"/>
          <w:sz w:val="24"/>
          <w:szCs w:val="24"/>
        </w:rPr>
        <w:t xml:space="preserve">, M. S., &amp; </w:t>
      </w:r>
      <w:proofErr w:type="spellStart"/>
      <w:r w:rsidRPr="000B22BB">
        <w:rPr>
          <w:rFonts w:ascii="Times New Roman" w:eastAsia="Times New Roman" w:hAnsi="Times New Roman" w:cs="Times New Roman"/>
          <w:sz w:val="24"/>
          <w:szCs w:val="24"/>
        </w:rPr>
        <w:t>Pascarella</w:t>
      </w:r>
      <w:proofErr w:type="spellEnd"/>
      <w:r w:rsidRPr="000B22BB">
        <w:rPr>
          <w:rFonts w:ascii="Times New Roman" w:eastAsia="Times New Roman" w:hAnsi="Times New Roman" w:cs="Times New Roman"/>
          <w:sz w:val="24"/>
          <w:szCs w:val="24"/>
        </w:rPr>
        <w:t>, E. T. (2012).</w:t>
      </w:r>
      <w:proofErr w:type="gramEnd"/>
      <w:r w:rsidRPr="000B22BB">
        <w:rPr>
          <w:rFonts w:ascii="Times New Roman" w:eastAsia="Times New Roman" w:hAnsi="Times New Roman" w:cs="Times New Roman"/>
          <w:sz w:val="24"/>
          <w:szCs w:val="24"/>
        </w:rPr>
        <w:t xml:space="preserve"> Do Fraternities and Sororities Enhance Socially Responsible Leadership? </w:t>
      </w:r>
      <w:r w:rsidRPr="000B22BB">
        <w:rPr>
          <w:rFonts w:ascii="Times New Roman" w:eastAsia="Times New Roman" w:hAnsi="Times New Roman" w:cs="Times New Roman"/>
          <w:i/>
          <w:sz w:val="24"/>
          <w:szCs w:val="24"/>
        </w:rPr>
        <w:t>Journal of Student Affairs Research and Practice</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49</w:t>
      </w:r>
      <w:r w:rsidRPr="000B22BB">
        <w:rPr>
          <w:rFonts w:ascii="Times New Roman" w:eastAsia="Times New Roman" w:hAnsi="Times New Roman" w:cs="Times New Roman"/>
          <w:sz w:val="24"/>
          <w:szCs w:val="24"/>
        </w:rPr>
        <w:t>(3), 267–284. https://doi.org/10.1515/jsarp-2012-6245</w:t>
      </w:r>
    </w:p>
    <w:p w:rsidR="009F5594" w:rsidRPr="000B22BB" w:rsidRDefault="009F5594" w:rsidP="009F5594">
      <w:pPr>
        <w:spacing w:line="480" w:lineRule="auto"/>
        <w:ind w:left="720" w:hanging="720"/>
        <w:rPr>
          <w:rFonts w:ascii="Times New Roman" w:eastAsia="Times New Roman" w:hAnsi="Times New Roman" w:cs="Times New Roman"/>
          <w:sz w:val="24"/>
          <w:szCs w:val="24"/>
        </w:rPr>
      </w:pPr>
      <w:proofErr w:type="gramStart"/>
      <w:r w:rsidRPr="000B22BB">
        <w:rPr>
          <w:rFonts w:ascii="Times New Roman" w:eastAsia="Times New Roman" w:hAnsi="Times New Roman" w:cs="Times New Roman"/>
          <w:sz w:val="24"/>
          <w:szCs w:val="24"/>
        </w:rPr>
        <w:lastRenderedPageBreak/>
        <w:t>McClain, M.-C.</w:t>
      </w:r>
      <w:proofErr w:type="gramEnd"/>
      <w:r w:rsidRPr="000B22BB">
        <w:rPr>
          <w:rFonts w:ascii="Times New Roman" w:eastAsia="Times New Roman" w:hAnsi="Times New Roman" w:cs="Times New Roman"/>
          <w:sz w:val="24"/>
          <w:szCs w:val="24"/>
        </w:rPr>
        <w:t xml:space="preserve"> </w:t>
      </w:r>
      <w:proofErr w:type="gramStart"/>
      <w:r w:rsidRPr="000B22BB">
        <w:rPr>
          <w:rFonts w:ascii="Times New Roman" w:eastAsia="Times New Roman" w:hAnsi="Times New Roman" w:cs="Times New Roman"/>
          <w:sz w:val="24"/>
          <w:szCs w:val="24"/>
        </w:rPr>
        <w:t>(2017). Impact of Greek Life Membership on Vocational Identity, Career Self-Efficacy, and Goal Instability of College Students.</w:t>
      </w:r>
      <w:proofErr w:type="gramEnd"/>
      <w:r w:rsidRPr="000B22BB">
        <w:rPr>
          <w:rFonts w:ascii="Times New Roman" w:eastAsia="Times New Roman" w:hAnsi="Times New Roman" w:cs="Times New Roman"/>
          <w:sz w:val="24"/>
          <w:szCs w:val="24"/>
        </w:rPr>
        <w:t xml:space="preserve"> Retrieved from http://diginole.lib.fsu.edu/islandora/object/fsu%3A254467/</w:t>
      </w:r>
    </w:p>
    <w:p w:rsidR="009F5594" w:rsidRPr="000B22BB" w:rsidRDefault="009F5594" w:rsidP="009F5594">
      <w:pPr>
        <w:spacing w:line="480" w:lineRule="auto"/>
        <w:ind w:left="720" w:hanging="720"/>
        <w:rPr>
          <w:rFonts w:ascii="Times New Roman" w:eastAsia="Times New Roman" w:hAnsi="Times New Roman" w:cs="Times New Roman"/>
          <w:sz w:val="24"/>
          <w:szCs w:val="24"/>
        </w:rPr>
      </w:pPr>
      <w:proofErr w:type="spellStart"/>
      <w:r w:rsidRPr="000B22BB">
        <w:rPr>
          <w:rFonts w:ascii="Times New Roman" w:eastAsia="Times New Roman" w:hAnsi="Times New Roman" w:cs="Times New Roman"/>
          <w:sz w:val="24"/>
          <w:szCs w:val="24"/>
        </w:rPr>
        <w:t>Phua</w:t>
      </w:r>
      <w:proofErr w:type="spellEnd"/>
      <w:r w:rsidRPr="000B22BB">
        <w:rPr>
          <w:rFonts w:ascii="Times New Roman" w:eastAsia="Times New Roman" w:hAnsi="Times New Roman" w:cs="Times New Roman"/>
          <w:sz w:val="24"/>
          <w:szCs w:val="24"/>
        </w:rPr>
        <w:t xml:space="preserve">, J. (2011). The influence of peer norms and popularity on smoking and drinking behavior among college fraternity members: A social network analysis. </w:t>
      </w:r>
      <w:r w:rsidRPr="000B22BB">
        <w:rPr>
          <w:rFonts w:ascii="Times New Roman" w:eastAsia="Times New Roman" w:hAnsi="Times New Roman" w:cs="Times New Roman"/>
          <w:i/>
          <w:sz w:val="24"/>
          <w:szCs w:val="24"/>
        </w:rPr>
        <w:t>Social Influence</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6</w:t>
      </w:r>
      <w:r w:rsidRPr="000B22BB">
        <w:rPr>
          <w:rFonts w:ascii="Times New Roman" w:eastAsia="Times New Roman" w:hAnsi="Times New Roman" w:cs="Times New Roman"/>
          <w:sz w:val="24"/>
          <w:szCs w:val="24"/>
        </w:rPr>
        <w:t>(3), 153–168.</w:t>
      </w:r>
    </w:p>
    <w:p w:rsidR="009F5594" w:rsidRPr="000B22BB" w:rsidRDefault="009F5594" w:rsidP="009F5594">
      <w:pPr>
        <w:spacing w:line="480" w:lineRule="auto"/>
        <w:ind w:left="720" w:hanging="720"/>
        <w:rPr>
          <w:rFonts w:ascii="Times New Roman" w:eastAsia="Times New Roman" w:hAnsi="Times New Roman" w:cs="Times New Roman"/>
          <w:sz w:val="24"/>
          <w:szCs w:val="24"/>
        </w:rPr>
      </w:pPr>
      <w:proofErr w:type="gramStart"/>
      <w:r w:rsidRPr="000B22BB">
        <w:rPr>
          <w:rFonts w:ascii="Times New Roman" w:eastAsia="Times New Roman" w:hAnsi="Times New Roman" w:cs="Times New Roman"/>
          <w:sz w:val="24"/>
          <w:szCs w:val="24"/>
        </w:rPr>
        <w:t xml:space="preserve">Ragsdale, K., Porter, J. R., Mathews, R., White, A., Gore-Felton, C., &amp; </w:t>
      </w:r>
      <w:proofErr w:type="spellStart"/>
      <w:r w:rsidRPr="000B22BB">
        <w:rPr>
          <w:rFonts w:ascii="Times New Roman" w:eastAsia="Times New Roman" w:hAnsi="Times New Roman" w:cs="Times New Roman"/>
          <w:sz w:val="24"/>
          <w:szCs w:val="24"/>
        </w:rPr>
        <w:t>McGarvey</w:t>
      </w:r>
      <w:proofErr w:type="spellEnd"/>
      <w:r w:rsidRPr="000B22BB">
        <w:rPr>
          <w:rFonts w:ascii="Times New Roman" w:eastAsia="Times New Roman" w:hAnsi="Times New Roman" w:cs="Times New Roman"/>
          <w:sz w:val="24"/>
          <w:szCs w:val="24"/>
        </w:rPr>
        <w:t>, E. L. (2012).</w:t>
      </w:r>
      <w:proofErr w:type="gramEnd"/>
      <w:r w:rsidRPr="000B22BB">
        <w:rPr>
          <w:rFonts w:ascii="Times New Roman" w:eastAsia="Times New Roman" w:hAnsi="Times New Roman" w:cs="Times New Roman"/>
          <w:sz w:val="24"/>
          <w:szCs w:val="24"/>
        </w:rPr>
        <w:t xml:space="preserve"> “Liquor before beer, you’re in the clear”: Binge drinking and other risk </w:t>
      </w:r>
      <w:proofErr w:type="spellStart"/>
      <w:r w:rsidRPr="000B22BB">
        <w:rPr>
          <w:rFonts w:ascii="Times New Roman" w:eastAsia="Times New Roman" w:hAnsi="Times New Roman" w:cs="Times New Roman"/>
          <w:sz w:val="24"/>
          <w:szCs w:val="24"/>
        </w:rPr>
        <w:t>behaviours</w:t>
      </w:r>
      <w:proofErr w:type="spellEnd"/>
      <w:r w:rsidRPr="000B22BB">
        <w:rPr>
          <w:rFonts w:ascii="Times New Roman" w:eastAsia="Times New Roman" w:hAnsi="Times New Roman" w:cs="Times New Roman"/>
          <w:sz w:val="24"/>
          <w:szCs w:val="24"/>
        </w:rPr>
        <w:t xml:space="preserve"> among fraternity/sorority members and their non-Greek peers. </w:t>
      </w:r>
      <w:r w:rsidRPr="000B22BB">
        <w:rPr>
          <w:rFonts w:ascii="Times New Roman" w:eastAsia="Times New Roman" w:hAnsi="Times New Roman" w:cs="Times New Roman"/>
          <w:i/>
          <w:sz w:val="24"/>
          <w:szCs w:val="24"/>
        </w:rPr>
        <w:t>Journal of Substance Use</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17</w:t>
      </w:r>
      <w:r w:rsidRPr="000B22BB">
        <w:rPr>
          <w:rFonts w:ascii="Times New Roman" w:eastAsia="Times New Roman" w:hAnsi="Times New Roman" w:cs="Times New Roman"/>
          <w:sz w:val="24"/>
          <w:szCs w:val="24"/>
        </w:rPr>
        <w:t>(4), 323–339.</w:t>
      </w:r>
    </w:p>
    <w:p w:rsidR="009F5594" w:rsidRPr="000B22BB" w:rsidRDefault="009F5594" w:rsidP="009F5594">
      <w:pPr>
        <w:spacing w:line="480" w:lineRule="auto"/>
        <w:ind w:left="720" w:hanging="720"/>
        <w:rPr>
          <w:rFonts w:ascii="Times New Roman" w:eastAsia="Times New Roman" w:hAnsi="Times New Roman" w:cs="Times New Roman"/>
          <w:sz w:val="24"/>
          <w:szCs w:val="24"/>
        </w:rPr>
      </w:pPr>
      <w:proofErr w:type="spellStart"/>
      <w:proofErr w:type="gramStart"/>
      <w:r w:rsidRPr="000B22BB">
        <w:rPr>
          <w:rFonts w:ascii="Times New Roman" w:eastAsia="Times New Roman" w:hAnsi="Times New Roman" w:cs="Times New Roman"/>
          <w:sz w:val="24"/>
          <w:szCs w:val="24"/>
        </w:rPr>
        <w:t>Routon</w:t>
      </w:r>
      <w:proofErr w:type="spellEnd"/>
      <w:r w:rsidRPr="000B22BB">
        <w:rPr>
          <w:rFonts w:ascii="Times New Roman" w:eastAsia="Times New Roman" w:hAnsi="Times New Roman" w:cs="Times New Roman"/>
          <w:sz w:val="24"/>
          <w:szCs w:val="24"/>
        </w:rPr>
        <w:t>, P. W., &amp; Walker, J. K. (2014).</w:t>
      </w:r>
      <w:proofErr w:type="gramEnd"/>
      <w:r w:rsidRPr="000B22BB">
        <w:rPr>
          <w:rFonts w:ascii="Times New Roman" w:eastAsia="Times New Roman" w:hAnsi="Times New Roman" w:cs="Times New Roman"/>
          <w:sz w:val="24"/>
          <w:szCs w:val="24"/>
        </w:rPr>
        <w:t xml:space="preserve"> The impact of Greek organization membership on collegiate outcomes: Evidence from a National Survey. </w:t>
      </w:r>
      <w:r w:rsidRPr="000B22BB">
        <w:rPr>
          <w:rFonts w:ascii="Times New Roman" w:eastAsia="Times New Roman" w:hAnsi="Times New Roman" w:cs="Times New Roman"/>
          <w:i/>
          <w:sz w:val="24"/>
          <w:szCs w:val="24"/>
        </w:rPr>
        <w:t>Journal of Behavioral and Experimental Economics</w:t>
      </w:r>
      <w:r w:rsidRPr="000B22BB">
        <w:rPr>
          <w:rFonts w:ascii="Times New Roman" w:eastAsia="Times New Roman" w:hAnsi="Times New Roman" w:cs="Times New Roman"/>
          <w:sz w:val="24"/>
          <w:szCs w:val="24"/>
        </w:rPr>
        <w:t xml:space="preserve">, </w:t>
      </w:r>
      <w:r w:rsidRPr="000B22BB">
        <w:rPr>
          <w:rFonts w:ascii="Times New Roman" w:eastAsia="Times New Roman" w:hAnsi="Times New Roman" w:cs="Times New Roman"/>
          <w:i/>
          <w:sz w:val="24"/>
          <w:szCs w:val="24"/>
        </w:rPr>
        <w:t>49</w:t>
      </w:r>
      <w:r w:rsidRPr="000B22BB">
        <w:rPr>
          <w:rFonts w:ascii="Times New Roman" w:eastAsia="Times New Roman" w:hAnsi="Times New Roman" w:cs="Times New Roman"/>
          <w:sz w:val="24"/>
          <w:szCs w:val="24"/>
        </w:rPr>
        <w:t>, 63–70.</w:t>
      </w:r>
    </w:p>
    <w:p w:rsidR="009F5594" w:rsidRPr="000B22BB" w:rsidRDefault="009F5594" w:rsidP="009F5594">
      <w:pPr>
        <w:spacing w:line="480" w:lineRule="auto"/>
        <w:ind w:left="720" w:hanging="720"/>
        <w:rPr>
          <w:rFonts w:ascii="Times New Roman" w:eastAsia="Times New Roman" w:hAnsi="Times New Roman" w:cs="Times New Roman"/>
          <w:sz w:val="24"/>
          <w:szCs w:val="24"/>
        </w:rPr>
      </w:pPr>
      <w:proofErr w:type="gramStart"/>
      <w:r w:rsidRPr="000B22BB">
        <w:rPr>
          <w:rFonts w:ascii="Times New Roman" w:eastAsia="Times New Roman" w:hAnsi="Times New Roman" w:cs="Times New Roman"/>
          <w:sz w:val="24"/>
          <w:szCs w:val="24"/>
        </w:rPr>
        <w:t>Wikipedia.</w:t>
      </w:r>
      <w:proofErr w:type="gramEnd"/>
      <w:r w:rsidRPr="000B22BB">
        <w:rPr>
          <w:rFonts w:ascii="Times New Roman" w:eastAsia="Times New Roman" w:hAnsi="Times New Roman" w:cs="Times New Roman"/>
          <w:sz w:val="24"/>
          <w:szCs w:val="24"/>
        </w:rPr>
        <w:t xml:space="preserve"> https://en.wikipedia.org/wiki/History_of_North_American_fraternities_and_sororities</w:t>
      </w:r>
    </w:p>
    <w:p w:rsidR="00F94930" w:rsidRDefault="00F94930" w:rsidP="009F5594">
      <w:pPr>
        <w:rPr>
          <w:rFonts w:ascii="Times New Roman" w:eastAsia="Times New Roman" w:hAnsi="Times New Roman" w:cs="Times New Roman"/>
          <w:sz w:val="24"/>
          <w:szCs w:val="24"/>
        </w:rPr>
      </w:pPr>
    </w:p>
    <w:sectPr w:rsidR="00F94930" w:rsidSect="00727926">
      <w:footerReference w:type="default" r:id="rId8"/>
      <w:pgSz w:w="12240" w:h="15840"/>
      <w:pgMar w:top="1440" w:right="1440" w:bottom="1440" w:left="14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n Scheunemann" w:date="2017-05-04T22:30:00Z" w:initials="">
    <w:p w:rsidR="00F94930" w:rsidRDefault="00AC361C">
      <w:pPr>
        <w:widowControl w:val="0"/>
        <w:spacing w:line="240" w:lineRule="auto"/>
      </w:pPr>
      <w:r>
        <w:t>Check my table - I added AIC values as a marker of fit, but that might not be what I should have done. I did not add Chi-square values, mainly because of space, but I can</w:t>
      </w:r>
    </w:p>
  </w:comment>
  <w:comment w:id="1" w:author="Kelsey Kanyuck" w:date="2017-05-04T11:44:00Z" w:initials="">
    <w:p w:rsidR="00F94930" w:rsidRDefault="00AC361C">
      <w:pPr>
        <w:widowControl w:val="0"/>
        <w:spacing w:line="240" w:lineRule="auto"/>
      </w:pPr>
      <w:r>
        <w:t>I know this needs some rounding out, will work on tomorrow if I have time</w:t>
      </w:r>
    </w:p>
  </w:comment>
  <w:comment w:id="3" w:author="Kelsey Kanyuck" w:date="2017-05-04T22:16:00Z" w:initials="">
    <w:p w:rsidR="00F94930" w:rsidRDefault="00AC361C">
      <w:pPr>
        <w:widowControl w:val="0"/>
        <w:spacing w:line="240" w:lineRule="auto"/>
      </w:pPr>
      <w:r>
        <w:t>Needs to be better formatted once in a Word Doc</w:t>
      </w:r>
    </w:p>
  </w:comment>
  <w:comment w:id="4" w:author="Ann Scheunemann" w:date="2017-05-04T22:16:00Z" w:initials="">
    <w:p w:rsidR="00F94930" w:rsidRDefault="00AC361C">
      <w:pPr>
        <w:widowControl w:val="0"/>
        <w:spacing w:line="240" w:lineRule="auto"/>
      </w:pPr>
      <w:r>
        <w:t>Hey. Is this alright with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B36E1A" w15:done="0"/>
  <w15:commentEx w15:paraId="2B938CD3" w15:done="0"/>
  <w15:commentEx w15:paraId="568E4907" w15:done="0"/>
  <w15:commentEx w15:paraId="2B946B3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417" w:rsidRDefault="002E3417">
      <w:pPr>
        <w:spacing w:line="240" w:lineRule="auto"/>
      </w:pPr>
      <w:r>
        <w:separator/>
      </w:r>
    </w:p>
  </w:endnote>
  <w:endnote w:type="continuationSeparator" w:id="0">
    <w:p w:rsidR="002E3417" w:rsidRDefault="002E34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930" w:rsidRDefault="00727926">
    <w:pPr>
      <w:jc w:val="right"/>
    </w:pPr>
    <w:r>
      <w:fldChar w:fldCharType="begin"/>
    </w:r>
    <w:r w:rsidR="00AC361C">
      <w:instrText>PAGE</w:instrText>
    </w:r>
    <w:r>
      <w:fldChar w:fldCharType="separate"/>
    </w:r>
    <w:r w:rsidR="00693F44">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417" w:rsidRDefault="002E3417">
      <w:pPr>
        <w:spacing w:line="240" w:lineRule="auto"/>
      </w:pPr>
      <w:r>
        <w:separator/>
      </w:r>
    </w:p>
  </w:footnote>
  <w:footnote w:type="continuationSeparator" w:id="0">
    <w:p w:rsidR="002E3417" w:rsidRDefault="002E341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94930"/>
    <w:rsid w:val="000B22BB"/>
    <w:rsid w:val="000D0763"/>
    <w:rsid w:val="00277B0C"/>
    <w:rsid w:val="002E3417"/>
    <w:rsid w:val="004041EE"/>
    <w:rsid w:val="00693F44"/>
    <w:rsid w:val="00727926"/>
    <w:rsid w:val="009F5594"/>
    <w:rsid w:val="00A264FA"/>
    <w:rsid w:val="00AC361C"/>
    <w:rsid w:val="00D41914"/>
    <w:rsid w:val="00EE4712"/>
    <w:rsid w:val="00F94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7926"/>
  </w:style>
  <w:style w:type="paragraph" w:styleId="Heading1">
    <w:name w:val="heading 1"/>
    <w:basedOn w:val="Normal"/>
    <w:next w:val="Normal"/>
    <w:rsid w:val="00727926"/>
    <w:pPr>
      <w:keepNext/>
      <w:keepLines/>
      <w:spacing w:before="400" w:after="120"/>
      <w:contextualSpacing/>
      <w:outlineLvl w:val="0"/>
    </w:pPr>
    <w:rPr>
      <w:sz w:val="40"/>
      <w:szCs w:val="40"/>
    </w:rPr>
  </w:style>
  <w:style w:type="paragraph" w:styleId="Heading2">
    <w:name w:val="heading 2"/>
    <w:basedOn w:val="Normal"/>
    <w:next w:val="Normal"/>
    <w:rsid w:val="00727926"/>
    <w:pPr>
      <w:keepNext/>
      <w:keepLines/>
      <w:spacing w:before="360" w:after="120"/>
      <w:contextualSpacing/>
      <w:outlineLvl w:val="1"/>
    </w:pPr>
    <w:rPr>
      <w:sz w:val="32"/>
      <w:szCs w:val="32"/>
    </w:rPr>
  </w:style>
  <w:style w:type="paragraph" w:styleId="Heading3">
    <w:name w:val="heading 3"/>
    <w:basedOn w:val="Normal"/>
    <w:next w:val="Normal"/>
    <w:rsid w:val="00727926"/>
    <w:pPr>
      <w:keepNext/>
      <w:keepLines/>
      <w:spacing w:before="320" w:after="80"/>
      <w:contextualSpacing/>
      <w:outlineLvl w:val="2"/>
    </w:pPr>
    <w:rPr>
      <w:color w:val="434343"/>
      <w:sz w:val="28"/>
      <w:szCs w:val="28"/>
    </w:rPr>
  </w:style>
  <w:style w:type="paragraph" w:styleId="Heading4">
    <w:name w:val="heading 4"/>
    <w:basedOn w:val="Normal"/>
    <w:next w:val="Normal"/>
    <w:rsid w:val="00727926"/>
    <w:pPr>
      <w:keepNext/>
      <w:keepLines/>
      <w:spacing w:before="280" w:after="80"/>
      <w:contextualSpacing/>
      <w:outlineLvl w:val="3"/>
    </w:pPr>
    <w:rPr>
      <w:color w:val="666666"/>
      <w:sz w:val="24"/>
      <w:szCs w:val="24"/>
    </w:rPr>
  </w:style>
  <w:style w:type="paragraph" w:styleId="Heading5">
    <w:name w:val="heading 5"/>
    <w:basedOn w:val="Normal"/>
    <w:next w:val="Normal"/>
    <w:rsid w:val="00727926"/>
    <w:pPr>
      <w:keepNext/>
      <w:keepLines/>
      <w:spacing w:before="240" w:after="80"/>
      <w:contextualSpacing/>
      <w:outlineLvl w:val="4"/>
    </w:pPr>
    <w:rPr>
      <w:color w:val="666666"/>
    </w:rPr>
  </w:style>
  <w:style w:type="paragraph" w:styleId="Heading6">
    <w:name w:val="heading 6"/>
    <w:basedOn w:val="Normal"/>
    <w:next w:val="Normal"/>
    <w:rsid w:val="0072792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27926"/>
    <w:pPr>
      <w:keepNext/>
      <w:keepLines/>
      <w:spacing w:after="60"/>
      <w:contextualSpacing/>
    </w:pPr>
    <w:rPr>
      <w:sz w:val="52"/>
      <w:szCs w:val="52"/>
    </w:rPr>
  </w:style>
  <w:style w:type="paragraph" w:styleId="Subtitle">
    <w:name w:val="Subtitle"/>
    <w:basedOn w:val="Normal"/>
    <w:next w:val="Normal"/>
    <w:rsid w:val="00727926"/>
    <w:pPr>
      <w:keepNext/>
      <w:keepLines/>
      <w:spacing w:after="320"/>
      <w:contextualSpacing/>
    </w:pPr>
    <w:rPr>
      <w:color w:val="666666"/>
      <w:sz w:val="30"/>
      <w:szCs w:val="30"/>
    </w:rPr>
  </w:style>
  <w:style w:type="table" w:customStyle="1" w:styleId="a">
    <w:basedOn w:val="TableNormal"/>
    <w:rsid w:val="0072792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27926"/>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727926"/>
    <w:pPr>
      <w:spacing w:line="240" w:lineRule="auto"/>
    </w:pPr>
    <w:rPr>
      <w:sz w:val="20"/>
      <w:szCs w:val="20"/>
    </w:rPr>
  </w:style>
  <w:style w:type="character" w:customStyle="1" w:styleId="CommentTextChar">
    <w:name w:val="Comment Text Char"/>
    <w:basedOn w:val="DefaultParagraphFont"/>
    <w:link w:val="CommentText"/>
    <w:uiPriority w:val="99"/>
    <w:semiHidden/>
    <w:rsid w:val="00727926"/>
    <w:rPr>
      <w:sz w:val="20"/>
      <w:szCs w:val="20"/>
    </w:rPr>
  </w:style>
  <w:style w:type="character" w:styleId="CommentReference">
    <w:name w:val="annotation reference"/>
    <w:basedOn w:val="DefaultParagraphFont"/>
    <w:uiPriority w:val="99"/>
    <w:semiHidden/>
    <w:unhideWhenUsed/>
    <w:rsid w:val="00727926"/>
    <w:rPr>
      <w:sz w:val="16"/>
      <w:szCs w:val="16"/>
    </w:rPr>
  </w:style>
  <w:style w:type="paragraph" w:styleId="BalloonText">
    <w:name w:val="Balloon Text"/>
    <w:basedOn w:val="Normal"/>
    <w:link w:val="BalloonTextChar"/>
    <w:uiPriority w:val="99"/>
    <w:semiHidden/>
    <w:unhideWhenUsed/>
    <w:rsid w:val="000B22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2B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sl.dasa.ncsu.edu/about-our-community/reports/" TargetMode="External"/><Relationship Id="rId11" Type="http://schemas.microsoft.com/office/2011/relationships/commentsExtended" Target="commentsExtended.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10</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Scheunemann</dc:creator>
  <cp:lastModifiedBy>Ami</cp:lastModifiedBy>
  <cp:revision>3</cp:revision>
  <dcterms:created xsi:type="dcterms:W3CDTF">2017-05-04T16:58:00Z</dcterms:created>
  <dcterms:modified xsi:type="dcterms:W3CDTF">2017-05-16T02:41:00Z</dcterms:modified>
</cp:coreProperties>
</file>