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4"/>
        </w:rPr>
        <w:t>Flood Susceptibility Mapping — Threshold Optimisation &amp; Validation Report</w:t>
      </w:r>
    </w:p>
    <w:p>
      <w:pPr>
        <w:jc w:val="center"/>
      </w:pPr>
      <w:r>
        <w:rPr>
          <w:sz w:val="22"/>
        </w:rPr>
        <w:t>Slovenia | EPSG:3794 | 12.5 m | 10x sample size (500k/class) | RF · XGBoost · CatBoost · DNN · Ensemble</w:t>
      </w:r>
    </w:p>
    <w:p/>
    <w:p>
      <w:r>
        <w:rPr>
          <w:b/>
          <w:color w:val="1F497D"/>
          <w:sz w:val="28"/>
        </w:rPr>
        <w:t>1. Optimal Thresholds</w:t>
      </w:r>
    </w:p>
    <w:p>
      <w:r>
        <w:t>The CSI-optimal threshold minimises false alarms and misses simultaneously, making it the preferred choice for flood hazard mapping. Youden's J maximises the sum of sensitivity and specificity. Optimal threshold points are marked on the ROC curves.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1728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CSI_threshold</w:t>
            </w:r>
          </w:p>
        </w:tc>
        <w:tc>
          <w:tcPr>
            <w:tcW w:type="dxa" w:w="1728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CSI_value</w:t>
            </w:r>
          </w:p>
        </w:tc>
        <w:tc>
          <w:tcPr>
            <w:tcW w:type="dxa" w:w="1728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Youden_threshold</w:t>
            </w:r>
          </w:p>
        </w:tc>
        <w:tc>
          <w:tcPr>
            <w:tcW w:type="dxa" w:w="1728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Youden_value</w:t>
            </w:r>
          </w:p>
        </w:tc>
      </w:tr>
      <w:tr>
        <w:tc>
          <w:tcPr>
            <w:tcW w:type="dxa" w:w="1728"/>
            <w:shd w:val="clear" w:color="auto" w:fill="DEEAF1"/>
          </w:tcPr>
          <w:p>
            <w:r>
              <w:rPr>
                <w:color w:val="000000"/>
                <w:sz w:val="18"/>
              </w:rPr>
              <w:t>RF</w:t>
            </w:r>
          </w:p>
        </w:tc>
        <w:tc>
          <w:tcPr>
            <w:tcW w:type="dxa" w:w="1728"/>
            <w:shd w:val="clear" w:color="auto" w:fill="DEEAF1"/>
          </w:tcPr>
          <w:p>
            <w:r>
              <w:rPr>
                <w:color w:val="000000"/>
                <w:sz w:val="18"/>
              </w:rPr>
              <w:t>0.5172</w:t>
            </w:r>
          </w:p>
        </w:tc>
        <w:tc>
          <w:tcPr>
            <w:tcW w:type="dxa" w:w="1728"/>
            <w:shd w:val="clear" w:color="auto" w:fill="DEEAF1"/>
          </w:tcPr>
          <w:p>
            <w:r>
              <w:rPr>
                <w:color w:val="000000"/>
                <w:sz w:val="18"/>
              </w:rPr>
              <w:t>0.9186</w:t>
            </w:r>
          </w:p>
        </w:tc>
        <w:tc>
          <w:tcPr>
            <w:tcW w:type="dxa" w:w="1728"/>
            <w:shd w:val="clear" w:color="auto" w:fill="DEEAF1"/>
          </w:tcPr>
          <w:p>
            <w:r>
              <w:rPr>
                <w:color w:val="000000"/>
                <w:sz w:val="18"/>
              </w:rPr>
              <w:t>0.5616</w:t>
            </w:r>
          </w:p>
        </w:tc>
        <w:tc>
          <w:tcPr>
            <w:tcW w:type="dxa" w:w="1728"/>
            <w:shd w:val="clear" w:color="auto" w:fill="DEEAF1"/>
          </w:tcPr>
          <w:p>
            <w:r>
              <w:rPr>
                <w:color w:val="000000"/>
                <w:sz w:val="18"/>
              </w:rPr>
              <w:t>0.9142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XGBoost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0.5369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0.9406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0.5468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0.9382</w:t>
            </w:r>
          </w:p>
        </w:tc>
      </w:tr>
      <w:tr>
        <w:tc>
          <w:tcPr>
            <w:tcW w:type="dxa" w:w="1728"/>
            <w:shd w:val="clear" w:color="auto" w:fill="DEEAF1"/>
          </w:tcPr>
          <w:p>
            <w:r>
              <w:rPr>
                <w:color w:val="000000"/>
                <w:sz w:val="18"/>
              </w:rPr>
              <w:t>CatBoost</w:t>
            </w:r>
          </w:p>
        </w:tc>
        <w:tc>
          <w:tcPr>
            <w:tcW w:type="dxa" w:w="1728"/>
            <w:shd w:val="clear" w:color="auto" w:fill="DEEAF1"/>
          </w:tcPr>
          <w:p>
            <w:r>
              <w:rPr>
                <w:color w:val="000000"/>
                <w:sz w:val="18"/>
              </w:rPr>
              <w:t>0.5222</w:t>
            </w:r>
          </w:p>
        </w:tc>
        <w:tc>
          <w:tcPr>
            <w:tcW w:type="dxa" w:w="1728"/>
            <w:shd w:val="clear" w:color="auto" w:fill="DEEAF1"/>
          </w:tcPr>
          <w:p>
            <w:r>
              <w:rPr>
                <w:color w:val="000000"/>
                <w:sz w:val="18"/>
              </w:rPr>
              <w:t>0.9255</w:t>
            </w:r>
          </w:p>
        </w:tc>
        <w:tc>
          <w:tcPr>
            <w:tcW w:type="dxa" w:w="1728"/>
            <w:shd w:val="clear" w:color="auto" w:fill="DEEAF1"/>
          </w:tcPr>
          <w:p>
            <w:r>
              <w:rPr>
                <w:color w:val="000000"/>
                <w:sz w:val="18"/>
              </w:rPr>
              <w:t>0.5222</w:t>
            </w:r>
          </w:p>
        </w:tc>
        <w:tc>
          <w:tcPr>
            <w:tcW w:type="dxa" w:w="1728"/>
            <w:shd w:val="clear" w:color="auto" w:fill="DEEAF1"/>
          </w:tcPr>
          <w:p>
            <w:r>
              <w:rPr>
                <w:color w:val="000000"/>
                <w:sz w:val="18"/>
              </w:rPr>
              <w:t>0.9217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DNN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0.532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0.9085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0.532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0.902</w:t>
            </w:r>
          </w:p>
        </w:tc>
      </w:tr>
      <w:tr>
        <w:tc>
          <w:tcPr>
            <w:tcW w:type="dxa" w:w="1728"/>
            <w:shd w:val="clear" w:color="auto" w:fill="DEEAF1"/>
          </w:tcPr>
          <w:p>
            <w:r>
              <w:rPr>
                <w:color w:val="000000"/>
                <w:sz w:val="18"/>
              </w:rPr>
              <w:t>Ensemble_mean</w:t>
            </w:r>
          </w:p>
        </w:tc>
        <w:tc>
          <w:tcPr>
            <w:tcW w:type="dxa" w:w="1728"/>
            <w:shd w:val="clear" w:color="auto" w:fill="DEEAF1"/>
          </w:tcPr>
          <w:p>
            <w:r>
              <w:rPr>
                <w:color w:val="000000"/>
                <w:sz w:val="18"/>
              </w:rPr>
              <w:t>0.5566</w:t>
            </w:r>
          </w:p>
        </w:tc>
        <w:tc>
          <w:tcPr>
            <w:tcW w:type="dxa" w:w="1728"/>
            <w:shd w:val="clear" w:color="auto" w:fill="DEEAF1"/>
          </w:tcPr>
          <w:p>
            <w:r>
              <w:rPr>
                <w:color w:val="000000"/>
                <w:sz w:val="18"/>
              </w:rPr>
              <w:t>0.928</w:t>
            </w:r>
          </w:p>
        </w:tc>
        <w:tc>
          <w:tcPr>
            <w:tcW w:type="dxa" w:w="1728"/>
            <w:shd w:val="clear" w:color="auto" w:fill="DEEAF1"/>
          </w:tcPr>
          <w:p>
            <w:r>
              <w:rPr>
                <w:color w:val="000000"/>
                <w:sz w:val="18"/>
              </w:rPr>
              <w:t>0.5714</w:t>
            </w:r>
          </w:p>
        </w:tc>
        <w:tc>
          <w:tcPr>
            <w:tcW w:type="dxa" w:w="1728"/>
            <w:shd w:val="clear" w:color="auto" w:fill="DEEAF1"/>
          </w:tcPr>
          <w:p>
            <w:r>
              <w:rPr>
                <w:color w:val="000000"/>
                <w:sz w:val="18"/>
              </w:rPr>
              <w:t>0.9245</w:t>
            </w:r>
          </w:p>
        </w:tc>
      </w:tr>
    </w:tbl>
    <w:p/>
    <w:p>
      <w:r>
        <w:rPr>
          <w:b/>
          <w:color w:val="1F497D"/>
          <w:sz w:val="28"/>
        </w:rPr>
        <w:t>2. Validation Metrics (Test Set)</w:t>
      </w:r>
    </w:p>
    <w:p>
      <w:r>
        <w:t>Metrics computed on 199,495 test samples (10x split, held out from training) at CSI-optimal thresholds. AUC is threshold-independent; all other metrics use the optimal threshold.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864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Threshold</w:t>
            </w:r>
          </w:p>
        </w:tc>
        <w:tc>
          <w:tcPr>
            <w:tcW w:type="dxa" w:w="864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AUC</w:t>
            </w:r>
          </w:p>
        </w:tc>
        <w:tc>
          <w:tcPr>
            <w:tcW w:type="dxa" w:w="864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CSI</w:t>
            </w:r>
          </w:p>
        </w:tc>
        <w:tc>
          <w:tcPr>
            <w:tcW w:type="dxa" w:w="864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F1</w:t>
            </w:r>
          </w:p>
        </w:tc>
        <w:tc>
          <w:tcPr>
            <w:tcW w:type="dxa" w:w="864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Accuracy</w:t>
            </w:r>
          </w:p>
        </w:tc>
        <w:tc>
          <w:tcPr>
            <w:tcW w:type="dxa" w:w="864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Kappa</w:t>
            </w:r>
          </w:p>
        </w:tc>
        <w:tc>
          <w:tcPr>
            <w:tcW w:type="dxa" w:w="864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Sensitivity</w:t>
            </w:r>
          </w:p>
        </w:tc>
        <w:tc>
          <w:tcPr>
            <w:tcW w:type="dxa" w:w="864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Specificity</w:t>
            </w:r>
          </w:p>
        </w:tc>
        <w:tc>
          <w:tcPr>
            <w:tcW w:type="dxa" w:w="864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Precision</w:t>
            </w:r>
          </w:p>
        </w:tc>
      </w:tr>
      <w:tr>
        <w:tc>
          <w:tcPr>
            <w:tcW w:type="dxa" w:w="864"/>
            <w:shd w:val="clear" w:color="auto" w:fill="DEEAF1"/>
          </w:tcPr>
          <w:p>
            <w:r>
              <w:rPr>
                <w:color w:val="000000"/>
                <w:sz w:val="18"/>
              </w:rPr>
              <w:t>XGBoost</w:t>
            </w:r>
          </w:p>
        </w:tc>
        <w:tc>
          <w:tcPr>
            <w:tcW w:type="dxa" w:w="864"/>
            <w:shd w:val="clear" w:color="auto" w:fill="DEEAF1"/>
          </w:tcPr>
          <w:p>
            <w:r>
              <w:rPr>
                <w:color w:val="000000"/>
                <w:sz w:val="18"/>
              </w:rPr>
              <w:t>0.5369</w:t>
            </w:r>
          </w:p>
        </w:tc>
        <w:tc>
          <w:tcPr>
            <w:tcW w:type="dxa" w:w="864"/>
            <w:shd w:val="clear" w:color="auto" w:fill="DEEAF1"/>
          </w:tcPr>
          <w:p>
            <w:r>
              <w:rPr>
                <w:color w:val="000000"/>
                <w:sz w:val="18"/>
              </w:rPr>
              <w:t>0.9941</w:t>
            </w:r>
          </w:p>
        </w:tc>
        <w:tc>
          <w:tcPr>
            <w:tcW w:type="dxa" w:w="864"/>
            <w:shd w:val="clear" w:color="auto" w:fill="DEEAF1"/>
          </w:tcPr>
          <w:p>
            <w:r>
              <w:rPr>
                <w:color w:val="000000"/>
                <w:sz w:val="18"/>
              </w:rPr>
              <w:t>0.9406</w:t>
            </w:r>
          </w:p>
        </w:tc>
        <w:tc>
          <w:tcPr>
            <w:tcW w:type="dxa" w:w="864"/>
            <w:shd w:val="clear" w:color="auto" w:fill="DEEAF1"/>
          </w:tcPr>
          <w:p>
            <w:r>
              <w:rPr>
                <w:color w:val="000000"/>
                <w:sz w:val="18"/>
              </w:rPr>
              <w:t>0.9694</w:t>
            </w:r>
          </w:p>
        </w:tc>
        <w:tc>
          <w:tcPr>
            <w:tcW w:type="dxa" w:w="864"/>
            <w:shd w:val="clear" w:color="auto" w:fill="DEEAF1"/>
          </w:tcPr>
          <w:p>
            <w:r>
              <w:rPr>
                <w:color w:val="000000"/>
                <w:sz w:val="18"/>
              </w:rPr>
              <w:t>0.9691</w:t>
            </w:r>
          </w:p>
        </w:tc>
        <w:tc>
          <w:tcPr>
            <w:tcW w:type="dxa" w:w="864"/>
            <w:shd w:val="clear" w:color="auto" w:fill="DEEAF1"/>
          </w:tcPr>
          <w:p>
            <w:r>
              <w:rPr>
                <w:color w:val="000000"/>
                <w:sz w:val="18"/>
              </w:rPr>
              <w:t>0.9381</w:t>
            </w:r>
          </w:p>
        </w:tc>
        <w:tc>
          <w:tcPr>
            <w:tcW w:type="dxa" w:w="864"/>
            <w:shd w:val="clear" w:color="auto" w:fill="DEEAF1"/>
          </w:tcPr>
          <w:p>
            <w:r>
              <w:rPr>
                <w:color w:val="000000"/>
                <w:sz w:val="18"/>
              </w:rPr>
              <w:t>0.9824</w:t>
            </w:r>
          </w:p>
        </w:tc>
        <w:tc>
          <w:tcPr>
            <w:tcW w:type="dxa" w:w="864"/>
            <w:shd w:val="clear" w:color="auto" w:fill="DEEAF1"/>
          </w:tcPr>
          <w:p>
            <w:r>
              <w:rPr>
                <w:color w:val="000000"/>
                <w:sz w:val="18"/>
              </w:rPr>
              <w:t>0.9557</w:t>
            </w:r>
          </w:p>
        </w:tc>
        <w:tc>
          <w:tcPr>
            <w:tcW w:type="dxa" w:w="864"/>
            <w:shd w:val="clear" w:color="auto" w:fill="DEEAF1"/>
          </w:tcPr>
          <w:p>
            <w:r>
              <w:rPr>
                <w:color w:val="000000"/>
                <w:sz w:val="18"/>
              </w:rPr>
              <w:t>0.9567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Ensemble_mean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0.5566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0.9921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0.928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0.9627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0.9622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0.9244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0.9765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0.9479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0.9492</w:t>
            </w:r>
          </w:p>
        </w:tc>
      </w:tr>
      <w:tr>
        <w:tc>
          <w:tcPr>
            <w:tcW w:type="dxa" w:w="864"/>
            <w:shd w:val="clear" w:color="auto" w:fill="DEEAF1"/>
          </w:tcPr>
          <w:p>
            <w:r>
              <w:rPr>
                <w:color w:val="000000"/>
                <w:sz w:val="18"/>
              </w:rPr>
              <w:t>CatBoost</w:t>
            </w:r>
          </w:p>
        </w:tc>
        <w:tc>
          <w:tcPr>
            <w:tcW w:type="dxa" w:w="864"/>
            <w:shd w:val="clear" w:color="auto" w:fill="DEEAF1"/>
          </w:tcPr>
          <w:p>
            <w:r>
              <w:rPr>
                <w:color w:val="000000"/>
                <w:sz w:val="18"/>
              </w:rPr>
              <w:t>0.5222</w:t>
            </w:r>
          </w:p>
        </w:tc>
        <w:tc>
          <w:tcPr>
            <w:tcW w:type="dxa" w:w="864"/>
            <w:shd w:val="clear" w:color="auto" w:fill="DEEAF1"/>
          </w:tcPr>
          <w:p>
            <w:r>
              <w:rPr>
                <w:color w:val="000000"/>
                <w:sz w:val="18"/>
              </w:rPr>
              <w:t>0.991</w:t>
            </w:r>
          </w:p>
        </w:tc>
        <w:tc>
          <w:tcPr>
            <w:tcW w:type="dxa" w:w="864"/>
            <w:shd w:val="clear" w:color="auto" w:fill="DEEAF1"/>
          </w:tcPr>
          <w:p>
            <w:r>
              <w:rPr>
                <w:color w:val="000000"/>
                <w:sz w:val="18"/>
              </w:rPr>
              <w:t>0.9255</w:t>
            </w:r>
          </w:p>
        </w:tc>
        <w:tc>
          <w:tcPr>
            <w:tcW w:type="dxa" w:w="864"/>
            <w:shd w:val="clear" w:color="auto" w:fill="DEEAF1"/>
          </w:tcPr>
          <w:p>
            <w:r>
              <w:rPr>
                <w:color w:val="000000"/>
                <w:sz w:val="18"/>
              </w:rPr>
              <w:t>0.9613</w:t>
            </w:r>
          </w:p>
        </w:tc>
        <w:tc>
          <w:tcPr>
            <w:tcW w:type="dxa" w:w="864"/>
            <w:shd w:val="clear" w:color="auto" w:fill="DEEAF1"/>
          </w:tcPr>
          <w:p>
            <w:r>
              <w:rPr>
                <w:color w:val="000000"/>
                <w:sz w:val="18"/>
              </w:rPr>
              <w:t>0.9608</w:t>
            </w:r>
          </w:p>
        </w:tc>
        <w:tc>
          <w:tcPr>
            <w:tcW w:type="dxa" w:w="864"/>
            <w:shd w:val="clear" w:color="auto" w:fill="DEEAF1"/>
          </w:tcPr>
          <w:p>
            <w:r>
              <w:rPr>
                <w:color w:val="000000"/>
                <w:sz w:val="18"/>
              </w:rPr>
              <w:t>0.9216</w:t>
            </w:r>
          </w:p>
        </w:tc>
        <w:tc>
          <w:tcPr>
            <w:tcW w:type="dxa" w:w="864"/>
            <w:shd w:val="clear" w:color="auto" w:fill="DEEAF1"/>
          </w:tcPr>
          <w:p>
            <w:r>
              <w:rPr>
                <w:color w:val="000000"/>
                <w:sz w:val="18"/>
              </w:rPr>
              <w:t>0.9759</w:t>
            </w:r>
          </w:p>
        </w:tc>
        <w:tc>
          <w:tcPr>
            <w:tcW w:type="dxa" w:w="864"/>
            <w:shd w:val="clear" w:color="auto" w:fill="DEEAF1"/>
          </w:tcPr>
          <w:p>
            <w:r>
              <w:rPr>
                <w:color w:val="000000"/>
                <w:sz w:val="18"/>
              </w:rPr>
              <w:t>0.9458</w:t>
            </w:r>
          </w:p>
        </w:tc>
        <w:tc>
          <w:tcPr>
            <w:tcW w:type="dxa" w:w="864"/>
            <w:shd w:val="clear" w:color="auto" w:fill="DEEAF1"/>
          </w:tcPr>
          <w:p>
            <w:r>
              <w:rPr>
                <w:color w:val="000000"/>
                <w:sz w:val="18"/>
              </w:rPr>
              <w:t>0.9472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RF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0.5172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0.9903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0.9186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0.9576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0.9569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0.9138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0.9755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0.9383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0.9403</w:t>
            </w:r>
          </w:p>
        </w:tc>
      </w:tr>
      <w:tr>
        <w:tc>
          <w:tcPr>
            <w:tcW w:type="dxa" w:w="864"/>
            <w:shd w:val="clear" w:color="auto" w:fill="DEEAF1"/>
          </w:tcPr>
          <w:p>
            <w:r>
              <w:rPr>
                <w:color w:val="000000"/>
                <w:sz w:val="18"/>
              </w:rPr>
              <w:t>DNN</w:t>
            </w:r>
          </w:p>
        </w:tc>
        <w:tc>
          <w:tcPr>
            <w:tcW w:type="dxa" w:w="864"/>
            <w:shd w:val="clear" w:color="auto" w:fill="DEEAF1"/>
          </w:tcPr>
          <w:p>
            <w:r>
              <w:rPr>
                <w:color w:val="000000"/>
                <w:sz w:val="18"/>
              </w:rPr>
              <w:t>0.532</w:t>
            </w:r>
          </w:p>
        </w:tc>
        <w:tc>
          <w:tcPr>
            <w:tcW w:type="dxa" w:w="864"/>
            <w:shd w:val="clear" w:color="auto" w:fill="DEEAF1"/>
          </w:tcPr>
          <w:p>
            <w:r>
              <w:rPr>
                <w:color w:val="000000"/>
                <w:sz w:val="18"/>
              </w:rPr>
              <w:t>0.986</w:t>
            </w:r>
          </w:p>
        </w:tc>
        <w:tc>
          <w:tcPr>
            <w:tcW w:type="dxa" w:w="864"/>
            <w:shd w:val="clear" w:color="auto" w:fill="DEEAF1"/>
          </w:tcPr>
          <w:p>
            <w:r>
              <w:rPr>
                <w:color w:val="000000"/>
                <w:sz w:val="18"/>
              </w:rPr>
              <w:t>0.9085</w:t>
            </w:r>
          </w:p>
        </w:tc>
        <w:tc>
          <w:tcPr>
            <w:tcW w:type="dxa" w:w="864"/>
            <w:shd w:val="clear" w:color="auto" w:fill="DEEAF1"/>
          </w:tcPr>
          <w:p>
            <w:r>
              <w:rPr>
                <w:color w:val="000000"/>
                <w:sz w:val="18"/>
              </w:rPr>
              <w:t>0.952</w:t>
            </w:r>
          </w:p>
        </w:tc>
        <w:tc>
          <w:tcPr>
            <w:tcW w:type="dxa" w:w="864"/>
            <w:shd w:val="clear" w:color="auto" w:fill="DEEAF1"/>
          </w:tcPr>
          <w:p>
            <w:r>
              <w:rPr>
                <w:color w:val="000000"/>
                <w:sz w:val="18"/>
              </w:rPr>
              <w:t>0.951</w:t>
            </w:r>
          </w:p>
        </w:tc>
        <w:tc>
          <w:tcPr>
            <w:tcW w:type="dxa" w:w="864"/>
            <w:shd w:val="clear" w:color="auto" w:fill="DEEAF1"/>
          </w:tcPr>
          <w:p>
            <w:r>
              <w:rPr>
                <w:color w:val="000000"/>
                <w:sz w:val="18"/>
              </w:rPr>
              <w:t>0.9019</w:t>
            </w:r>
          </w:p>
        </w:tc>
        <w:tc>
          <w:tcPr>
            <w:tcW w:type="dxa" w:w="864"/>
            <w:shd w:val="clear" w:color="auto" w:fill="DEEAF1"/>
          </w:tcPr>
          <w:p>
            <w:r>
              <w:rPr>
                <w:color w:val="000000"/>
                <w:sz w:val="18"/>
              </w:rPr>
              <w:t>0.9752</w:t>
            </w:r>
          </w:p>
        </w:tc>
        <w:tc>
          <w:tcPr>
            <w:tcW w:type="dxa" w:w="864"/>
            <w:shd w:val="clear" w:color="auto" w:fill="DEEAF1"/>
          </w:tcPr>
          <w:p>
            <w:r>
              <w:rPr>
                <w:color w:val="000000"/>
                <w:sz w:val="18"/>
              </w:rPr>
              <w:t>0.9268</w:t>
            </w:r>
          </w:p>
        </w:tc>
        <w:tc>
          <w:tcPr>
            <w:tcW w:type="dxa" w:w="864"/>
            <w:shd w:val="clear" w:color="auto" w:fill="DEEAF1"/>
          </w:tcPr>
          <w:p>
            <w:r>
              <w:rPr>
                <w:color w:val="000000"/>
                <w:sz w:val="18"/>
              </w:rPr>
              <w:t>0.9299</w:t>
            </w:r>
          </w:p>
        </w:tc>
      </w:tr>
    </w:tbl>
    <w:p/>
    <w:p>
      <w:r>
        <w:rPr>
          <w:b/>
          <w:color w:val="1F497D"/>
          <w:sz w:val="28"/>
        </w:rPr>
        <w:t>3. Confusion Matrix Summary</w:t>
      </w:r>
    </w:p>
    <w:p>
      <w:pPr>
        <w:pStyle w:val="ListBullet"/>
      </w:pPr>
      <w:r>
        <w:rPr>
          <w:b/>
        </w:rPr>
        <w:t>XGBoost</w:t>
      </w:r>
      <w:r>
        <w:rPr>
          <w:sz w:val="20"/>
        </w:rPr>
        <w:t xml:space="preserve">  TP=97826  TN=95495  FP=4425  FN=1749  (Threshold = 0.5369)</w:t>
      </w:r>
    </w:p>
    <w:p>
      <w:pPr>
        <w:pStyle w:val="ListBullet"/>
      </w:pPr>
      <w:r>
        <w:rPr>
          <w:b/>
        </w:rPr>
        <w:t>Ensemble_mean</w:t>
      </w:r>
      <w:r>
        <w:rPr>
          <w:sz w:val="20"/>
        </w:rPr>
        <w:t xml:space="preserve">  TP=97233  TN=94719  FP=5201  FN=2342  (Threshold = 0.5566)</w:t>
      </w:r>
    </w:p>
    <w:p>
      <w:pPr>
        <w:pStyle w:val="ListBullet"/>
      </w:pPr>
      <w:r>
        <w:rPr>
          <w:b/>
        </w:rPr>
        <w:t>CatBoost</w:t>
      </w:r>
      <w:r>
        <w:rPr>
          <w:sz w:val="20"/>
        </w:rPr>
        <w:t xml:space="preserve">  TP=97174  TN=94502  FP=5418  FN=2401  (Threshold = 0.5222)</w:t>
      </w:r>
    </w:p>
    <w:p>
      <w:pPr>
        <w:pStyle w:val="ListBullet"/>
      </w:pPr>
      <w:r>
        <w:rPr>
          <w:b/>
        </w:rPr>
        <w:t>RF</w:t>
      </w:r>
      <w:r>
        <w:rPr>
          <w:sz w:val="20"/>
        </w:rPr>
        <w:t xml:space="preserve">  TP=97139  TN=93753  FP=6167  FN=2436  (Threshold = 0.5172)</w:t>
      </w:r>
    </w:p>
    <w:p>
      <w:pPr>
        <w:pStyle w:val="ListBullet"/>
      </w:pPr>
      <w:r>
        <w:rPr>
          <w:b/>
        </w:rPr>
        <w:t>DNN</w:t>
      </w:r>
      <w:r>
        <w:rPr>
          <w:sz w:val="20"/>
        </w:rPr>
        <w:t xml:space="preserve">  TP=97107  TN=92603  FP=7317  FN=2468  (Threshold = 0.532)</w:t>
      </w:r>
    </w:p>
    <w:p/>
    <w:p>
      <w:r>
        <w:rPr>
          <w:b/>
          <w:color w:val="1F497D"/>
          <w:sz w:val="28"/>
        </w:rPr>
        <w:t>4. Susceptibility Classification (5-Class Maps)</w:t>
      </w:r>
    </w:p>
    <w:p>
      <w:r>
        <w:t>Five flood susceptibility classes were derived by quantile classification (equal-frequency) of the probability values over all valid pixels within Slovenia. Each class contains ~20% of the valid area.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1440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Very Low (&lt;q20)</w:t>
            </w:r>
          </w:p>
        </w:tc>
        <w:tc>
          <w:tcPr>
            <w:tcW w:type="dxa" w:w="1440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Low (q20–q40)</w:t>
            </w:r>
          </w:p>
        </w:tc>
        <w:tc>
          <w:tcPr>
            <w:tcW w:type="dxa" w:w="1440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Moderate (q40–q60)</w:t>
            </w:r>
          </w:p>
        </w:tc>
        <w:tc>
          <w:tcPr>
            <w:tcW w:type="dxa" w:w="1440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High (q60–q80)</w:t>
            </w:r>
          </w:p>
        </w:tc>
        <w:tc>
          <w:tcPr>
            <w:tcW w:type="dxa" w:w="1440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Very High (&gt;q80)</w:t>
            </w:r>
          </w:p>
        </w:tc>
      </w:tr>
      <w:tr>
        <w:tc>
          <w:tcPr>
            <w:tcW w:type="dxa" w:w="1440"/>
            <w:shd w:val="clear" w:color="auto" w:fill="DEEAF1"/>
          </w:tcPr>
          <w:p>
            <w:r>
              <w:rPr>
                <w:color w:val="000000"/>
                <w:sz w:val="18"/>
              </w:rPr>
              <w:t>RF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color w:val="000000"/>
                <w:sz w:val="18"/>
              </w:rPr>
              <w:t>&lt;0.0000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color w:val="000000"/>
                <w:sz w:val="18"/>
              </w:rPr>
              <w:t>0.0000–0.0010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color w:val="000000"/>
                <w:sz w:val="18"/>
              </w:rPr>
              <w:t>0.0010–0.0106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color w:val="000000"/>
                <w:sz w:val="18"/>
              </w:rPr>
              <w:t>0.0106–0.1407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color w:val="000000"/>
                <w:sz w:val="18"/>
              </w:rPr>
              <w:t>&gt;0.1407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XGBoost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&lt;0.0000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0.0000–0.0000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0.0000–0.0007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0.0007–0.0322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&gt;0.0322</w:t>
            </w:r>
          </w:p>
        </w:tc>
      </w:tr>
      <w:tr>
        <w:tc>
          <w:tcPr>
            <w:tcW w:type="dxa" w:w="1440"/>
            <w:shd w:val="clear" w:color="auto" w:fill="DEEAF1"/>
          </w:tcPr>
          <w:p>
            <w:r>
              <w:rPr>
                <w:color w:val="000000"/>
                <w:sz w:val="18"/>
              </w:rPr>
              <w:t>CatBoost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color w:val="000000"/>
                <w:sz w:val="18"/>
              </w:rPr>
              <w:t>&lt;0.0000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color w:val="000000"/>
                <w:sz w:val="18"/>
              </w:rPr>
              <w:t>0.0000–0.0002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color w:val="000000"/>
                <w:sz w:val="18"/>
              </w:rPr>
              <w:t>0.0002–0.0029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color w:val="000000"/>
                <w:sz w:val="18"/>
              </w:rPr>
              <w:t>0.0029–0.0733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color w:val="000000"/>
                <w:sz w:val="18"/>
              </w:rPr>
              <w:t>&gt;0.0733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DNN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&lt;0.0001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0.0001–0.0006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0.0006–0.0036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0.0036–0.0998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&gt;0.0998</w:t>
            </w:r>
          </w:p>
        </w:tc>
      </w:tr>
      <w:tr>
        <w:tc>
          <w:tcPr>
            <w:tcW w:type="dxa" w:w="1440"/>
            <w:shd w:val="clear" w:color="auto" w:fill="DEEAF1"/>
          </w:tcPr>
          <w:p>
            <w:r>
              <w:rPr>
                <w:color w:val="000000"/>
                <w:sz w:val="18"/>
              </w:rPr>
              <w:t>Ensemble_mean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color w:val="000000"/>
                <w:sz w:val="18"/>
              </w:rPr>
              <w:t>&lt;0.0001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color w:val="000000"/>
                <w:sz w:val="18"/>
              </w:rPr>
              <w:t>0.0001–0.0006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color w:val="000000"/>
                <w:sz w:val="18"/>
              </w:rPr>
              <w:t>0.0006–0.0053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color w:val="000000"/>
                <w:sz w:val="18"/>
              </w:rPr>
              <w:t>0.0053–0.0932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color w:val="000000"/>
                <w:sz w:val="18"/>
              </w:rPr>
              <w:t>&gt;0.0932</w:t>
            </w:r>
          </w:p>
        </w:tc>
      </w:tr>
    </w:tbl>
    <w:p/>
    <w:p>
      <w:r>
        <w:rPr>
          <w:b/>
          <w:color w:val="1F497D"/>
          <w:sz w:val="28"/>
        </w:rPr>
        <w:t>5. Output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Folder</w:t>
            </w:r>
          </w:p>
        </w:tc>
        <w:tc>
          <w:tcPr>
            <w:tcW w:type="dxa" w:w="2880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880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color w:val="000000"/>
                <w:sz w:val="18"/>
              </w:rPr>
              <w:t>classified_maps/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color w:val="000000"/>
                <w:sz w:val="18"/>
              </w:rPr>
              <w:t>FSM_{model}_binary.tif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color w:val="000000"/>
                <w:sz w:val="18"/>
              </w:rPr>
              <w:t>Binary flood map (0/1) at CSI-optimal threshold — Int16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classified_maps/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FSM_{model}_5class.tif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5-class susceptibility map (1=Very Low … 5=Very High) — Int16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color w:val="000000"/>
                <w:sz w:val="18"/>
              </w:rPr>
              <w:t>validation/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color w:val="000000"/>
                <w:sz w:val="18"/>
              </w:rPr>
              <w:t>validation_metrics.csv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color w:val="000000"/>
                <w:sz w:val="18"/>
              </w:rPr>
              <w:t>Full metrics for all models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validation/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threshold_summary.csv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CSI &amp; Youden optimal thresholds per model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color w:val="000000"/>
                <w:sz w:val="18"/>
              </w:rPr>
              <w:t>validation/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color w:val="000000"/>
                <w:sz w:val="18"/>
              </w:rPr>
              <w:t>roc_validation.png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color w:val="000000"/>
                <w:sz w:val="18"/>
              </w:rPr>
              <w:t>ROC curves with optimal threshold points marked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validation/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confusion_matrices.png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Confusion matrix grids for all models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color w:val="000000"/>
                <w:sz w:val="18"/>
              </w:rPr>
              <w:t>validation/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color w:val="000000"/>
                <w:sz w:val="18"/>
              </w:rPr>
              <w:t>csi_threshold_curves.png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color w:val="000000"/>
                <w:sz w:val="18"/>
              </w:rPr>
              <w:t>CSI vs threshold curves per model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validation/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metrics_comparison.png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Bar chart comparing all metrics across models</w:t>
            </w:r>
          </w:p>
        </w:tc>
      </w:tr>
    </w:tbl>
    <w:p/>
    <w:p>
      <w:pPr>
        <w:jc w:val="center"/>
      </w:pPr>
      <w:r>
        <w:rPr>
          <w:sz w:val="18"/>
        </w:rPr>
        <w:t>Generated: 2026-05-25  |  Project: FSM Slovenia  |  Models: 10x (500k/class)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