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4"/>
        </w:rPr>
        <w:t>Spatial Cross-Validation Report — Slovenia FSM</w:t>
      </w:r>
    </w:p>
    <w:p/>
    <w:p>
      <w:r>
        <w:rPr>
          <w:b/>
          <w:color w:val="1F497D"/>
          <w:sz w:val="28"/>
        </w:rPr>
        <w:t>1. Methodology</w:t>
      </w:r>
    </w:p>
    <w:p>
      <w:r>
        <w:t>Slovenia was partitioned into a regular grid of 50 km × 50 km spatial blocks (16 blocks total). Blocks were assigned to 5 folds using a checkerboard pattern, ensuring a minimum train-test separation of ~50 km. This eliminates the spatial autocorrelation leakage present in random 80/20 splits (where 43.6% of test points were within 1 km of training points). Total samples: 99,732 (49,782 flood, 49,950 no-flood).</w:t>
      </w:r>
    </w:p>
    <w:p/>
    <w:p>
      <w:r>
        <w:rPr>
          <w:b/>
          <w:color w:val="1F497D"/>
          <w:sz w:val="28"/>
        </w:rPr>
        <w:t>2. Fold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Fold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N samples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Flood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No-flood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Flood %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28,424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16,605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11,819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58.4%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14,358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4,315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10,043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30.1%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19,086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8,873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10,213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46.5%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28,489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17,864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10,625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62.7%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9,375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2,125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7,250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22.7%</w:t>
            </w:r>
          </w:p>
        </w:tc>
      </w:tr>
    </w:tbl>
    <w:p/>
    <w:p>
      <w:r>
        <w:rPr>
          <w:b/>
          <w:color w:val="1F497D"/>
          <w:sz w:val="28"/>
        </w:rPr>
        <w:t>3. Mean Performance (5-Fold)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23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AUC</w:t>
            </w:r>
          </w:p>
        </w:tc>
        <w:tc>
          <w:tcPr>
            <w:tcW w:type="dxa" w:w="123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CSI</w:t>
            </w:r>
          </w:p>
        </w:tc>
        <w:tc>
          <w:tcPr>
            <w:tcW w:type="dxa" w:w="123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23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Kappa</w:t>
            </w:r>
          </w:p>
        </w:tc>
        <w:tc>
          <w:tcPr>
            <w:tcW w:type="dxa" w:w="123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Sensitivity</w:t>
            </w:r>
          </w:p>
        </w:tc>
        <w:tc>
          <w:tcPr>
            <w:tcW w:type="dxa" w:w="123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Specificity</w:t>
            </w:r>
          </w:p>
        </w:tc>
      </w:tr>
      <w:tr>
        <w:tc>
          <w:tcPr>
            <w:tcW w:type="dxa" w:w="1234"/>
            <w:shd w:val="clear" w:color="auto" w:fill="DEEAF1"/>
          </w:tcPr>
          <w:p>
            <w:r>
              <w:rPr>
                <w:color w:val="000000"/>
              </w:rPr>
              <w:t>RF</w:t>
            </w:r>
          </w:p>
        </w:tc>
        <w:tc>
          <w:tcPr>
            <w:tcW w:type="dxa" w:w="1234"/>
            <w:shd w:val="clear" w:color="auto" w:fill="DEEAF1"/>
          </w:tcPr>
          <w:p>
            <w:r>
              <w:rPr>
                <w:color w:val="000000"/>
              </w:rPr>
              <w:t>0.9663 ± 0.0163</w:t>
            </w:r>
          </w:p>
        </w:tc>
        <w:tc>
          <w:tcPr>
            <w:tcW w:type="dxa" w:w="1234"/>
            <w:shd w:val="clear" w:color="auto" w:fill="DEEAF1"/>
          </w:tcPr>
          <w:p>
            <w:r>
              <w:rPr>
                <w:color w:val="000000"/>
              </w:rPr>
              <w:t>0.8313 ± 0.0590</w:t>
            </w:r>
          </w:p>
        </w:tc>
        <w:tc>
          <w:tcPr>
            <w:tcW w:type="dxa" w:w="1234"/>
            <w:shd w:val="clear" w:color="auto" w:fill="DEEAF1"/>
          </w:tcPr>
          <w:p>
            <w:r>
              <w:rPr>
                <w:color w:val="000000"/>
              </w:rPr>
              <w:t>0.9069 ± 0.0367</w:t>
            </w:r>
          </w:p>
        </w:tc>
        <w:tc>
          <w:tcPr>
            <w:tcW w:type="dxa" w:w="1234"/>
            <w:shd w:val="clear" w:color="auto" w:fill="DEEAF1"/>
          </w:tcPr>
          <w:p>
            <w:r>
              <w:rPr>
                <w:color w:val="000000"/>
              </w:rPr>
              <w:t>0.8224 ± 0.0443</w:t>
            </w:r>
          </w:p>
        </w:tc>
        <w:tc>
          <w:tcPr>
            <w:tcW w:type="dxa" w:w="1234"/>
            <w:shd w:val="clear" w:color="auto" w:fill="DEEAF1"/>
          </w:tcPr>
          <w:p>
            <w:r>
              <w:rPr>
                <w:color w:val="000000"/>
              </w:rPr>
              <w:t>0.9497 ± 0.0391</w:t>
            </w:r>
          </w:p>
        </w:tc>
        <w:tc>
          <w:tcPr>
            <w:tcW w:type="dxa" w:w="1234"/>
            <w:shd w:val="clear" w:color="auto" w:fill="DEEAF1"/>
          </w:tcPr>
          <w:p>
            <w:r>
              <w:rPr>
                <w:color w:val="000000"/>
              </w:rPr>
              <w:t>0.8724 ± 0.0827</w:t>
            </w:r>
          </w:p>
        </w:tc>
      </w:tr>
      <w:tr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0.9636 ± 0.0192</w:t>
            </w:r>
          </w:p>
        </w:tc>
        <w:tc>
          <w:tcPr>
            <w:tcW w:type="dxa" w:w="1234"/>
          </w:tcPr>
          <w:p>
            <w:r>
              <w:t>0.8149 ± 0.0685</w:t>
            </w:r>
          </w:p>
        </w:tc>
        <w:tc>
          <w:tcPr>
            <w:tcW w:type="dxa" w:w="1234"/>
          </w:tcPr>
          <w:p>
            <w:r>
              <w:t>0.8967 ± 0.0434</w:t>
            </w:r>
          </w:p>
        </w:tc>
        <w:tc>
          <w:tcPr>
            <w:tcW w:type="dxa" w:w="1234"/>
          </w:tcPr>
          <w:p>
            <w:r>
              <w:t>0.8022 ± 0.0578</w:t>
            </w:r>
          </w:p>
        </w:tc>
        <w:tc>
          <w:tcPr>
            <w:tcW w:type="dxa" w:w="1234"/>
          </w:tcPr>
          <w:p>
            <w:r>
              <w:t>0.9453 ± 0.0327</w:t>
            </w:r>
          </w:p>
        </w:tc>
        <w:tc>
          <w:tcPr>
            <w:tcW w:type="dxa" w:w="1234"/>
          </w:tcPr>
          <w:p>
            <w:r>
              <w:t>0.8594 ± 0.0925</w:t>
            </w:r>
          </w:p>
        </w:tc>
      </w:tr>
      <w:tr>
        <w:tc>
          <w:tcPr>
            <w:tcW w:type="dxa" w:w="1234"/>
            <w:shd w:val="clear" w:color="auto" w:fill="DEEAF1"/>
          </w:tcPr>
          <w:p>
            <w:r>
              <w:rPr>
                <w:color w:val="000000"/>
              </w:rPr>
              <w:t>CatBoost</w:t>
            </w:r>
          </w:p>
        </w:tc>
        <w:tc>
          <w:tcPr>
            <w:tcW w:type="dxa" w:w="1234"/>
            <w:shd w:val="clear" w:color="auto" w:fill="DEEAF1"/>
          </w:tcPr>
          <w:p>
            <w:r>
              <w:rPr>
                <w:color w:val="000000"/>
              </w:rPr>
              <w:t>0.9647 ± 0.0190</w:t>
            </w:r>
          </w:p>
        </w:tc>
        <w:tc>
          <w:tcPr>
            <w:tcW w:type="dxa" w:w="1234"/>
            <w:shd w:val="clear" w:color="auto" w:fill="DEEAF1"/>
          </w:tcPr>
          <w:p>
            <w:r>
              <w:rPr>
                <w:color w:val="000000"/>
              </w:rPr>
              <w:t>0.8200 ± 0.0651</w:t>
            </w:r>
          </w:p>
        </w:tc>
        <w:tc>
          <w:tcPr>
            <w:tcW w:type="dxa" w:w="1234"/>
            <w:shd w:val="clear" w:color="auto" w:fill="DEEAF1"/>
          </w:tcPr>
          <w:p>
            <w:r>
              <w:rPr>
                <w:color w:val="000000"/>
              </w:rPr>
              <w:t>0.8999 ± 0.0410</w:t>
            </w:r>
          </w:p>
        </w:tc>
        <w:tc>
          <w:tcPr>
            <w:tcW w:type="dxa" w:w="1234"/>
            <w:shd w:val="clear" w:color="auto" w:fill="DEEAF1"/>
          </w:tcPr>
          <w:p>
            <w:r>
              <w:rPr>
                <w:color w:val="000000"/>
              </w:rPr>
              <w:t>0.8100 ± 0.0531</w:t>
            </w:r>
          </w:p>
        </w:tc>
        <w:tc>
          <w:tcPr>
            <w:tcW w:type="dxa" w:w="1234"/>
            <w:shd w:val="clear" w:color="auto" w:fill="DEEAF1"/>
          </w:tcPr>
          <w:p>
            <w:r>
              <w:rPr>
                <w:color w:val="000000"/>
              </w:rPr>
              <w:t>0.9367 ± 0.0367</w:t>
            </w:r>
          </w:p>
        </w:tc>
        <w:tc>
          <w:tcPr>
            <w:tcW w:type="dxa" w:w="1234"/>
            <w:shd w:val="clear" w:color="auto" w:fill="DEEAF1"/>
          </w:tcPr>
          <w:p>
            <w:r>
              <w:rPr>
                <w:color w:val="000000"/>
              </w:rPr>
              <w:t>0.8732 ± 0.0835</w:t>
            </w:r>
          </w:p>
        </w:tc>
      </w:tr>
      <w:tr>
        <w:tc>
          <w:tcPr>
            <w:tcW w:type="dxa" w:w="1234"/>
          </w:tcPr>
          <w:p>
            <w:r>
              <w:t>DNN</w:t>
            </w:r>
          </w:p>
        </w:tc>
        <w:tc>
          <w:tcPr>
            <w:tcW w:type="dxa" w:w="1234"/>
          </w:tcPr>
          <w:p>
            <w:r>
              <w:t>0.9624 ± 0.0185</w:t>
            </w:r>
          </w:p>
        </w:tc>
        <w:tc>
          <w:tcPr>
            <w:tcW w:type="dxa" w:w="1234"/>
          </w:tcPr>
          <w:p>
            <w:r>
              <w:t>0.8141 ± 0.0552</w:t>
            </w:r>
          </w:p>
        </w:tc>
        <w:tc>
          <w:tcPr>
            <w:tcW w:type="dxa" w:w="1234"/>
          </w:tcPr>
          <w:p>
            <w:r>
              <w:t>0.8967 ± 0.0344</w:t>
            </w:r>
          </w:p>
        </w:tc>
        <w:tc>
          <w:tcPr>
            <w:tcW w:type="dxa" w:w="1234"/>
          </w:tcPr>
          <w:p>
            <w:r>
              <w:t>0.8052 ± 0.0370</w:t>
            </w:r>
          </w:p>
        </w:tc>
        <w:tc>
          <w:tcPr>
            <w:tcW w:type="dxa" w:w="1234"/>
          </w:tcPr>
          <w:p>
            <w:r>
              <w:t>0.9279 ± 0.0447</w:t>
            </w:r>
          </w:p>
        </w:tc>
        <w:tc>
          <w:tcPr>
            <w:tcW w:type="dxa" w:w="1234"/>
          </w:tcPr>
          <w:p>
            <w:r>
              <w:t>0.8746 ± 0.0812</w:t>
            </w:r>
          </w:p>
        </w:tc>
      </w:tr>
    </w:tbl>
    <w:p/>
    <w:p>
      <w:r>
        <w:rPr>
          <w:b/>
          <w:color w:val="1F497D"/>
          <w:sz w:val="28"/>
        </w:rPr>
        <w:t>4. Random Split vs Spatial CV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Random split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Spatial CV (mean)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Difference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RF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AUC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0.9903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0.9663 ± 0.0163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-0.0240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CSI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0.9186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0.8313 ± 0.0590</w:t>
            </w:r>
          </w:p>
        </w:tc>
        <w:tc>
          <w:tcPr>
            <w:tcW w:type="dxa" w:w="1728"/>
          </w:tcPr>
          <w:p>
            <w:r>
              <w:rPr>
                <w:color w:val="C00000"/>
                <w:sz w:val="18"/>
              </w:rPr>
              <w:t>-0.0873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RF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F1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0.9576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0.9069 ± 0.0367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-0.0507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Kappa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0.9138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0.8224 ± 0.0443</w:t>
            </w:r>
          </w:p>
        </w:tc>
        <w:tc>
          <w:tcPr>
            <w:tcW w:type="dxa" w:w="1728"/>
          </w:tcPr>
          <w:p>
            <w:r>
              <w:rPr>
                <w:color w:val="C00000"/>
                <w:sz w:val="18"/>
              </w:rPr>
              <w:t>-0.0914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XGBoost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AUC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0.9941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0.9636 ± 0.0192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-0.0305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CSI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0.8149 ± 0.0685</w:t>
            </w:r>
          </w:p>
        </w:tc>
        <w:tc>
          <w:tcPr>
            <w:tcW w:type="dxa" w:w="1728"/>
          </w:tcPr>
          <w:p>
            <w:r>
              <w:rPr>
                <w:color w:val="C00000"/>
                <w:sz w:val="18"/>
              </w:rPr>
              <w:t>-0.1257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XGBoost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F1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0.9694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0.8967 ± 0.0434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-0.0727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Kappa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0.9381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0.8022 ± 0.0578</w:t>
            </w:r>
          </w:p>
        </w:tc>
        <w:tc>
          <w:tcPr>
            <w:tcW w:type="dxa" w:w="1728"/>
          </w:tcPr>
          <w:p>
            <w:r>
              <w:rPr>
                <w:color w:val="C00000"/>
                <w:sz w:val="18"/>
              </w:rPr>
              <w:t>-0.1359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CatBoost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AUC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0.9910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0.9647 ± 0.0190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-0.0263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CatBoost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CSI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0.9255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0.8200 ± 0.0651</w:t>
            </w:r>
          </w:p>
        </w:tc>
        <w:tc>
          <w:tcPr>
            <w:tcW w:type="dxa" w:w="1728"/>
          </w:tcPr>
          <w:p>
            <w:r>
              <w:rPr>
                <w:color w:val="C00000"/>
                <w:sz w:val="18"/>
              </w:rPr>
              <w:t>-0.1055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CatBoost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F1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0.9613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0.8999 ± 0.0410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-0.0614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CatBoost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Kappa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0.9216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0.8100 ± 0.0531</w:t>
            </w:r>
          </w:p>
        </w:tc>
        <w:tc>
          <w:tcPr>
            <w:tcW w:type="dxa" w:w="1728"/>
          </w:tcPr>
          <w:p>
            <w:r>
              <w:rPr>
                <w:color w:val="C00000"/>
                <w:sz w:val="18"/>
              </w:rPr>
              <w:t>-0.1116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DNN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AUC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0.9860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0.9624 ± 0.0185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-0.0236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CSI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0.9085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0.8141 ± 0.0552</w:t>
            </w:r>
          </w:p>
        </w:tc>
        <w:tc>
          <w:tcPr>
            <w:tcW w:type="dxa" w:w="1728"/>
          </w:tcPr>
          <w:p>
            <w:r>
              <w:rPr>
                <w:color w:val="C00000"/>
                <w:sz w:val="18"/>
              </w:rPr>
              <w:t>-0.0944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DNN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F1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0.9520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0.8967 ± 0.0344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color w:val="000000"/>
                <w:sz w:val="18"/>
              </w:rPr>
              <w:t>-0.0553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Kappa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0.8052 ± 0.0370</w:t>
            </w:r>
          </w:p>
        </w:tc>
        <w:tc>
          <w:tcPr>
            <w:tcW w:type="dxa" w:w="1728"/>
          </w:tcPr>
          <w:p>
            <w:r>
              <w:rPr>
                <w:color w:val="C00000"/>
                <w:sz w:val="18"/>
              </w:rPr>
              <w:t>-0.0967</w:t>
            </w:r>
          </w:p>
        </w:tc>
      </w:tr>
    </w:tbl>
    <w:p/>
    <w:p>
      <w:pPr>
        <w:jc w:val="center"/>
      </w:pPr>
      <w:r>
        <w:rPr>
          <w:sz w:val="18"/>
        </w:rPr>
        <w:t>Generated: 2026-05-04  |  Project: FSM Slovenia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