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RABA to LULC Conversion</w:t>
      </w:r>
    </w:p>
    <w:p>
      <w:pPr>
        <w:jc w:val="center"/>
      </w:pPr>
      <w:r>
        <w:rPr>
          <w:i/>
          <w:color w:val="606060"/>
          <w:sz w:val="20"/>
        </w:rPr>
        <w:t>Derivation of the LULC conditioning factor from the Slovenian RABA land-use database (release 2026-06-30)</w:t>
      </w:r>
    </w:p>
    <w:p>
      <w:pPr>
        <w:spacing w:before="200" w:after="80"/>
      </w:pPr>
      <w:r>
        <w:rPr>
          <w:b/>
          <w:color w:val="2E75B6"/>
          <w:sz w:val="24"/>
        </w:rPr>
        <w:t>1. Purpose and rationale</w:t>
      </w:r>
    </w:p>
    <w:p>
      <w:pPr>
        <w:spacing w:after="120"/>
      </w:pPr>
      <w:r>
        <w:rPr>
          <w:i w:val="0"/>
          <w:sz w:val="20"/>
        </w:rPr>
        <w:t>RABA (Evidenca dejanske rabe kmetijskih in gozdnih zemljisc) delineates land-use polygons from orthophotos at sub-metre precision, with a minimum mapping unit of 1000 m² for agricultural land. The analysis grid is 12.5 m, i.e. 156.25 m² per cell.</w:t>
      </w:r>
    </w:p>
    <w:p>
      <w:pPr>
        <w:spacing w:after="120"/>
      </w:pPr>
      <w:r>
        <w:rPr>
          <w:i w:val="0"/>
          <w:sz w:val="20"/>
        </w:rPr>
        <w:t>Rasterising the polygons directly at 12.5 m applies a pixel-centre rule: any feature smaller than one cell either flips to a neighbouring class or vanishes entirely, and the resulting aliasing is noise a learner will fit. The conversion therefore burns the polygons at a 10x finer grid (1.25 m) and block-aggregates to per-class areal fractions, from which the categorical LULC factor is then taken as the modal class. The intermediate fraction raster is retained so the sub-cell composition remains available.</w:t>
      </w:r>
    </w:p>
    <w:p>
      <w:pPr>
        <w:spacing w:before="200" w:after="80"/>
      </w:pPr>
      <w:r>
        <w:rPr>
          <w:b/>
          <w:color w:val="2E75B6"/>
          <w:sz w:val="24"/>
        </w:rPr>
        <w:t>2. Input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Source layer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RABA_20260630.shp (release 2026-06-30)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Polygon features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1,698,891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Distinct RABA_ID codes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25 (all mapped, none dropped)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Attribute burned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RABA_ID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Source CRS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EPSG:3794 (D96/TM, Slovene National Grid)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Reference grid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CgFs_Aligned/Flooded_NoFlood.tif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Output grid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19909 x 12996 @ 12.5 m, EPSG:3794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Intermediate burn grid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1.25 m (10x oversample, 100 sub-cells per target cell)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The source layer and the reference grid share EPSG:3794, so no datum transformation was applied. The D48/GK to D96/TM conversion, which is grid-based and would otherwise introduce metre-level regional distortion on a 12.5 m grid, was not required.</w:t>
      </w:r>
    </w:p>
    <w:p>
      <w:pPr>
        <w:spacing w:before="200" w:after="80"/>
      </w:pPr>
      <w:r>
        <w:rPr>
          <w:b/>
          <w:color w:val="2E75B6"/>
          <w:sz w:val="24"/>
        </w:rPr>
        <w:t>3. Processing chain</w:t>
      </w:r>
    </w:p>
    <w:p>
      <w:pPr>
        <w:spacing w:after="120"/>
        <w:ind w:left="283"/>
      </w:pPr>
      <w:r>
        <w:rPr>
          <w:rFonts w:ascii="Consolas" w:hAnsi="Consolas"/>
          <w:sz w:val="18"/>
        </w:rPr>
        <w:t>RABA_20260630.shp</w:t>
        <w:br/>
        <w:t xml:space="preserve">        |</w:t>
        <w:br/>
        <w:t xml:space="preserve">        |  raba_fractions.py  (burn at 1.25 m, block-aggregate 10x10)</w:t>
        <w:br/>
        <w:t xml:space="preserve">        v</w:t>
        <w:br/>
        <w:t>raba_frac_202606.tif    9 bands, float32  -  7 fractions + coverage + modal</w:t>
        <w:br/>
        <w:t xml:space="preserve">        |</w:t>
        <w:br/>
        <w:t xml:space="preserve">        |  extract modal band, nodata = 0, LZW</w:t>
        <w:br/>
        <w:t xml:space="preserve">        v</w:t>
        <w:br/>
        <w:t>CgFs_Aligned/LULC.tif   1 band, float32, codes 1-7</w:t>
      </w:r>
    </w:p>
    <w:p>
      <w:pPr>
        <w:spacing w:after="120"/>
      </w:pPr>
      <w:r>
        <w:rPr>
          <w:i/>
          <w:color w:val="606060"/>
          <w:sz w:val="18"/>
        </w:rPr>
        <w:t>Processing is windowed over 78 x 51 tiles so the full fine grid never resides in memory. Runtime was approximately 12 minutes single-threaded; the intermediate fraction raster is 401 MB (deflate, predictor 3).</w:t>
      </w:r>
    </w:p>
    <w:p>
      <w:pPr>
        <w:spacing w:before="200" w:after="80"/>
      </w:pPr>
      <w:r>
        <w:rPr>
          <w:b/>
          <w:color w:val="2E75B6"/>
          <w:sz w:val="24"/>
        </w:rPr>
        <w:t>4. RABA_ID to LULC class mapping</w:t>
      </w:r>
    </w:p>
    <w:p>
      <w:pPr>
        <w:spacing w:after="120"/>
      </w:pPr>
      <w:r>
        <w:rPr>
          <w:i w:val="0"/>
          <w:sz w:val="20"/>
        </w:rPr>
        <w:t>Classes are grouped by runoff and infiltration behaviour rather than agronomy. Three assignments therefore differ from the thematic MKGP reading: greenhouses (1190) are grouped with built-up land because a glass or plastic roof is hydrologically impervious; overgrown agricultural area (1410) and trees and shrubs (1500) are grouped as woody because their canopy interception resembles forest; and uncultivated agricultural land (1600) is grouped as grassland, being typically rank grass rather than bare soil.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7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RABA_ID</w:t>
            </w:r>
          </w:p>
        </w:tc>
        <w:tc>
          <w:tcPr>
            <w:tcW w:type="dxa" w:w="408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Official class name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LULC class</w:t>
            </w:r>
          </w:p>
        </w:tc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Polygons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1100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Arable land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arable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214,613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1160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Hop field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arable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558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1180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Permanent crops on arable land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arable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1,341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1211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Vineyard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41,208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1212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Nursery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66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1221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Intensive orchard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8,331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1222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Extensive orchard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104,821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1230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Olive grove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8,318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1240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Other permanent crop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5,300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1300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Permanent grassland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grassland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313,678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1321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Swampy meadow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grassland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2,148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1600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Uncultivated agricultural 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grassland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159,667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1410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Overgrown agricultural area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152,658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1420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Forest plantation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924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1500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Trees and shrubs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259,607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1800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Forest trees on agricultural 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23,535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2000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Forest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152,220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3000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Built-up area and related surface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built_up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194,092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1190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Greenhouse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built_up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6,043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4100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Swamp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water_wetland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4210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Reed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water_wetland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51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4220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Other marshy area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water_wetland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1,512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7000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Water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water_wetland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28,528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5000</w:t>
            </w:r>
          </w:p>
        </w:tc>
        <w:tc>
          <w:tcPr>
            <w:tcW w:type="dxa" w:w="4082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Dried open area with special vegetation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bare_open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15,649</w:t>
            </w:r>
          </w:p>
        </w:tc>
      </w:tr>
      <w:tr>
        <w:tc>
          <w:tcPr>
            <w:tcW w:type="dxa" w:w="1077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6000</w:t>
            </w:r>
          </w:p>
        </w:tc>
        <w:tc>
          <w:tcPr>
            <w:tcW w:type="dxa" w:w="4082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Open area with little or no vegetation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bare_open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4,011</w:t>
            </w:r>
          </w:p>
        </w:tc>
      </w:tr>
      <w:tr>
        <w:tc>
          <w:tcPr>
            <w:tcW w:type="dxa" w:w="1077"/>
            <w:shd w:val="clear" w:color="auto" w:fill="DCE9F7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4082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268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1417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1,698,891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Class names as published in RABA_Read_me.pdf.</w:t>
      </w:r>
    </w:p>
    <w:p>
      <w:pPr>
        <w:spacing w:before="200" w:after="80"/>
      </w:pPr>
      <w:r>
        <w:rPr>
          <w:b/>
          <w:color w:val="2E75B6"/>
          <w:sz w:val="24"/>
        </w:rPr>
        <w:t>5. LULC class distribution</w:t>
      </w:r>
    </w:p>
    <w:p>
      <w:pPr>
        <w:spacing w:after="120"/>
      </w:pPr>
      <w:r>
        <w:rPr>
          <w:i w:val="0"/>
          <w:sz w:val="20"/>
        </w:rPr>
        <w:t>Cell counts and areal share for each class in CgFs_Aligned/LULC.tif. The modal share is the proportion of cells whose dominant class is the given class; the fractional share is the mean areal fraction across all cells, i.e. the true land-cover proportion before the modal reduction.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50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38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LULC class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Cells</w:t>
            </w:r>
          </w:p>
        </w:tc>
        <w:tc>
          <w:tcPr>
            <w:tcW w:type="dxa" w:w="147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(km²)</w:t>
            </w:r>
          </w:p>
        </w:tc>
        <w:tc>
          <w:tcPr>
            <w:tcW w:type="dxa" w:w="147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Modal share</w:t>
            </w:r>
          </w:p>
        </w:tc>
        <w:tc>
          <w:tcPr>
            <w:tcW w:type="dxa" w:w="153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Fractional share</w:t>
            </w:r>
          </w:p>
        </w:tc>
      </w:tr>
      <w:tr>
        <w:tc>
          <w:tcPr>
            <w:tcW w:type="dxa" w:w="850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38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arable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11,431,047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1,786.1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8.81%</w:t>
            </w:r>
          </w:p>
        </w:tc>
        <w:tc>
          <w:tcPr>
            <w:tcW w:type="dxa" w:w="153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8.70%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permanent_crop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3,314,701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517.9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2.56%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2.50%</w:t>
            </w:r>
          </w:p>
        </w:tc>
      </w:tr>
      <w:tr>
        <w:tc>
          <w:tcPr>
            <w:tcW w:type="dxa" w:w="850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38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grassland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24,175,069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3,777.4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18.64%</w:t>
            </w:r>
          </w:p>
        </w:tc>
        <w:tc>
          <w:tcPr>
            <w:tcW w:type="dxa" w:w="153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18.32%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woody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81,150,942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12,679.8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62.56%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62.42%</w:t>
            </w:r>
          </w:p>
        </w:tc>
      </w:tr>
      <w:tr>
        <w:tc>
          <w:tcPr>
            <w:tcW w:type="dxa" w:w="850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38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built_up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6,756,035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1,055.6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5.21%</w:t>
            </w:r>
          </w:p>
        </w:tc>
        <w:tc>
          <w:tcPr>
            <w:tcW w:type="dxa" w:w="153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5.76%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water_wetland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933,856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145.9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0.72%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0.75%</w:t>
            </w:r>
          </w:p>
        </w:tc>
      </w:tr>
      <w:tr>
        <w:tc>
          <w:tcPr>
            <w:tcW w:type="dxa" w:w="850"/>
            <w:shd w:val="clear" w:color="auto" w:fill="F2F7FC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38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bare_open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1,959,509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306.2</w:t>
            </w:r>
          </w:p>
        </w:tc>
        <w:tc>
          <w:tcPr>
            <w:tcW w:type="dxa" w:w="147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1.51%</w:t>
            </w:r>
          </w:p>
        </w:tc>
        <w:tc>
          <w:tcPr>
            <w:tcW w:type="dxa" w:w="153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1.52%</w:t>
            </w:r>
          </w:p>
        </w:tc>
      </w:tr>
      <w:tr>
        <w:tc>
          <w:tcPr>
            <w:tcW w:type="dxa" w:w="850"/>
            <w:shd w:val="clear" w:color="auto" w:fill="DCE9F7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381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701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129,721,159</w:t>
            </w:r>
          </w:p>
        </w:tc>
        <w:tc>
          <w:tcPr>
            <w:tcW w:type="dxa" w:w="1474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20,268.9</w:t>
            </w:r>
          </w:p>
        </w:tc>
        <w:tc>
          <w:tcPr>
            <w:tcW w:type="dxa" w:w="1474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100.00%</w:t>
            </w:r>
          </w:p>
        </w:tc>
        <w:tc>
          <w:tcPr>
            <w:tcW w:type="dxa" w:w="1531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99.97%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Total mapped area is 20,269 km² against Slovenia's official 20,271 km². Modal and fractional shares agree to within 0.6 percentage points for every class, confirming the modal reduction introduces no systematic bias.</w:t>
      </w:r>
    </w:p>
    <w:p>
      <w:pPr>
        <w:spacing w:before="200" w:after="80"/>
      </w:pPr>
      <w:r>
        <w:rPr>
          <w:b/>
          <w:color w:val="2E75B6"/>
          <w:sz w:val="24"/>
        </w:rPr>
        <w:t>6. Areal composition from the fractional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LULC class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(km²)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r>
              <w:rPr>
                <w:sz w:val="18"/>
              </w:rPr>
              <w:t>woody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62.42%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12,655.6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grassland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18.32%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3,714.0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r>
              <w:rPr>
                <w:sz w:val="18"/>
              </w:rPr>
              <w:t>arable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8.70%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1,763.4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built_up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5.76%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1,167.1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r>
              <w:rPr>
                <w:sz w:val="18"/>
              </w:rPr>
              <w:t>permanent_crop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2.50%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507.7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bare_open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1.52%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307.4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r>
              <w:rPr>
                <w:sz w:val="18"/>
              </w:rPr>
              <w:t>water_wetland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0.75%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151.3</w:t>
            </w:r>
          </w:p>
        </w:tc>
      </w:tr>
      <w:tr>
        <w:tc>
          <w:tcPr>
            <w:tcW w:type="dxa" w:w="3402"/>
            <w:shd w:val="clear" w:color="auto" w:fill="DCE9F7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984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99.97%</w:t>
            </w:r>
          </w:p>
        </w:tc>
        <w:tc>
          <w:tcPr>
            <w:tcW w:type="dxa" w:w="2268"/>
            <w:shd w:val="clear" w:color="auto" w:fill="DCE9F7"/>
          </w:tcPr>
          <w:p>
            <w:pPr>
              <w:jc w:val="right"/>
            </w:pPr>
            <w:r>
              <w:rPr>
                <w:b/>
                <w:sz w:val="18"/>
              </w:rPr>
              <w:t>20,266.5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Woody cover at 62.4% comprises forest (2000) together with the scrub and transitional classes 1410, 1420, 1500 and 1800; the forest class alone corresponds to the commonly cited national figure of roughly 58%.</w:t>
      </w:r>
    </w:p>
    <w:p>
      <w:pPr>
        <w:spacing w:before="200" w:after="80"/>
      </w:pPr>
      <w:r>
        <w:rPr>
          <w:b/>
          <w:color w:val="2E75B6"/>
          <w:sz w:val="24"/>
        </w:rPr>
        <w:t>7. Sub-cell purity</w:t>
      </w:r>
    </w:p>
    <w:p>
      <w:pPr>
        <w:spacing w:after="120"/>
      </w:pPr>
      <w:r>
        <w:rPr>
          <w:i w:val="0"/>
          <w:sz w:val="20"/>
        </w:rPr>
        <w:t>Distribution of the largest class fraction within each cell, quantifying what the modal reduction discards.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25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Largest class fraction in cell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Cells</w:t>
            </w:r>
          </w:p>
        </w:tc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4252"/>
            <w:shd w:val="clear" w:color="auto" w:fill="F2F7FC"/>
          </w:tcPr>
          <w:p>
            <w:r>
              <w:rPr>
                <w:sz w:val="18"/>
              </w:rPr>
              <w:t>Pure (max fraction &gt;= 0.99)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108,351,297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83.51%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0.90 - 0.99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5,073,932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3.91%</w:t>
            </w:r>
          </w:p>
        </w:tc>
      </w:tr>
      <w:tr>
        <w:tc>
          <w:tcPr>
            <w:tcW w:type="dxa" w:w="4252"/>
            <w:shd w:val="clear" w:color="auto" w:fill="F2F7FC"/>
          </w:tcPr>
          <w:p>
            <w:r>
              <w:rPr>
                <w:sz w:val="18"/>
              </w:rPr>
              <w:t>0.60 - 0.90</w:t>
            </w:r>
          </w:p>
        </w:tc>
        <w:tc>
          <w:tcPr>
            <w:tcW w:type="dxa" w:w="1984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11,885,206</w:t>
            </w:r>
          </w:p>
        </w:tc>
        <w:tc>
          <w:tcPr>
            <w:tcW w:type="dxa" w:w="1417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9.16%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Mixed (&lt; 0.60)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4,439,350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3.42%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83.5% of cells contain a single class, so the modal value is exact for the great majority of Slovenia. The remaining 16.5% are concentrated along land-use boundaries. Where that mixing matters, the fractional bands of raba_frac_202606.tif provide it directly.</w:t>
      </w:r>
    </w:p>
    <w:p>
      <w:pPr>
        <w:spacing w:before="200" w:after="80"/>
      </w:pPr>
      <w:r>
        <w:rPr>
          <w:b/>
          <w:color w:val="2E75B6"/>
          <w:sz w:val="24"/>
        </w:rPr>
        <w:t>8.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669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685"/>
            <w:shd w:val="clear" w:color="auto" w:fill="F2F7FC"/>
          </w:tcPr>
          <w:p>
            <w:r>
              <w:rPr>
                <w:sz w:val="18"/>
              </w:rPr>
              <w:t>Grid identity with Flooded_NoFlood.tif</w:t>
            </w:r>
          </w:p>
        </w:tc>
        <w:tc>
          <w:tcPr>
            <w:tcW w:type="dxa" w:w="5669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Pass - transform, dimensions and CRS identical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Sum of class fractions equals coverage band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Pass - max residual 6.333e-08 (float32 rounding)</w:t>
            </w:r>
          </w:p>
        </w:tc>
      </w:tr>
      <w:tr>
        <w:tc>
          <w:tcPr>
            <w:tcW w:type="dxa" w:w="3685"/>
            <w:shd w:val="clear" w:color="auto" w:fill="F2F7FC"/>
          </w:tcPr>
          <w:p>
            <w:r>
              <w:rPr>
                <w:sz w:val="18"/>
              </w:rPr>
              <w:t>Band value ranges</w:t>
            </w:r>
          </w:p>
        </w:tc>
        <w:tc>
          <w:tcPr>
            <w:tcW w:type="dxa" w:w="5669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Pass - all fractions within [0, 1]; modal within [0, 7]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Unmapped RABA codes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Pass - none; all 25 codes assigned</w:t>
            </w:r>
          </w:p>
        </w:tc>
      </w:tr>
      <w:tr>
        <w:tc>
          <w:tcPr>
            <w:tcW w:type="dxa" w:w="3685"/>
            <w:shd w:val="clear" w:color="auto" w:fill="F2F7FC"/>
          </w:tcPr>
          <w:p>
            <w:r>
              <w:rPr>
                <w:sz w:val="18"/>
              </w:rPr>
              <w:t>Total area vs. official national area</w:t>
            </w:r>
          </w:p>
        </w:tc>
        <w:tc>
          <w:tcPr>
            <w:tcW w:type="dxa" w:w="5669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Pass - 20,269 km² vs 20,271 km² (0.02% difference)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Valid cells in fraction raster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129,749,785</w:t>
            </w:r>
          </w:p>
        </w:tc>
      </w:tr>
      <w:tr>
        <w:tc>
          <w:tcPr>
            <w:tcW w:type="dxa" w:w="3685"/>
            <w:shd w:val="clear" w:color="auto" w:fill="F2F7FC"/>
          </w:tcPr>
          <w:p>
            <w:r>
              <w:rPr>
                <w:sz w:val="18"/>
              </w:rPr>
              <w:t>Valid cells in LULC.tif</w:t>
            </w:r>
          </w:p>
        </w:tc>
        <w:tc>
          <w:tcPr>
            <w:tcW w:type="dxa" w:w="5669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129,721,159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Cells lost to RABA polygon gaps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28,626 (0.022%)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E75B6"/>
          <w:sz w:val="20"/>
        </w:rPr>
        <w:t>Polygon coverage per 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 band value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Cells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&gt;= 0.999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129,671,561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0.9 - 0.999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13,576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0.01%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0.5 - 0.9</w:t>
            </w:r>
          </w:p>
        </w:tc>
        <w:tc>
          <w:tcPr>
            <w:tcW w:type="dxa" w:w="2268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24,143</w:t>
            </w:r>
          </w:p>
        </w:tc>
        <w:tc>
          <w:tcPr>
            <w:tcW w:type="dxa" w:w="1701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0.02%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&lt; 0.5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40,505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0.03%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Coverage is effectively complete on 99.94% of cells. The small remainder lies on the national border, where the RABA polygon coverage ends inside the raster mask.</w:t>
      </w:r>
    </w:p>
    <w:p>
      <w:pPr>
        <w:spacing w:before="200" w:after="80"/>
      </w:pPr>
      <w:r>
        <w:rPr>
          <w:b/>
          <w:color w:val="2E75B6"/>
          <w:sz w:val="24"/>
        </w:rPr>
        <w:t>9.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For_Analysis/raba_frac_202606.tif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9 bands, float32, 401 MB. Bands 1-7 are per-class areal fractions in [0, 1] in the order arable, permanent_crop, grassland, woody, built_up, water_wetland, bare_open; band 8 is polygon coverage; band 9 is the modal class id. Nodata NaN.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CgFs_Aligned/LULC.tif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right"/>
            </w:pPr>
            <w:r>
              <w:rPr>
                <w:sz w:val="18"/>
              </w:rPr>
              <w:t>1 band, float32, LZW. Categorical conditioning factor, codes 1-7 as in Section 5. Nodata 0, denoting cells outside the Slovenia mask or without RABA polygon coverage.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18"/>
              </w:rPr>
              <w:t>For_Analysis/raba_fractions.py</w:t>
            </w:r>
          </w:p>
        </w:tc>
        <w:tc>
          <w:tcPr>
            <w:tcW w:type="dxa" w:w="6236"/>
            <w:shd w:val="clear" w:color="auto" w:fill="F2F7FC"/>
          </w:tcPr>
          <w:p>
            <w:pPr>
              <w:jc w:val="right"/>
            </w:pPr>
            <w:r>
              <w:rPr>
                <w:sz w:val="18"/>
              </w:rPr>
              <w:t>Conversion script. Group mapping, oversampling factor and reference grid are command-line configurable.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06060"/>
          <w:sz w:val="18"/>
        </w:rPr>
        <w:t>The nodata convention of LULC.tif matches the existing categorical factors (Hgk_grouped, Pedoloska_grouped, lito_poly_250_d96_grouped), which likewise use 0, so the raster is handled correctly by the existing sampling and training code without modification.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