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44"/>
        </w:rPr>
        <w:t>Flood Susceptibility Mapping of Slovenia</w:t>
      </w:r>
    </w:p>
    <w:p>
      <w:pPr>
        <w:jc w:val="center"/>
      </w:pPr>
      <w:r>
        <w:rPr>
          <w:color w:val="555555"/>
          <w:sz w:val="28"/>
        </w:rPr>
        <w:t>Multi-Scale Machine Learning Analysis — Summary Report</w:t>
      </w:r>
    </w:p>
    <w:p/>
    <w:p>
      <w:pPr>
        <w:jc w:val="center"/>
      </w:pPr>
      <w:r>
        <w:rPr>
          <w:sz w:val="22"/>
        </w:rPr>
        <w:t>Date: 31 July 2026</w:t>
      </w:r>
    </w:p>
    <w:p/>
    <w:p>
      <w:pPr>
        <w:jc w:val="center"/>
      </w:pPr>
      <w:r>
        <w:rPr>
          <w:sz w:val="20"/>
        </w:rPr>
        <w:t>Resolution: 12.5 m  |  CRS: EPSG:3794  |  Study area: ~20,254 km²</w:t>
      </w:r>
    </w:p>
    <w:p>
      <w:r>
        <w:br w:type="page"/>
      </w:r>
    </w:p>
    <w:p>
      <w:pPr>
        <w:pStyle w:val="Heading1"/>
      </w:pPr>
      <w:r>
        <w:rPr>
          <w:color w:val="1A237E"/>
        </w:rPr>
        <w:t>1. Executive Summary</w:t>
      </w:r>
    </w:p>
    <w:p>
      <w:r>
        <w:t>This report presents a comprehensive flood susceptibility mapping (FSM) study for Slovenia using four machine learning (ML) models — Random Forest (RF), XGBoost, CatBoost, and a Deep Neural Network (DNN) — trained across five sample sizes (1x to 10x, corresponding to 50,000–500,000 samples per class). The study evaluates model performance through both standard random-split validation and rigorous 5-fold spatial block cross-validation (50 km blocks) to assess true spatial generalisation. Explainability was addressed using SHAP (SHapley Additive exPlanations) for all models and sample sizes. Key findings include:</w:t>
      </w:r>
    </w:p>
    <w:p>
      <w:pPr>
        <w:pStyle w:val="ListBullet"/>
      </w:pPr>
      <w:r>
        <w:rPr>
          <w:sz w:val="20"/>
        </w:rPr>
        <w:t>XGBoost consistently achieved the highest standard validation performance across all sample sizes (AUC up to 0.994, CSI up to 0.940 at 10x).</w:t>
      </w:r>
    </w:p>
    <w:p>
      <w:pPr>
        <w:pStyle w:val="ListBullet"/>
      </w:pPr>
      <w:r>
        <w:rPr>
          <w:sz w:val="20"/>
        </w:rPr>
        <w:t>Spatial CV revealed that RF is the most spatially robust model (AUC ≈ 0.965, CSI ≈ 0.830 across all sizes), indicating superior generalisation to unseen spatial regions.</w:t>
      </w:r>
    </w:p>
    <w:p>
      <w:pPr>
        <w:pStyle w:val="ListBullet"/>
      </w:pPr>
      <w:r>
        <w:rPr>
          <w:sz w:val="20"/>
        </w:rPr>
        <w:t>Performance improved steadily from 1x to 10x training samples in standard validation, but spatial CV metrics plateaued — suggesting spatial autocorrelation is the dominant limiting factor rather than sample size.</w:t>
      </w:r>
    </w:p>
    <w:p>
      <w:pPr>
        <w:pStyle w:val="ListBullet"/>
      </w:pPr>
      <w:r>
        <w:rPr>
          <w:sz w:val="20"/>
        </w:rPr>
        <w:t>The ensemble mean model provides a reliable consensus flood susceptibility map, predicting ~2,176 km² of flood-prone area (10.7% of Slovenia) at the CSI-optimal threshold.</w:t>
      </w:r>
    </w:p>
    <w:p>
      <w:pPr>
        <w:pStyle w:val="ListBullet"/>
      </w:pPr>
      <w:r>
        <w:rPr>
          <w:sz w:val="20"/>
        </w:rPr>
        <w:t>SHAP analysis consistently identified Soil Type, HAND (Height Above Nearest Drainage), Elevation, TRI (Terrain Ruggedness Index), and Lithology as the most influential conditioning factors across all models and sample sizes.</w:t>
      </w:r>
    </w:p>
    <w:p>
      <w:r>
        <w:br w:type="page"/>
      </w:r>
    </w:p>
    <w:p>
      <w:pPr>
        <w:pStyle w:val="Heading1"/>
      </w:pPr>
      <w:r>
        <w:rPr>
          <w:color w:val="1A237E"/>
        </w:rPr>
        <w:t>2. Study Area &amp; Data</w:t>
      </w:r>
    </w:p>
    <w:p>
      <w:pPr>
        <w:pStyle w:val="Heading2"/>
      </w:pPr>
      <w:r>
        <w:rPr>
          <w:color w:val="1A237E"/>
        </w:rPr>
        <w:t>2.1 Study Area</w:t>
      </w:r>
    </w:p>
    <w:p>
      <w:r>
        <w:t>The study covers the entire territory of Slovenia (approximately 20,254 km²) using a 12.5 m spatial resolution raster grid aligned to the national coordinate reference system EPSG:3794 (Transverse Mercator, Bessel 1841 ellipsoid). The total analysis grid comprises approximately 129.6 million valid pixels.</w:t>
      </w:r>
    </w:p>
    <w:p>
      <w:pPr>
        <w:pStyle w:val="Heading2"/>
      </w:pPr>
      <w:r>
        <w:rPr>
          <w:color w:val="1A237E"/>
        </w:rPr>
        <w:t>2.2 Conditioning Factors</w:t>
      </w:r>
    </w:p>
    <w:p>
      <w:r>
        <w:t>Nineteen flood conditioning factors were selected after VIF-based collinearity analysis from an initial set of terrain, hydrological, soil, and climatic variables: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237E"/>
            <w:vAlign w:val="center"/>
          </w:tcPr>
          <w:p>
            <w:pPr>
              <w:jc w:val="center"/>
            </w:pPr>
            <w:r>
              <w:rPr>
                <w:b/>
                <w:color w:val="FFFFFF"/>
                <w:sz w:val="18"/>
              </w:rPr>
              <w:t>#</w:t>
            </w:r>
          </w:p>
        </w:tc>
        <w:tc>
          <w:tcPr>
            <w:tcW w:type="dxa" w:w="3135"/>
            <w:shd w:val="clear" w:color="auto" w:fill="1A237E"/>
            <w:vAlign w:val="center"/>
          </w:tcPr>
          <w:p>
            <w:pPr>
              <w:jc w:val="center"/>
            </w:pPr>
            <w:r>
              <w:rPr>
                <w:b/>
                <w:color w:val="FFFFFF"/>
                <w:sz w:val="18"/>
              </w:rPr>
              <w:t>Factor</w:t>
            </w:r>
          </w:p>
        </w:tc>
        <w:tc>
          <w:tcPr>
            <w:tcW w:type="dxa" w:w="3135"/>
            <w:shd w:val="clear" w:color="auto" w:fill="1A237E"/>
            <w:vAlign w:val="center"/>
          </w:tcPr>
          <w:p>
            <w:pPr>
              <w:jc w:val="center"/>
            </w:pPr>
            <w:r>
              <w:rPr>
                <w:b/>
                <w:color w:val="FFFFFF"/>
                <w:sz w:val="18"/>
              </w:rPr>
              <w:t>Description</w:t>
            </w:r>
          </w:p>
        </w:tc>
      </w:tr>
      <w:tr>
        <w:tc>
          <w:tcPr>
            <w:tcW w:type="dxa" w:w="3135"/>
            <w:vAlign w:val="center"/>
            <w:shd w:val="clear" w:color="auto" w:fill="F5F5F5"/>
          </w:tcPr>
          <w:p>
            <w:pPr>
              <w:jc w:val="center"/>
            </w:pPr>
            <w:r>
              <w:rPr>
                <w:sz w:val="18"/>
              </w:rPr>
              <w:t>1</w:t>
            </w:r>
          </w:p>
        </w:tc>
        <w:tc>
          <w:tcPr>
            <w:tcW w:type="dxa" w:w="3135"/>
            <w:vAlign w:val="center"/>
            <w:shd w:val="clear" w:color="auto" w:fill="F5F5F5"/>
          </w:tcPr>
          <w:p>
            <w:pPr>
              <w:jc w:val="center"/>
            </w:pPr>
            <w:r>
              <w:rPr>
                <w:sz w:val="18"/>
              </w:rPr>
              <w:t>Distance to River</w:t>
            </w:r>
          </w:p>
        </w:tc>
        <w:tc>
          <w:tcPr>
            <w:tcW w:type="dxa" w:w="3135"/>
            <w:vAlign w:val="center"/>
            <w:shd w:val="clear" w:color="auto" w:fill="F5F5F5"/>
          </w:tcPr>
          <w:p>
            <w:pPr>
              <w:jc w:val="left"/>
            </w:pPr>
            <w:r>
              <w:rPr>
                <w:sz w:val="18"/>
              </w:rPr>
              <w:t>Proximity to stream network (m)</w:t>
            </w:r>
          </w:p>
        </w:tc>
      </w:tr>
      <w:tr>
        <w:tc>
          <w:tcPr>
            <w:tcW w:type="dxa" w:w="3135"/>
            <w:vAlign w:val="center"/>
            <w:shd w:val="clear" w:color="auto" w:fill="FFFFFF"/>
          </w:tcPr>
          <w:p>
            <w:pPr>
              <w:jc w:val="center"/>
            </w:pPr>
            <w:r>
              <w:rPr>
                <w:sz w:val="18"/>
              </w:rPr>
              <w:t>2</w:t>
            </w:r>
          </w:p>
        </w:tc>
        <w:tc>
          <w:tcPr>
            <w:tcW w:type="dxa" w:w="3135"/>
            <w:vAlign w:val="center"/>
            <w:shd w:val="clear" w:color="auto" w:fill="FFFFFF"/>
          </w:tcPr>
          <w:p>
            <w:pPr>
              <w:jc w:val="center"/>
            </w:pPr>
            <w:r>
              <w:rPr>
                <w:sz w:val="18"/>
              </w:rPr>
              <w:t>Distance to Road</w:t>
            </w:r>
          </w:p>
        </w:tc>
        <w:tc>
          <w:tcPr>
            <w:tcW w:type="dxa" w:w="3135"/>
            <w:vAlign w:val="center"/>
            <w:shd w:val="clear" w:color="auto" w:fill="FFFFFF"/>
          </w:tcPr>
          <w:p>
            <w:pPr>
              <w:jc w:val="left"/>
            </w:pPr>
            <w:r>
              <w:rPr>
                <w:sz w:val="18"/>
              </w:rPr>
              <w:t>Proximity to road network (m)</w:t>
            </w:r>
          </w:p>
        </w:tc>
      </w:tr>
      <w:tr>
        <w:tc>
          <w:tcPr>
            <w:tcW w:type="dxa" w:w="3135"/>
            <w:vAlign w:val="center"/>
            <w:shd w:val="clear" w:color="auto" w:fill="F5F5F5"/>
          </w:tcPr>
          <w:p>
            <w:pPr>
              <w:jc w:val="center"/>
            </w:pPr>
            <w:r>
              <w:rPr>
                <w:sz w:val="18"/>
              </w:rPr>
              <w:t>3</w:t>
            </w:r>
          </w:p>
        </w:tc>
        <w:tc>
          <w:tcPr>
            <w:tcW w:type="dxa" w:w="3135"/>
            <w:vAlign w:val="center"/>
            <w:shd w:val="clear" w:color="auto" w:fill="F5F5F5"/>
          </w:tcPr>
          <w:p>
            <w:pPr>
              <w:jc w:val="center"/>
            </w:pPr>
            <w:r>
              <w:rPr>
                <w:sz w:val="18"/>
              </w:rPr>
              <w:t>Hydrogeological Soil</w:t>
            </w:r>
          </w:p>
        </w:tc>
        <w:tc>
          <w:tcPr>
            <w:tcW w:type="dxa" w:w="3135"/>
            <w:vAlign w:val="center"/>
            <w:shd w:val="clear" w:color="auto" w:fill="F5F5F5"/>
          </w:tcPr>
          <w:p>
            <w:pPr>
              <w:jc w:val="left"/>
            </w:pPr>
            <w:r>
              <w:rPr>
                <w:sz w:val="18"/>
              </w:rPr>
              <w:t>Grouped hydrogeological soil classes</w:t>
            </w:r>
          </w:p>
        </w:tc>
      </w:tr>
      <w:tr>
        <w:tc>
          <w:tcPr>
            <w:tcW w:type="dxa" w:w="3135"/>
            <w:vAlign w:val="center"/>
            <w:shd w:val="clear" w:color="auto" w:fill="FFFFFF"/>
          </w:tcPr>
          <w:p>
            <w:pPr>
              <w:jc w:val="center"/>
            </w:pPr>
            <w:r>
              <w:rPr>
                <w:sz w:val="18"/>
              </w:rPr>
              <w:t>4</w:t>
            </w:r>
          </w:p>
        </w:tc>
        <w:tc>
          <w:tcPr>
            <w:tcW w:type="dxa" w:w="3135"/>
            <w:vAlign w:val="center"/>
            <w:shd w:val="clear" w:color="auto" w:fill="FFFFFF"/>
          </w:tcPr>
          <w:p>
            <w:pPr>
              <w:jc w:val="center"/>
            </w:pPr>
            <w:r>
              <w:rPr>
                <w:sz w:val="18"/>
              </w:rPr>
              <w:t>Soil Type</w:t>
            </w:r>
          </w:p>
        </w:tc>
        <w:tc>
          <w:tcPr>
            <w:tcW w:type="dxa" w:w="3135"/>
            <w:vAlign w:val="center"/>
            <w:shd w:val="clear" w:color="auto" w:fill="FFFFFF"/>
          </w:tcPr>
          <w:p>
            <w:pPr>
              <w:jc w:val="left"/>
            </w:pPr>
            <w:r>
              <w:rPr>
                <w:sz w:val="18"/>
              </w:rPr>
              <w:t>Pedological soil classification (grouped)</w:t>
            </w:r>
          </w:p>
        </w:tc>
      </w:tr>
      <w:tr>
        <w:tc>
          <w:tcPr>
            <w:tcW w:type="dxa" w:w="3135"/>
            <w:vAlign w:val="center"/>
            <w:shd w:val="clear" w:color="auto" w:fill="F5F5F5"/>
          </w:tcPr>
          <w:p>
            <w:pPr>
              <w:jc w:val="center"/>
            </w:pPr>
            <w:r>
              <w:rPr>
                <w:sz w:val="18"/>
              </w:rPr>
              <w:t>5</w:t>
            </w:r>
          </w:p>
        </w:tc>
        <w:tc>
          <w:tcPr>
            <w:tcW w:type="dxa" w:w="3135"/>
            <w:vAlign w:val="center"/>
            <w:shd w:val="clear" w:color="auto" w:fill="F5F5F5"/>
          </w:tcPr>
          <w:p>
            <w:pPr>
              <w:jc w:val="center"/>
            </w:pPr>
            <w:r>
              <w:rPr>
                <w:sz w:val="18"/>
              </w:rPr>
              <w:t>River Density</w:t>
            </w:r>
          </w:p>
        </w:tc>
        <w:tc>
          <w:tcPr>
            <w:tcW w:type="dxa" w:w="3135"/>
            <w:vAlign w:val="center"/>
            <w:shd w:val="clear" w:color="auto" w:fill="F5F5F5"/>
          </w:tcPr>
          <w:p>
            <w:pPr>
              <w:jc w:val="left"/>
            </w:pPr>
            <w:r>
              <w:rPr>
                <w:sz w:val="18"/>
              </w:rPr>
              <w:t>Stream density per unit area</w:t>
            </w:r>
          </w:p>
        </w:tc>
      </w:tr>
      <w:tr>
        <w:tc>
          <w:tcPr>
            <w:tcW w:type="dxa" w:w="3135"/>
            <w:vAlign w:val="center"/>
            <w:shd w:val="clear" w:color="auto" w:fill="FFFFFF"/>
          </w:tcPr>
          <w:p>
            <w:pPr>
              <w:jc w:val="center"/>
            </w:pPr>
            <w:r>
              <w:rPr>
                <w:sz w:val="18"/>
              </w:rPr>
              <w:t>6</w:t>
            </w:r>
          </w:p>
        </w:tc>
        <w:tc>
          <w:tcPr>
            <w:tcW w:type="dxa" w:w="3135"/>
            <w:vAlign w:val="center"/>
            <w:shd w:val="clear" w:color="auto" w:fill="FFFFFF"/>
          </w:tcPr>
          <w:p>
            <w:pPr>
              <w:jc w:val="center"/>
            </w:pPr>
            <w:r>
              <w:rPr>
                <w:sz w:val="18"/>
              </w:rPr>
              <w:t>Aspect</w:t>
            </w:r>
          </w:p>
        </w:tc>
        <w:tc>
          <w:tcPr>
            <w:tcW w:type="dxa" w:w="3135"/>
            <w:vAlign w:val="center"/>
            <w:shd w:val="clear" w:color="auto" w:fill="FFFFFF"/>
          </w:tcPr>
          <w:p>
            <w:pPr>
              <w:jc w:val="left"/>
            </w:pPr>
            <w:r>
              <w:rPr>
                <w:sz w:val="18"/>
              </w:rPr>
              <w:t>Slope facing direction (°)</w:t>
            </w:r>
          </w:p>
        </w:tc>
      </w:tr>
      <w:tr>
        <w:tc>
          <w:tcPr>
            <w:tcW w:type="dxa" w:w="3135"/>
            <w:vAlign w:val="center"/>
            <w:shd w:val="clear" w:color="auto" w:fill="F5F5F5"/>
          </w:tcPr>
          <w:p>
            <w:pPr>
              <w:jc w:val="center"/>
            </w:pPr>
            <w:r>
              <w:rPr>
                <w:sz w:val="18"/>
              </w:rPr>
              <w:t>7</w:t>
            </w:r>
          </w:p>
        </w:tc>
        <w:tc>
          <w:tcPr>
            <w:tcW w:type="dxa" w:w="3135"/>
            <w:vAlign w:val="center"/>
            <w:shd w:val="clear" w:color="auto" w:fill="F5F5F5"/>
          </w:tcPr>
          <w:p>
            <w:pPr>
              <w:jc w:val="center"/>
            </w:pPr>
            <w:r>
              <w:rPr>
                <w:sz w:val="18"/>
              </w:rPr>
              <w:t>Drainage Density</w:t>
            </w:r>
          </w:p>
        </w:tc>
        <w:tc>
          <w:tcPr>
            <w:tcW w:type="dxa" w:w="3135"/>
            <w:vAlign w:val="center"/>
            <w:shd w:val="clear" w:color="auto" w:fill="F5F5F5"/>
          </w:tcPr>
          <w:p>
            <w:pPr>
              <w:jc w:val="left"/>
            </w:pPr>
            <w:r>
              <w:rPr>
                <w:sz w:val="18"/>
              </w:rPr>
              <w:t>Total channel length / catchment area</w:t>
            </w:r>
          </w:p>
        </w:tc>
      </w:tr>
      <w:tr>
        <w:tc>
          <w:tcPr>
            <w:tcW w:type="dxa" w:w="3135"/>
            <w:vAlign w:val="center"/>
            <w:shd w:val="clear" w:color="auto" w:fill="FFFFFF"/>
          </w:tcPr>
          <w:p>
            <w:pPr>
              <w:jc w:val="center"/>
            </w:pPr>
            <w:r>
              <w:rPr>
                <w:sz w:val="18"/>
              </w:rPr>
              <w:t>8</w:t>
            </w:r>
          </w:p>
        </w:tc>
        <w:tc>
          <w:tcPr>
            <w:tcW w:type="dxa" w:w="3135"/>
            <w:vAlign w:val="center"/>
            <w:shd w:val="clear" w:color="auto" w:fill="FFFFFF"/>
          </w:tcPr>
          <w:p>
            <w:pPr>
              <w:jc w:val="center"/>
            </w:pPr>
            <w:r>
              <w:rPr>
                <w:sz w:val="18"/>
              </w:rPr>
              <w:t>Elevation</w:t>
            </w:r>
          </w:p>
        </w:tc>
        <w:tc>
          <w:tcPr>
            <w:tcW w:type="dxa" w:w="3135"/>
            <w:vAlign w:val="center"/>
            <w:shd w:val="clear" w:color="auto" w:fill="FFFFFF"/>
          </w:tcPr>
          <w:p>
            <w:pPr>
              <w:jc w:val="left"/>
            </w:pPr>
            <w:r>
              <w:rPr>
                <w:sz w:val="18"/>
              </w:rPr>
              <w:t>Digital elevation model (m a.s.l.)</w:t>
            </w:r>
          </w:p>
        </w:tc>
      </w:tr>
      <w:tr>
        <w:tc>
          <w:tcPr>
            <w:tcW w:type="dxa" w:w="3135"/>
            <w:vAlign w:val="center"/>
            <w:shd w:val="clear" w:color="auto" w:fill="F5F5F5"/>
          </w:tcPr>
          <w:p>
            <w:pPr>
              <w:jc w:val="center"/>
            </w:pPr>
            <w:r>
              <w:rPr>
                <w:sz w:val="18"/>
              </w:rPr>
              <w:t>9</w:t>
            </w:r>
          </w:p>
        </w:tc>
        <w:tc>
          <w:tcPr>
            <w:tcW w:type="dxa" w:w="3135"/>
            <w:vAlign w:val="center"/>
            <w:shd w:val="clear" w:color="auto" w:fill="F5F5F5"/>
          </w:tcPr>
          <w:p>
            <w:pPr>
              <w:jc w:val="center"/>
            </w:pPr>
            <w:r>
              <w:rPr>
                <w:sz w:val="18"/>
              </w:rPr>
              <w:t>Flow Accumulation</w:t>
            </w:r>
          </w:p>
        </w:tc>
        <w:tc>
          <w:tcPr>
            <w:tcW w:type="dxa" w:w="3135"/>
            <w:vAlign w:val="center"/>
            <w:shd w:val="clear" w:color="auto" w:fill="F5F5F5"/>
          </w:tcPr>
          <w:p>
            <w:pPr>
              <w:jc w:val="left"/>
            </w:pPr>
            <w:r>
              <w:rPr>
                <w:sz w:val="18"/>
              </w:rPr>
              <w:t>Upstream contributing area (cells)</w:t>
            </w:r>
          </w:p>
        </w:tc>
      </w:tr>
      <w:tr>
        <w:tc>
          <w:tcPr>
            <w:tcW w:type="dxa" w:w="3135"/>
            <w:vAlign w:val="center"/>
            <w:shd w:val="clear" w:color="auto" w:fill="FFFFFF"/>
          </w:tcPr>
          <w:p>
            <w:pPr>
              <w:jc w:val="center"/>
            </w:pPr>
            <w:r>
              <w:rPr>
                <w:sz w:val="18"/>
              </w:rPr>
              <w:t>10</w:t>
            </w:r>
          </w:p>
        </w:tc>
        <w:tc>
          <w:tcPr>
            <w:tcW w:type="dxa" w:w="3135"/>
            <w:vAlign w:val="center"/>
            <w:shd w:val="clear" w:color="auto" w:fill="FFFFFF"/>
          </w:tcPr>
          <w:p>
            <w:pPr>
              <w:jc w:val="center"/>
            </w:pPr>
            <w:r>
              <w:rPr>
                <w:sz w:val="18"/>
              </w:rPr>
              <w:t>HAND</w:t>
            </w:r>
          </w:p>
        </w:tc>
        <w:tc>
          <w:tcPr>
            <w:tcW w:type="dxa" w:w="3135"/>
            <w:vAlign w:val="center"/>
            <w:shd w:val="clear" w:color="auto" w:fill="FFFFFF"/>
          </w:tcPr>
          <w:p>
            <w:pPr>
              <w:jc w:val="left"/>
            </w:pPr>
            <w:r>
              <w:rPr>
                <w:sz w:val="18"/>
              </w:rPr>
              <w:t>Height Above Nearest Drainage (m)</w:t>
            </w:r>
          </w:p>
        </w:tc>
      </w:tr>
      <w:tr>
        <w:tc>
          <w:tcPr>
            <w:tcW w:type="dxa" w:w="3135"/>
            <w:vAlign w:val="center"/>
            <w:shd w:val="clear" w:color="auto" w:fill="F5F5F5"/>
          </w:tcPr>
          <w:p>
            <w:pPr>
              <w:jc w:val="center"/>
            </w:pPr>
            <w:r>
              <w:rPr>
                <w:sz w:val="18"/>
              </w:rPr>
              <w:t>11</w:t>
            </w:r>
          </w:p>
        </w:tc>
        <w:tc>
          <w:tcPr>
            <w:tcW w:type="dxa" w:w="3135"/>
            <w:vAlign w:val="center"/>
            <w:shd w:val="clear" w:color="auto" w:fill="F5F5F5"/>
          </w:tcPr>
          <w:p>
            <w:pPr>
              <w:jc w:val="center"/>
            </w:pPr>
            <w:r>
              <w:rPr>
                <w:sz w:val="18"/>
              </w:rPr>
              <w:t>Lithology</w:t>
            </w:r>
          </w:p>
        </w:tc>
        <w:tc>
          <w:tcPr>
            <w:tcW w:type="dxa" w:w="3135"/>
            <w:vAlign w:val="center"/>
            <w:shd w:val="clear" w:color="auto" w:fill="F5F5F5"/>
          </w:tcPr>
          <w:p>
            <w:pPr>
              <w:jc w:val="left"/>
            </w:pPr>
            <w:r>
              <w:rPr>
                <w:sz w:val="18"/>
              </w:rPr>
              <w:t>Grouped lithological classes</w:t>
            </w:r>
          </w:p>
        </w:tc>
      </w:tr>
      <w:tr>
        <w:tc>
          <w:tcPr>
            <w:tcW w:type="dxa" w:w="3135"/>
            <w:vAlign w:val="center"/>
            <w:shd w:val="clear" w:color="auto" w:fill="FFFFFF"/>
          </w:tcPr>
          <w:p>
            <w:pPr>
              <w:jc w:val="center"/>
            </w:pPr>
            <w:r>
              <w:rPr>
                <w:sz w:val="18"/>
              </w:rPr>
              <w:t>12</w:t>
            </w:r>
          </w:p>
        </w:tc>
        <w:tc>
          <w:tcPr>
            <w:tcW w:type="dxa" w:w="3135"/>
            <w:vAlign w:val="center"/>
            <w:shd w:val="clear" w:color="auto" w:fill="FFFFFF"/>
          </w:tcPr>
          <w:p>
            <w:pPr>
              <w:jc w:val="center"/>
            </w:pPr>
            <w:r>
              <w:rPr>
                <w:sz w:val="18"/>
              </w:rPr>
              <w:t>LS Factor</w:t>
            </w:r>
          </w:p>
        </w:tc>
        <w:tc>
          <w:tcPr>
            <w:tcW w:type="dxa" w:w="3135"/>
            <w:vAlign w:val="center"/>
            <w:shd w:val="clear" w:color="auto" w:fill="FFFFFF"/>
          </w:tcPr>
          <w:p>
            <w:pPr>
              <w:jc w:val="left"/>
            </w:pPr>
            <w:r>
              <w:rPr>
                <w:sz w:val="18"/>
              </w:rPr>
              <w:t>Slope length and steepness factor</w:t>
            </w:r>
          </w:p>
        </w:tc>
      </w:tr>
      <w:tr>
        <w:tc>
          <w:tcPr>
            <w:tcW w:type="dxa" w:w="3135"/>
            <w:vAlign w:val="center"/>
            <w:shd w:val="clear" w:color="auto" w:fill="F5F5F5"/>
          </w:tcPr>
          <w:p>
            <w:pPr>
              <w:jc w:val="center"/>
            </w:pPr>
            <w:r>
              <w:rPr>
                <w:sz w:val="18"/>
              </w:rPr>
              <w:t>13</w:t>
            </w:r>
          </w:p>
        </w:tc>
        <w:tc>
          <w:tcPr>
            <w:tcW w:type="dxa" w:w="3135"/>
            <w:vAlign w:val="center"/>
            <w:shd w:val="clear" w:color="auto" w:fill="F5F5F5"/>
          </w:tcPr>
          <w:p>
            <w:pPr>
              <w:jc w:val="center"/>
            </w:pPr>
            <w:r>
              <w:rPr>
                <w:sz w:val="18"/>
              </w:rPr>
              <w:t>Plan Curvature</w:t>
            </w:r>
          </w:p>
        </w:tc>
        <w:tc>
          <w:tcPr>
            <w:tcW w:type="dxa" w:w="3135"/>
            <w:vAlign w:val="center"/>
            <w:shd w:val="clear" w:color="auto" w:fill="F5F5F5"/>
          </w:tcPr>
          <w:p>
            <w:pPr>
              <w:jc w:val="left"/>
            </w:pPr>
            <w:r>
              <w:rPr>
                <w:sz w:val="18"/>
              </w:rPr>
              <w:t>Horizontal curvature of slope</w:t>
            </w:r>
          </w:p>
        </w:tc>
      </w:tr>
      <w:tr>
        <w:tc>
          <w:tcPr>
            <w:tcW w:type="dxa" w:w="3135"/>
            <w:vAlign w:val="center"/>
            <w:shd w:val="clear" w:color="auto" w:fill="FFFFFF"/>
          </w:tcPr>
          <w:p>
            <w:pPr>
              <w:jc w:val="center"/>
            </w:pPr>
            <w:r>
              <w:rPr>
                <w:sz w:val="18"/>
              </w:rPr>
              <w:t>14</w:t>
            </w:r>
          </w:p>
        </w:tc>
        <w:tc>
          <w:tcPr>
            <w:tcW w:type="dxa" w:w="3135"/>
            <w:vAlign w:val="center"/>
            <w:shd w:val="clear" w:color="auto" w:fill="FFFFFF"/>
          </w:tcPr>
          <w:p>
            <w:pPr>
              <w:jc w:val="center"/>
            </w:pPr>
            <w:r>
              <w:rPr>
                <w:sz w:val="18"/>
              </w:rPr>
              <w:t>Profile Curvature</w:t>
            </w:r>
          </w:p>
        </w:tc>
        <w:tc>
          <w:tcPr>
            <w:tcW w:type="dxa" w:w="3135"/>
            <w:vAlign w:val="center"/>
            <w:shd w:val="clear" w:color="auto" w:fill="FFFFFF"/>
          </w:tcPr>
          <w:p>
            <w:pPr>
              <w:jc w:val="left"/>
            </w:pPr>
            <w:r>
              <w:rPr>
                <w:sz w:val="18"/>
              </w:rPr>
              <w:t>Vertical curvature of slope</w:t>
            </w:r>
          </w:p>
        </w:tc>
      </w:tr>
      <w:tr>
        <w:tc>
          <w:tcPr>
            <w:tcW w:type="dxa" w:w="3135"/>
            <w:vAlign w:val="center"/>
            <w:shd w:val="clear" w:color="auto" w:fill="F5F5F5"/>
          </w:tcPr>
          <w:p>
            <w:pPr>
              <w:jc w:val="center"/>
            </w:pPr>
            <w:r>
              <w:rPr>
                <w:sz w:val="18"/>
              </w:rPr>
              <w:t>15</w:t>
            </w:r>
          </w:p>
        </w:tc>
        <w:tc>
          <w:tcPr>
            <w:tcW w:type="dxa" w:w="3135"/>
            <w:vAlign w:val="center"/>
            <w:shd w:val="clear" w:color="auto" w:fill="F5F5F5"/>
          </w:tcPr>
          <w:p>
            <w:pPr>
              <w:jc w:val="center"/>
            </w:pPr>
            <w:r>
              <w:rPr>
                <w:sz w:val="18"/>
              </w:rPr>
              <w:t>Rainfall P90</w:t>
            </w:r>
          </w:p>
        </w:tc>
        <w:tc>
          <w:tcPr>
            <w:tcW w:type="dxa" w:w="3135"/>
            <w:vAlign w:val="center"/>
            <w:shd w:val="clear" w:color="auto" w:fill="F5F5F5"/>
          </w:tcPr>
          <w:p>
            <w:pPr>
              <w:jc w:val="left"/>
            </w:pPr>
            <w:r>
              <w:rPr>
                <w:sz w:val="18"/>
              </w:rPr>
              <w:t>Annual max daily precipitation 90th percentile (mm)</w:t>
            </w:r>
          </w:p>
        </w:tc>
      </w:tr>
      <w:tr>
        <w:tc>
          <w:tcPr>
            <w:tcW w:type="dxa" w:w="3135"/>
            <w:vAlign w:val="center"/>
            <w:shd w:val="clear" w:color="auto" w:fill="FFFFFF"/>
          </w:tcPr>
          <w:p>
            <w:pPr>
              <w:jc w:val="center"/>
            </w:pPr>
            <w:r>
              <w:rPr>
                <w:sz w:val="18"/>
              </w:rPr>
              <w:t>16</w:t>
            </w:r>
          </w:p>
        </w:tc>
        <w:tc>
          <w:tcPr>
            <w:tcW w:type="dxa" w:w="3135"/>
            <w:vAlign w:val="center"/>
            <w:shd w:val="clear" w:color="auto" w:fill="FFFFFF"/>
          </w:tcPr>
          <w:p>
            <w:pPr>
              <w:jc w:val="center"/>
            </w:pPr>
            <w:r>
              <w:rPr>
                <w:sz w:val="18"/>
              </w:rPr>
              <w:t>SPI</w:t>
            </w:r>
          </w:p>
        </w:tc>
        <w:tc>
          <w:tcPr>
            <w:tcW w:type="dxa" w:w="3135"/>
            <w:vAlign w:val="center"/>
            <w:shd w:val="clear" w:color="auto" w:fill="FFFFFF"/>
          </w:tcPr>
          <w:p>
            <w:pPr>
              <w:jc w:val="left"/>
            </w:pPr>
            <w:r>
              <w:rPr>
                <w:sz w:val="18"/>
              </w:rPr>
              <w:t>Stream Power Index</w:t>
            </w:r>
          </w:p>
        </w:tc>
      </w:tr>
      <w:tr>
        <w:tc>
          <w:tcPr>
            <w:tcW w:type="dxa" w:w="3135"/>
            <w:vAlign w:val="center"/>
            <w:shd w:val="clear" w:color="auto" w:fill="F5F5F5"/>
          </w:tcPr>
          <w:p>
            <w:pPr>
              <w:jc w:val="center"/>
            </w:pPr>
            <w:r>
              <w:rPr>
                <w:sz w:val="18"/>
              </w:rPr>
              <w:t>17</w:t>
            </w:r>
          </w:p>
        </w:tc>
        <w:tc>
          <w:tcPr>
            <w:tcW w:type="dxa" w:w="3135"/>
            <w:vAlign w:val="center"/>
            <w:shd w:val="clear" w:color="auto" w:fill="F5F5F5"/>
          </w:tcPr>
          <w:p>
            <w:pPr>
              <w:jc w:val="center"/>
            </w:pPr>
            <w:r>
              <w:rPr>
                <w:sz w:val="18"/>
              </w:rPr>
              <w:t>TRI</w:t>
            </w:r>
          </w:p>
        </w:tc>
        <w:tc>
          <w:tcPr>
            <w:tcW w:type="dxa" w:w="3135"/>
            <w:vAlign w:val="center"/>
            <w:shd w:val="clear" w:color="auto" w:fill="F5F5F5"/>
          </w:tcPr>
          <w:p>
            <w:pPr>
              <w:jc w:val="left"/>
            </w:pPr>
            <w:r>
              <w:rPr>
                <w:sz w:val="18"/>
              </w:rPr>
              <w:t>Terrain Ruggedness Index</w:t>
            </w:r>
          </w:p>
        </w:tc>
      </w:tr>
      <w:tr>
        <w:tc>
          <w:tcPr>
            <w:tcW w:type="dxa" w:w="3135"/>
            <w:vAlign w:val="center"/>
            <w:shd w:val="clear" w:color="auto" w:fill="FFFFFF"/>
          </w:tcPr>
          <w:p>
            <w:pPr>
              <w:jc w:val="center"/>
            </w:pPr>
            <w:r>
              <w:rPr>
                <w:sz w:val="18"/>
              </w:rPr>
              <w:t>18</w:t>
            </w:r>
          </w:p>
        </w:tc>
        <w:tc>
          <w:tcPr>
            <w:tcW w:type="dxa" w:w="3135"/>
            <w:vAlign w:val="center"/>
            <w:shd w:val="clear" w:color="auto" w:fill="FFFFFF"/>
          </w:tcPr>
          <w:p>
            <w:pPr>
              <w:jc w:val="center"/>
            </w:pPr>
            <w:r>
              <w:rPr>
                <w:sz w:val="18"/>
              </w:rPr>
              <w:t>TWI</w:t>
            </w:r>
          </w:p>
        </w:tc>
        <w:tc>
          <w:tcPr>
            <w:tcW w:type="dxa" w:w="3135"/>
            <w:vAlign w:val="center"/>
            <w:shd w:val="clear" w:color="auto" w:fill="FFFFFF"/>
          </w:tcPr>
          <w:p>
            <w:pPr>
              <w:jc w:val="left"/>
            </w:pPr>
            <w:r>
              <w:rPr>
                <w:sz w:val="18"/>
              </w:rPr>
              <w:t>Topographic Wetness Index</w:t>
            </w:r>
          </w:p>
        </w:tc>
      </w:tr>
      <w:tr>
        <w:tc>
          <w:tcPr>
            <w:tcW w:type="dxa" w:w="3135"/>
            <w:vAlign w:val="center"/>
            <w:shd w:val="clear" w:color="auto" w:fill="F5F5F5"/>
          </w:tcPr>
          <w:p>
            <w:pPr>
              <w:jc w:val="center"/>
            </w:pPr>
            <w:r>
              <w:rPr>
                <w:sz w:val="18"/>
              </w:rPr>
              <w:t>19</w:t>
            </w:r>
          </w:p>
        </w:tc>
        <w:tc>
          <w:tcPr>
            <w:tcW w:type="dxa" w:w="3135"/>
            <w:vAlign w:val="center"/>
            <w:shd w:val="clear" w:color="auto" w:fill="F5F5F5"/>
          </w:tcPr>
          <w:p>
            <w:pPr>
              <w:jc w:val="center"/>
            </w:pPr>
            <w:r>
              <w:rPr>
                <w:sz w:val="18"/>
              </w:rPr>
              <w:t>Valley Depth</w:t>
            </w:r>
          </w:p>
        </w:tc>
        <w:tc>
          <w:tcPr>
            <w:tcW w:type="dxa" w:w="3135"/>
            <w:vAlign w:val="center"/>
            <w:shd w:val="clear" w:color="auto" w:fill="F5F5F5"/>
          </w:tcPr>
          <w:p>
            <w:pPr>
              <w:jc w:val="left"/>
            </w:pPr>
            <w:r>
              <w:rPr>
                <w:sz w:val="18"/>
              </w:rPr>
              <w:t>Depth below surrounding terrain (m)</w:t>
            </w:r>
          </w:p>
        </w:tc>
      </w:tr>
    </w:tbl>
    <w:p/>
    <w:p>
      <w:pPr>
        <w:pStyle w:val="Heading2"/>
      </w:pPr>
      <w:r>
        <w:rPr>
          <w:color w:val="1A237E"/>
        </w:rPr>
        <w:t>2.3 Training Samples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237E"/>
            <w:vAlign w:val="center"/>
          </w:tcPr>
          <w:p>
            <w:pPr>
              <w:jc w:val="center"/>
            </w:pPr>
            <w:r>
              <w:rPr>
                <w:b/>
                <w:color w:val="FFFFFF"/>
                <w:sz w:val="18"/>
              </w:rPr>
              <w:t>Size</w:t>
            </w:r>
          </w:p>
        </w:tc>
        <w:tc>
          <w:tcPr>
            <w:tcW w:type="dxa" w:w="1881"/>
            <w:shd w:val="clear" w:color="auto" w:fill="1A237E"/>
            <w:vAlign w:val="center"/>
          </w:tcPr>
          <w:p>
            <w:pPr>
              <w:jc w:val="center"/>
            </w:pPr>
            <w:r>
              <w:rPr>
                <w:b/>
                <w:color w:val="FFFFFF"/>
                <w:sz w:val="18"/>
              </w:rPr>
              <w:t>Train/class</w:t>
            </w:r>
          </w:p>
        </w:tc>
        <w:tc>
          <w:tcPr>
            <w:tcW w:type="dxa" w:w="1881"/>
            <w:shd w:val="clear" w:color="auto" w:fill="1A237E"/>
            <w:vAlign w:val="center"/>
          </w:tcPr>
          <w:p>
            <w:pPr>
              <w:jc w:val="center"/>
            </w:pPr>
            <w:r>
              <w:rPr>
                <w:b/>
                <w:color w:val="FFFFFF"/>
                <w:sz w:val="18"/>
              </w:rPr>
              <w:t>Total train</w:t>
            </w:r>
          </w:p>
        </w:tc>
        <w:tc>
          <w:tcPr>
            <w:tcW w:type="dxa" w:w="1881"/>
            <w:shd w:val="clear" w:color="auto" w:fill="1A237E"/>
            <w:vAlign w:val="center"/>
          </w:tcPr>
          <w:p>
            <w:pPr>
              <w:jc w:val="center"/>
            </w:pPr>
            <w:r>
              <w:rPr>
                <w:b/>
                <w:color w:val="FFFFFF"/>
                <w:sz w:val="18"/>
              </w:rPr>
              <w:t>Test/class</w:t>
            </w:r>
          </w:p>
        </w:tc>
        <w:tc>
          <w:tcPr>
            <w:tcW w:type="dxa" w:w="1881"/>
            <w:shd w:val="clear" w:color="auto" w:fill="1A237E"/>
            <w:vAlign w:val="center"/>
          </w:tcPr>
          <w:p>
            <w:pPr>
              <w:jc w:val="center"/>
            </w:pPr>
            <w:r>
              <w:rPr>
                <w:b/>
                <w:color w:val="FFFFFF"/>
                <w:sz w:val="18"/>
              </w:rPr>
              <w:t>Total test</w:t>
            </w:r>
          </w:p>
        </w:tc>
      </w:tr>
      <w:tr>
        <w:tc>
          <w:tcPr>
            <w:tcW w:type="dxa" w:w="1881"/>
            <w:vAlign w:val="center"/>
            <w:shd w:val="clear" w:color="auto" w:fill="F5F5F5"/>
          </w:tcPr>
          <w:p>
            <w:pPr>
              <w:jc w:val="center"/>
            </w:pPr>
            <w:r>
              <w:rPr>
                <w:sz w:val="18"/>
              </w:rPr>
              <w:t>1x</w:t>
            </w:r>
          </w:p>
        </w:tc>
        <w:tc>
          <w:tcPr>
            <w:tcW w:type="dxa" w:w="1881"/>
            <w:vAlign w:val="center"/>
            <w:shd w:val="clear" w:color="auto" w:fill="F5F5F5"/>
          </w:tcPr>
          <w:p>
            <w:pPr>
              <w:jc w:val="center"/>
            </w:pPr>
            <w:r>
              <w:rPr>
                <w:sz w:val="18"/>
              </w:rPr>
              <w:t>50,000</w:t>
            </w:r>
          </w:p>
        </w:tc>
        <w:tc>
          <w:tcPr>
            <w:tcW w:type="dxa" w:w="1881"/>
            <w:vAlign w:val="center"/>
            <w:shd w:val="clear" w:color="auto" w:fill="F5F5F5"/>
          </w:tcPr>
          <w:p>
            <w:pPr>
              <w:jc w:val="center"/>
            </w:pPr>
            <w:r>
              <w:rPr>
                <w:sz w:val="18"/>
              </w:rPr>
              <w:t>100,000</w:t>
            </w:r>
          </w:p>
        </w:tc>
        <w:tc>
          <w:tcPr>
            <w:tcW w:type="dxa" w:w="1881"/>
            <w:vAlign w:val="center"/>
            <w:shd w:val="clear" w:color="auto" w:fill="F5F5F5"/>
          </w:tcPr>
          <w:p>
            <w:pPr>
              <w:jc w:val="center"/>
            </w:pPr>
            <w:r>
              <w:rPr>
                <w:sz w:val="18"/>
              </w:rPr>
              <w:t>9,957</w:t>
            </w:r>
          </w:p>
        </w:tc>
        <w:tc>
          <w:tcPr>
            <w:tcW w:type="dxa" w:w="1881"/>
            <w:vAlign w:val="center"/>
            <w:shd w:val="clear" w:color="auto" w:fill="F5F5F5"/>
          </w:tcPr>
          <w:p>
            <w:pPr>
              <w:jc w:val="center"/>
            </w:pPr>
            <w:r>
              <w:rPr>
                <w:sz w:val="18"/>
              </w:rPr>
              <w:t>19,957</w:t>
            </w:r>
          </w:p>
        </w:tc>
      </w:tr>
      <w:tr>
        <w:tc>
          <w:tcPr>
            <w:tcW w:type="dxa" w:w="1881"/>
            <w:vAlign w:val="center"/>
            <w:shd w:val="clear" w:color="auto" w:fill="FFFFFF"/>
          </w:tcPr>
          <w:p>
            <w:pPr>
              <w:jc w:val="center"/>
            </w:pPr>
            <w:r>
              <w:rPr>
                <w:sz w:val="18"/>
              </w:rPr>
              <w:t>2x</w:t>
            </w:r>
          </w:p>
        </w:tc>
        <w:tc>
          <w:tcPr>
            <w:tcW w:type="dxa" w:w="1881"/>
            <w:vAlign w:val="center"/>
            <w:shd w:val="clear" w:color="auto" w:fill="FFFFFF"/>
          </w:tcPr>
          <w:p>
            <w:pPr>
              <w:jc w:val="center"/>
            </w:pPr>
            <w:r>
              <w:rPr>
                <w:sz w:val="18"/>
              </w:rPr>
              <w:t>100,000</w:t>
            </w:r>
          </w:p>
        </w:tc>
        <w:tc>
          <w:tcPr>
            <w:tcW w:type="dxa" w:w="1881"/>
            <w:vAlign w:val="center"/>
            <w:shd w:val="clear" w:color="auto" w:fill="FFFFFF"/>
          </w:tcPr>
          <w:p>
            <w:pPr>
              <w:jc w:val="center"/>
            </w:pPr>
            <w:r>
              <w:rPr>
                <w:sz w:val="18"/>
              </w:rPr>
              <w:t>200,000</w:t>
            </w:r>
          </w:p>
        </w:tc>
        <w:tc>
          <w:tcPr>
            <w:tcW w:type="dxa" w:w="1881"/>
            <w:vAlign w:val="center"/>
            <w:shd w:val="clear" w:color="auto" w:fill="FFFFFF"/>
          </w:tcPr>
          <w:p>
            <w:pPr>
              <w:jc w:val="center"/>
            </w:pPr>
            <w:r>
              <w:rPr>
                <w:sz w:val="18"/>
              </w:rPr>
              <w:t>9,957</w:t>
            </w:r>
          </w:p>
        </w:tc>
        <w:tc>
          <w:tcPr>
            <w:tcW w:type="dxa" w:w="1881"/>
            <w:vAlign w:val="center"/>
            <w:shd w:val="clear" w:color="auto" w:fill="FFFFFF"/>
          </w:tcPr>
          <w:p>
            <w:pPr>
              <w:jc w:val="center"/>
            </w:pPr>
            <w:r>
              <w:rPr>
                <w:sz w:val="18"/>
              </w:rPr>
              <w:t>39,914</w:t>
            </w:r>
          </w:p>
        </w:tc>
      </w:tr>
      <w:tr>
        <w:tc>
          <w:tcPr>
            <w:tcW w:type="dxa" w:w="1881"/>
            <w:vAlign w:val="center"/>
            <w:shd w:val="clear" w:color="auto" w:fill="F5F5F5"/>
          </w:tcPr>
          <w:p>
            <w:pPr>
              <w:jc w:val="center"/>
            </w:pPr>
            <w:r>
              <w:rPr>
                <w:sz w:val="18"/>
              </w:rPr>
              <w:t>3x</w:t>
            </w:r>
          </w:p>
        </w:tc>
        <w:tc>
          <w:tcPr>
            <w:tcW w:type="dxa" w:w="1881"/>
            <w:vAlign w:val="center"/>
            <w:shd w:val="clear" w:color="auto" w:fill="F5F5F5"/>
          </w:tcPr>
          <w:p>
            <w:pPr>
              <w:jc w:val="center"/>
            </w:pPr>
            <w:r>
              <w:rPr>
                <w:sz w:val="18"/>
              </w:rPr>
              <w:t>150,000</w:t>
            </w:r>
          </w:p>
        </w:tc>
        <w:tc>
          <w:tcPr>
            <w:tcW w:type="dxa" w:w="1881"/>
            <w:vAlign w:val="center"/>
            <w:shd w:val="clear" w:color="auto" w:fill="F5F5F5"/>
          </w:tcPr>
          <w:p>
            <w:pPr>
              <w:jc w:val="center"/>
            </w:pPr>
            <w:r>
              <w:rPr>
                <w:sz w:val="18"/>
              </w:rPr>
              <w:t>300,000</w:t>
            </w:r>
          </w:p>
        </w:tc>
        <w:tc>
          <w:tcPr>
            <w:tcW w:type="dxa" w:w="1881"/>
            <w:vAlign w:val="center"/>
            <w:shd w:val="clear" w:color="auto" w:fill="F5F5F5"/>
          </w:tcPr>
          <w:p>
            <w:pPr>
              <w:jc w:val="center"/>
            </w:pPr>
            <w:r>
              <w:rPr>
                <w:sz w:val="18"/>
              </w:rPr>
              <w:t>9,957</w:t>
            </w:r>
          </w:p>
        </w:tc>
        <w:tc>
          <w:tcPr>
            <w:tcW w:type="dxa" w:w="1881"/>
            <w:vAlign w:val="center"/>
            <w:shd w:val="clear" w:color="auto" w:fill="F5F5F5"/>
          </w:tcPr>
          <w:p>
            <w:pPr>
              <w:jc w:val="center"/>
            </w:pPr>
            <w:r>
              <w:rPr>
                <w:sz w:val="18"/>
              </w:rPr>
              <w:t>59,871</w:t>
            </w:r>
          </w:p>
        </w:tc>
      </w:tr>
      <w:tr>
        <w:tc>
          <w:tcPr>
            <w:tcW w:type="dxa" w:w="1881"/>
            <w:vAlign w:val="center"/>
            <w:shd w:val="clear" w:color="auto" w:fill="FFFFFF"/>
          </w:tcPr>
          <w:p>
            <w:pPr>
              <w:jc w:val="center"/>
            </w:pPr>
            <w:r>
              <w:rPr>
                <w:sz w:val="18"/>
              </w:rPr>
              <w:t>4x</w:t>
            </w:r>
          </w:p>
        </w:tc>
        <w:tc>
          <w:tcPr>
            <w:tcW w:type="dxa" w:w="1881"/>
            <w:vAlign w:val="center"/>
            <w:shd w:val="clear" w:color="auto" w:fill="FFFFFF"/>
          </w:tcPr>
          <w:p>
            <w:pPr>
              <w:jc w:val="center"/>
            </w:pPr>
            <w:r>
              <w:rPr>
                <w:sz w:val="18"/>
              </w:rPr>
              <w:t>200,000</w:t>
            </w:r>
          </w:p>
        </w:tc>
        <w:tc>
          <w:tcPr>
            <w:tcW w:type="dxa" w:w="1881"/>
            <w:vAlign w:val="center"/>
            <w:shd w:val="clear" w:color="auto" w:fill="FFFFFF"/>
          </w:tcPr>
          <w:p>
            <w:pPr>
              <w:jc w:val="center"/>
            </w:pPr>
            <w:r>
              <w:rPr>
                <w:sz w:val="18"/>
              </w:rPr>
              <w:t>400,000</w:t>
            </w:r>
          </w:p>
        </w:tc>
        <w:tc>
          <w:tcPr>
            <w:tcW w:type="dxa" w:w="1881"/>
            <w:vAlign w:val="center"/>
            <w:shd w:val="clear" w:color="auto" w:fill="FFFFFF"/>
          </w:tcPr>
          <w:p>
            <w:pPr>
              <w:jc w:val="center"/>
            </w:pPr>
            <w:r>
              <w:rPr>
                <w:sz w:val="18"/>
              </w:rPr>
              <w:t>9,957</w:t>
            </w:r>
          </w:p>
        </w:tc>
        <w:tc>
          <w:tcPr>
            <w:tcW w:type="dxa" w:w="1881"/>
            <w:vAlign w:val="center"/>
            <w:shd w:val="clear" w:color="auto" w:fill="FFFFFF"/>
          </w:tcPr>
          <w:p>
            <w:pPr>
              <w:jc w:val="center"/>
            </w:pPr>
            <w:r>
              <w:rPr>
                <w:sz w:val="18"/>
              </w:rPr>
              <w:t>79,828</w:t>
            </w:r>
          </w:p>
        </w:tc>
      </w:tr>
      <w:tr>
        <w:tc>
          <w:tcPr>
            <w:tcW w:type="dxa" w:w="1881"/>
            <w:vAlign w:val="center"/>
            <w:shd w:val="clear" w:color="auto" w:fill="F5F5F5"/>
          </w:tcPr>
          <w:p>
            <w:pPr>
              <w:jc w:val="center"/>
            </w:pPr>
            <w:r>
              <w:rPr>
                <w:sz w:val="18"/>
              </w:rPr>
              <w:t>10x</w:t>
            </w:r>
          </w:p>
        </w:tc>
        <w:tc>
          <w:tcPr>
            <w:tcW w:type="dxa" w:w="1881"/>
            <w:vAlign w:val="center"/>
            <w:shd w:val="clear" w:color="auto" w:fill="F5F5F5"/>
          </w:tcPr>
          <w:p>
            <w:pPr>
              <w:jc w:val="center"/>
            </w:pPr>
            <w:r>
              <w:rPr>
                <w:sz w:val="18"/>
              </w:rPr>
              <w:t>500,000</w:t>
            </w:r>
          </w:p>
        </w:tc>
        <w:tc>
          <w:tcPr>
            <w:tcW w:type="dxa" w:w="1881"/>
            <w:vAlign w:val="center"/>
            <w:shd w:val="clear" w:color="auto" w:fill="F5F5F5"/>
          </w:tcPr>
          <w:p>
            <w:pPr>
              <w:jc w:val="center"/>
            </w:pPr>
            <w:r>
              <w:rPr>
                <w:sz w:val="18"/>
              </w:rPr>
              <w:t>1,000,000</w:t>
            </w:r>
          </w:p>
        </w:tc>
        <w:tc>
          <w:tcPr>
            <w:tcW w:type="dxa" w:w="1881"/>
            <w:vAlign w:val="center"/>
            <w:shd w:val="clear" w:color="auto" w:fill="F5F5F5"/>
          </w:tcPr>
          <w:p>
            <w:pPr>
              <w:jc w:val="center"/>
            </w:pPr>
            <w:r>
              <w:rPr>
                <w:sz w:val="18"/>
              </w:rPr>
              <w:t>99,575</w:t>
            </w:r>
          </w:p>
        </w:tc>
        <w:tc>
          <w:tcPr>
            <w:tcW w:type="dxa" w:w="1881"/>
            <w:vAlign w:val="center"/>
            <w:shd w:val="clear" w:color="auto" w:fill="F5F5F5"/>
          </w:tcPr>
          <w:p>
            <w:pPr>
              <w:jc w:val="center"/>
            </w:pPr>
            <w:r>
              <w:rPr>
                <w:sz w:val="18"/>
              </w:rPr>
              <w:t>199,495</w:t>
            </w:r>
          </w:p>
        </w:tc>
      </w:tr>
    </w:tbl>
    <w:p>
      <w:r>
        <w:t>Flood and non-flood samples were drawn in equal proportions (balanced classes). Test sets are held-out spatially distributed samples not used during training.</w:t>
      </w:r>
    </w:p>
    <w:p>
      <w:r>
        <w:br w:type="page"/>
      </w:r>
    </w:p>
    <w:p>
      <w:pPr>
        <w:pStyle w:val="Heading1"/>
      </w:pPr>
      <w:r>
        <w:rPr>
          <w:color w:val="1A237E"/>
        </w:rPr>
        <w:t>3. Methodology</w:t>
      </w:r>
    </w:p>
    <w:p>
      <w:pPr>
        <w:pStyle w:val="Heading2"/>
      </w:pPr>
      <w:r>
        <w:rPr>
          <w:color w:val="1A237E"/>
        </w:rPr>
        <w:t>3.1 Machine Learning Models</w:t>
      </w:r>
    </w:p>
    <w:p>
      <w:r>
        <w:rPr>
          <w:b/>
          <w:sz w:val="20"/>
        </w:rPr>
        <w:t xml:space="preserve">Random Forest (RF): </w:t>
      </w:r>
      <w:r>
        <w:rPr>
          <w:sz w:val="20"/>
        </w:rPr>
        <w:t>Ensemble of 500 decision trees (max depth 25, min samples leaf 3, balanced class weight). Feature importance derived from mean decrease in impurity.</w:t>
      </w:r>
    </w:p>
    <w:p>
      <w:r>
        <w:rPr>
          <w:b/>
          <w:sz w:val="20"/>
        </w:rPr>
        <w:t xml:space="preserve">XGBoost: </w:t>
      </w:r>
      <w:r>
        <w:rPr>
          <w:sz w:val="20"/>
        </w:rPr>
        <w:t>Gradient-boosted trees (1,000 estimators, max depth 8, learning rate 0.05, GPU hist method). Early stopping on validation AUC (patience = 50).</w:t>
      </w:r>
    </w:p>
    <w:p>
      <w:r>
        <w:rPr>
          <w:b/>
          <w:sz w:val="20"/>
        </w:rPr>
        <w:t xml:space="preserve">CatBoost: </w:t>
      </w:r>
      <w:r>
        <w:rPr>
          <w:sz w:val="20"/>
        </w:rPr>
        <w:t>Gradient boosting with native categorical handling (1,000 iterations, depth 8, learning rate 0.05, GPU). Early stopping on validation AUC (patience = 50).</w:t>
      </w:r>
    </w:p>
    <w:p>
      <w:r>
        <w:rPr>
          <w:b/>
          <w:sz w:val="20"/>
        </w:rPr>
        <w:t xml:space="preserve">Deep Neural Network (DNN): </w:t>
      </w:r>
      <w:r>
        <w:rPr>
          <w:sz w:val="20"/>
        </w:rPr>
        <w:t>Fully-connected MLP: 128 → 64 → 32 → 16 → 1 with BatchNorm, ReLU, Dropout(0.3). Trained with BCEWithLogitsLoss, Adam optimiser, CosineAnnealingLR, early stopping on validation AUC (patience = 20, max 200 epochs, batch size 4,096).</w:t>
      </w:r>
    </w:p>
    <w:p>
      <w:r>
        <w:rPr>
          <w:b/>
          <w:sz w:val="20"/>
        </w:rPr>
        <w:t xml:space="preserve">Ensemble (mean): </w:t>
      </w:r>
      <w:r>
        <w:rPr>
          <w:sz w:val="20"/>
        </w:rPr>
        <w:t>Simple unweighted average of the four individual model probability outputs.</w:t>
      </w:r>
    </w:p>
    <w:p>
      <w:pPr>
        <w:pStyle w:val="Heading2"/>
      </w:pPr>
      <w:r>
        <w:rPr>
          <w:color w:val="1A237E"/>
        </w:rPr>
        <w:t>3.2 Validation Strategy</w:t>
      </w:r>
    </w:p>
    <w:p>
      <w:r>
        <w:t>Two complementary validation approaches were applied:</w:t>
      </w:r>
    </w:p>
    <w:p>
      <w:r>
        <w:rPr>
          <w:b/>
          <w:sz w:val="20"/>
        </w:rPr>
        <w:t xml:space="preserve">Standard random-split validation: </w:t>
      </w:r>
      <w:r>
        <w:rPr>
          <w:sz w:val="20"/>
        </w:rPr>
        <w:t>Models evaluated on a held-out test set (10% of total samples per size). Metrics: AUC-ROC, Average Precision, F1, Accuracy, Cohen's Kappa, CSI, Sensitivity, Specificity.</w:t>
      </w:r>
    </w:p>
    <w:p>
      <w:r>
        <w:rPr>
          <w:b/>
          <w:sz w:val="20"/>
        </w:rPr>
        <w:t xml:space="preserve">5-fold spatial block cross-validation: </w:t>
      </w:r>
      <w:r>
        <w:rPr>
          <w:sz w:val="20"/>
        </w:rPr>
        <w:t>Samples partitioned into 5 folds by 50 km spatial blocks (checkerboard assignment). Each fold trains from scratch on 4 blocks, tests on the held-out spatial block. This evaluates true spatial generalisation beyond random-split optimism.</w:t>
      </w:r>
    </w:p>
    <w:p>
      <w:pPr>
        <w:pStyle w:val="Heading2"/>
      </w:pPr>
      <w:r>
        <w:rPr>
          <w:color w:val="1A237E"/>
        </w:rPr>
        <w:t>3.3 Threshold Optimisation &amp; Map Classification</w:t>
      </w:r>
    </w:p>
    <w:p>
      <w:r>
        <w:t>Binary flood/no-flood maps were generated using the CSI-optimal threshold (maximising TP / (TP + FP + FN)) found by grid search over 200 threshold values. Five-class susceptibility maps (Very Low → Very High) were generated using equal-frequency quantile breaks (Q20, Q40, Q60, Q80) computed from the full probability map, ensuring approximately equal area per class (~20% each).</w:t>
      </w:r>
    </w:p>
    <w:p>
      <w:pPr>
        <w:pStyle w:val="Heading2"/>
      </w:pPr>
      <w:r>
        <w:rPr>
          <w:color w:val="1A237E"/>
        </w:rPr>
        <w:t>3.4 SHAP Explainability</w:t>
      </w:r>
    </w:p>
    <w:p>
      <w:r>
        <w:t>SHAP (SHapley Additive exPlanations) was applied to all four models at each sample size. TreeExplainer (tree_path_dependent) was used for RF and CatBoost; native Booster pred_contribs for XGBoost (to avoid XGBoost 3.x / shap compatibility issues); and GradientExplainer for the DNN. Sample sizes: RF (1,000), XGBoost/CatBoost (3,000), DNN (1,000 test + 300 background). Outputs include beeswarm plots, bar plots, dependence plots for the top-3 features, and cross-size rank stability analysis.</w:t>
      </w:r>
    </w:p>
    <w:p>
      <w:r>
        <w:br w:type="page"/>
      </w:r>
    </w:p>
    <w:p>
      <w:pPr>
        <w:pStyle w:val="Heading1"/>
      </w:pPr>
      <w:r>
        <w:rPr>
          <w:color w:val="1A237E"/>
        </w:rPr>
        <w:t>4. Standard Validation Results</w:t>
      </w:r>
    </w:p>
    <w:p>
      <w:pPr>
        <w:pStyle w:val="Heading2"/>
      </w:pPr>
      <w:r>
        <w:rPr>
          <w:color w:val="1A237E"/>
        </w:rPr>
        <w:t>4.1 Performance Across Sample Sizes</w:t>
      </w:r>
    </w:p>
    <w:p>
      <w:r>
        <w:t>Table 1 presents the key validation metrics for all models across the five sample sizes. XGBoost consistently achieves the highest AUC and CSI. Performance improves with larger training sets, with the most significant gains between 1x and 2x.</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A237E"/>
            <w:vAlign w:val="center"/>
          </w:tcPr>
          <w:p>
            <w:pPr>
              <w:jc w:val="center"/>
            </w:pPr>
            <w:r>
              <w:rPr>
                <w:b/>
                <w:color w:val="FFFFFF"/>
                <w:sz w:val="18"/>
              </w:rPr>
              <w:t>Size</w:t>
            </w:r>
          </w:p>
        </w:tc>
        <w:tc>
          <w:tcPr>
            <w:tcW w:type="dxa" w:w="1045"/>
            <w:shd w:val="clear" w:color="auto" w:fill="1A237E"/>
            <w:vAlign w:val="center"/>
          </w:tcPr>
          <w:p>
            <w:pPr>
              <w:jc w:val="center"/>
            </w:pPr>
            <w:r>
              <w:rPr>
                <w:b/>
                <w:color w:val="FFFFFF"/>
                <w:sz w:val="18"/>
              </w:rPr>
              <w:t>Model</w:t>
            </w:r>
          </w:p>
        </w:tc>
        <w:tc>
          <w:tcPr>
            <w:tcW w:type="dxa" w:w="1045"/>
            <w:shd w:val="clear" w:color="auto" w:fill="1A237E"/>
            <w:vAlign w:val="center"/>
          </w:tcPr>
          <w:p>
            <w:pPr>
              <w:jc w:val="center"/>
            </w:pPr>
            <w:r>
              <w:rPr>
                <w:b/>
                <w:color w:val="FFFFFF"/>
                <w:sz w:val="18"/>
              </w:rPr>
              <w:t>AUC</w:t>
            </w:r>
          </w:p>
        </w:tc>
        <w:tc>
          <w:tcPr>
            <w:tcW w:type="dxa" w:w="1045"/>
            <w:shd w:val="clear" w:color="auto" w:fill="1A237E"/>
            <w:vAlign w:val="center"/>
          </w:tcPr>
          <w:p>
            <w:pPr>
              <w:jc w:val="center"/>
            </w:pPr>
            <w:r>
              <w:rPr>
                <w:b/>
                <w:color w:val="FFFFFF"/>
                <w:sz w:val="18"/>
              </w:rPr>
              <w:t>Avg Prec</w:t>
            </w:r>
          </w:p>
        </w:tc>
        <w:tc>
          <w:tcPr>
            <w:tcW w:type="dxa" w:w="1045"/>
            <w:shd w:val="clear" w:color="auto" w:fill="1A237E"/>
            <w:vAlign w:val="center"/>
          </w:tcPr>
          <w:p>
            <w:pPr>
              <w:jc w:val="center"/>
            </w:pPr>
            <w:r>
              <w:rPr>
                <w:b/>
                <w:color w:val="FFFFFF"/>
                <w:sz w:val="18"/>
              </w:rPr>
              <w:t>F1</w:t>
            </w:r>
          </w:p>
        </w:tc>
        <w:tc>
          <w:tcPr>
            <w:tcW w:type="dxa" w:w="1045"/>
            <w:shd w:val="clear" w:color="auto" w:fill="1A237E"/>
            <w:vAlign w:val="center"/>
          </w:tcPr>
          <w:p>
            <w:pPr>
              <w:jc w:val="center"/>
            </w:pPr>
            <w:r>
              <w:rPr>
                <w:b/>
                <w:color w:val="FFFFFF"/>
                <w:sz w:val="18"/>
              </w:rPr>
              <w:t>Kappa</w:t>
            </w:r>
          </w:p>
        </w:tc>
        <w:tc>
          <w:tcPr>
            <w:tcW w:type="dxa" w:w="1045"/>
            <w:shd w:val="clear" w:color="auto" w:fill="1A237E"/>
            <w:vAlign w:val="center"/>
          </w:tcPr>
          <w:p>
            <w:pPr>
              <w:jc w:val="center"/>
            </w:pPr>
            <w:r>
              <w:rPr>
                <w:b/>
                <w:color w:val="FFFFFF"/>
                <w:sz w:val="18"/>
              </w:rPr>
              <w:t>CSI</w:t>
            </w:r>
          </w:p>
        </w:tc>
        <w:tc>
          <w:tcPr>
            <w:tcW w:type="dxa" w:w="1045"/>
            <w:shd w:val="clear" w:color="auto" w:fill="1A237E"/>
            <w:vAlign w:val="center"/>
          </w:tcPr>
          <w:p>
            <w:pPr>
              <w:jc w:val="center"/>
            </w:pPr>
            <w:r>
              <w:rPr>
                <w:b/>
                <w:color w:val="FFFFFF"/>
                <w:sz w:val="18"/>
              </w:rPr>
              <w:t>Sens.</w:t>
            </w:r>
          </w:p>
        </w:tc>
        <w:tc>
          <w:tcPr>
            <w:tcW w:type="dxa" w:w="1045"/>
            <w:shd w:val="clear" w:color="auto" w:fill="1A237E"/>
            <w:vAlign w:val="center"/>
          </w:tcPr>
          <w:p>
            <w:pPr>
              <w:jc w:val="center"/>
            </w:pPr>
            <w:r>
              <w:rPr>
                <w:b/>
                <w:color w:val="FFFFFF"/>
                <w:sz w:val="18"/>
              </w:rPr>
              <w:t>Spec.</w:t>
            </w:r>
          </w:p>
        </w:tc>
      </w:tr>
      <w:tr>
        <w:tc>
          <w:tcPr>
            <w:tcW w:type="dxa" w:w="1045"/>
            <w:vAlign w:val="center"/>
            <w:shd w:val="clear" w:color="auto" w:fill="EEF2FF"/>
          </w:tcPr>
          <w:p>
            <w:pPr>
              <w:jc w:val="center"/>
            </w:pPr>
            <w:r>
              <w:rPr>
                <w:sz w:val="18"/>
              </w:rPr>
              <w:t>1x</w:t>
            </w:r>
          </w:p>
        </w:tc>
        <w:tc>
          <w:tcPr>
            <w:tcW w:type="dxa" w:w="1045"/>
            <w:vAlign w:val="center"/>
            <w:shd w:val="clear" w:color="auto" w:fill="EEF2FF"/>
          </w:tcPr>
          <w:p>
            <w:pPr>
              <w:jc w:val="center"/>
            </w:pPr>
            <w:r>
              <w:rPr>
                <w:sz w:val="18"/>
              </w:rPr>
              <w:t>XGBoost</w:t>
            </w:r>
          </w:p>
        </w:tc>
        <w:tc>
          <w:tcPr>
            <w:tcW w:type="dxa" w:w="1045"/>
            <w:vAlign w:val="center"/>
            <w:shd w:val="clear" w:color="auto" w:fill="EEF2FF"/>
          </w:tcPr>
          <w:p>
            <w:pPr>
              <w:jc w:val="center"/>
            </w:pPr>
            <w:r>
              <w:rPr>
                <w:sz w:val="18"/>
              </w:rPr>
              <w:t>0.9877</w:t>
            </w:r>
          </w:p>
        </w:tc>
        <w:tc>
          <w:tcPr>
            <w:tcW w:type="dxa" w:w="1045"/>
            <w:vAlign w:val="center"/>
            <w:shd w:val="clear" w:color="auto" w:fill="EEF2FF"/>
          </w:tcPr>
          <w:p>
            <w:pPr>
              <w:jc w:val="center"/>
            </w:pPr>
            <w:r>
              <w:rPr>
                <w:sz w:val="18"/>
              </w:rPr>
              <w:t>0.9851</w:t>
            </w:r>
          </w:p>
        </w:tc>
        <w:tc>
          <w:tcPr>
            <w:tcW w:type="dxa" w:w="1045"/>
            <w:vAlign w:val="center"/>
            <w:shd w:val="clear" w:color="auto" w:fill="EEF2FF"/>
          </w:tcPr>
          <w:p>
            <w:pPr>
              <w:jc w:val="center"/>
            </w:pPr>
            <w:r>
              <w:rPr>
                <w:sz w:val="18"/>
              </w:rPr>
              <w:t>0.9527</w:t>
            </w:r>
          </w:p>
        </w:tc>
        <w:tc>
          <w:tcPr>
            <w:tcW w:type="dxa" w:w="1045"/>
            <w:vAlign w:val="center"/>
            <w:shd w:val="clear" w:color="auto" w:fill="EEF2FF"/>
          </w:tcPr>
          <w:p>
            <w:pPr>
              <w:jc w:val="center"/>
            </w:pPr>
            <w:r>
              <w:rPr>
                <w:sz w:val="18"/>
              </w:rPr>
              <w:t>0.9038</w:t>
            </w:r>
          </w:p>
        </w:tc>
        <w:tc>
          <w:tcPr>
            <w:tcW w:type="dxa" w:w="1045"/>
            <w:vAlign w:val="center"/>
            <w:shd w:val="clear" w:color="auto" w:fill="EEF2FF"/>
          </w:tcPr>
          <w:p>
            <w:pPr>
              <w:jc w:val="center"/>
            </w:pPr>
            <w:r>
              <w:rPr>
                <w:sz w:val="18"/>
              </w:rPr>
              <w:t>0.9097</w:t>
            </w:r>
          </w:p>
        </w:tc>
        <w:tc>
          <w:tcPr>
            <w:tcW w:type="dxa" w:w="1045"/>
            <w:vAlign w:val="center"/>
            <w:shd w:val="clear" w:color="auto" w:fill="EEF2FF"/>
          </w:tcPr>
          <w:p>
            <w:pPr>
              <w:jc w:val="center"/>
            </w:pPr>
            <w:r>
              <w:rPr>
                <w:sz w:val="18"/>
              </w:rPr>
              <w:t>0.9717</w:t>
            </w:r>
          </w:p>
        </w:tc>
        <w:tc>
          <w:tcPr>
            <w:tcW w:type="dxa" w:w="1045"/>
            <w:vAlign w:val="center"/>
            <w:shd w:val="clear" w:color="auto" w:fill="EEF2FF"/>
          </w:tcPr>
          <w:p>
            <w:pPr>
              <w:jc w:val="center"/>
            </w:pPr>
            <w:r>
              <w:rPr>
                <w:sz w:val="18"/>
              </w:rPr>
              <w:t>0.9321</w:t>
            </w:r>
          </w:p>
        </w:tc>
      </w:tr>
      <w:tr>
        <w:tc>
          <w:tcPr>
            <w:tcW w:type="dxa" w:w="1045"/>
            <w:vAlign w:val="center"/>
            <w:shd w:val="clear" w:color="auto" w:fill="EEF2FF"/>
          </w:tcPr>
          <w:p>
            <w:pPr>
              <w:jc w:val="center"/>
            </w:pPr>
            <w:r>
              <w:rPr>
                <w:sz w:val="18"/>
              </w:rPr>
            </w:r>
          </w:p>
        </w:tc>
        <w:tc>
          <w:tcPr>
            <w:tcW w:type="dxa" w:w="1045"/>
            <w:vAlign w:val="center"/>
            <w:shd w:val="clear" w:color="auto" w:fill="EEF2FF"/>
          </w:tcPr>
          <w:p>
            <w:pPr>
              <w:jc w:val="center"/>
            </w:pPr>
            <w:r>
              <w:rPr>
                <w:sz w:val="18"/>
              </w:rPr>
              <w:t>CatBoost</w:t>
            </w:r>
          </w:p>
        </w:tc>
        <w:tc>
          <w:tcPr>
            <w:tcW w:type="dxa" w:w="1045"/>
            <w:vAlign w:val="center"/>
            <w:shd w:val="clear" w:color="auto" w:fill="EEF2FF"/>
          </w:tcPr>
          <w:p>
            <w:pPr>
              <w:jc w:val="center"/>
            </w:pPr>
            <w:r>
              <w:rPr>
                <w:sz w:val="18"/>
              </w:rPr>
              <w:t>0.9864</w:t>
            </w:r>
          </w:p>
        </w:tc>
        <w:tc>
          <w:tcPr>
            <w:tcW w:type="dxa" w:w="1045"/>
            <w:vAlign w:val="center"/>
            <w:shd w:val="clear" w:color="auto" w:fill="EEF2FF"/>
          </w:tcPr>
          <w:p>
            <w:pPr>
              <w:jc w:val="center"/>
            </w:pPr>
            <w:r>
              <w:rPr>
                <w:sz w:val="18"/>
              </w:rPr>
              <w:t>0.9836</w:t>
            </w:r>
          </w:p>
        </w:tc>
        <w:tc>
          <w:tcPr>
            <w:tcW w:type="dxa" w:w="1045"/>
            <w:vAlign w:val="center"/>
            <w:shd w:val="clear" w:color="auto" w:fill="EEF2FF"/>
          </w:tcPr>
          <w:p>
            <w:pPr>
              <w:jc w:val="center"/>
            </w:pPr>
            <w:r>
              <w:rPr>
                <w:sz w:val="18"/>
              </w:rPr>
              <w:t>0.9506</w:t>
            </w:r>
          </w:p>
        </w:tc>
        <w:tc>
          <w:tcPr>
            <w:tcW w:type="dxa" w:w="1045"/>
            <w:vAlign w:val="center"/>
            <w:shd w:val="clear" w:color="auto" w:fill="EEF2FF"/>
          </w:tcPr>
          <w:p>
            <w:pPr>
              <w:jc w:val="center"/>
            </w:pPr>
            <w:r>
              <w:rPr>
                <w:sz w:val="18"/>
              </w:rPr>
              <w:t>0.8999</w:t>
            </w:r>
          </w:p>
        </w:tc>
        <w:tc>
          <w:tcPr>
            <w:tcW w:type="dxa" w:w="1045"/>
            <w:vAlign w:val="center"/>
            <w:shd w:val="clear" w:color="auto" w:fill="EEF2FF"/>
          </w:tcPr>
          <w:p>
            <w:pPr>
              <w:jc w:val="center"/>
            </w:pPr>
            <w:r>
              <w:rPr>
                <w:sz w:val="18"/>
              </w:rPr>
              <w:t>0.9058</w:t>
            </w:r>
          </w:p>
        </w:tc>
        <w:tc>
          <w:tcPr>
            <w:tcW w:type="dxa" w:w="1045"/>
            <w:vAlign w:val="center"/>
            <w:shd w:val="clear" w:color="auto" w:fill="EEF2FF"/>
          </w:tcPr>
          <w:p>
            <w:pPr>
              <w:jc w:val="center"/>
            </w:pPr>
            <w:r>
              <w:rPr>
                <w:sz w:val="18"/>
              </w:rPr>
              <w:t>0.9642</w:t>
            </w:r>
          </w:p>
        </w:tc>
        <w:tc>
          <w:tcPr>
            <w:tcW w:type="dxa" w:w="1045"/>
            <w:vAlign w:val="center"/>
            <w:shd w:val="clear" w:color="auto" w:fill="EEF2FF"/>
          </w:tcPr>
          <w:p>
            <w:pPr>
              <w:jc w:val="center"/>
            </w:pPr>
            <w:r>
              <w:rPr>
                <w:sz w:val="18"/>
              </w:rPr>
              <w:t>0.9357</w:t>
            </w:r>
          </w:p>
        </w:tc>
      </w:tr>
      <w:tr>
        <w:tc>
          <w:tcPr>
            <w:tcW w:type="dxa" w:w="1045"/>
            <w:vAlign w:val="center"/>
            <w:shd w:val="clear" w:color="auto" w:fill="EEF2FF"/>
          </w:tcPr>
          <w:p>
            <w:pPr>
              <w:jc w:val="center"/>
            </w:pPr>
            <w:r>
              <w:rPr>
                <w:sz w:val="18"/>
              </w:rPr>
            </w:r>
          </w:p>
        </w:tc>
        <w:tc>
          <w:tcPr>
            <w:tcW w:type="dxa" w:w="1045"/>
            <w:vAlign w:val="center"/>
            <w:shd w:val="clear" w:color="auto" w:fill="EEF2FF"/>
          </w:tcPr>
          <w:p>
            <w:pPr>
              <w:jc w:val="center"/>
            </w:pPr>
            <w:r>
              <w:rPr>
                <w:sz w:val="18"/>
              </w:rPr>
              <w:t>Ensemble_mean</w:t>
            </w:r>
          </w:p>
        </w:tc>
        <w:tc>
          <w:tcPr>
            <w:tcW w:type="dxa" w:w="1045"/>
            <w:vAlign w:val="center"/>
            <w:shd w:val="clear" w:color="auto" w:fill="EEF2FF"/>
          </w:tcPr>
          <w:p>
            <w:pPr>
              <w:jc w:val="center"/>
            </w:pPr>
            <w:r>
              <w:rPr>
                <w:sz w:val="18"/>
              </w:rPr>
              <w:t>0.9859</w:t>
            </w:r>
          </w:p>
        </w:tc>
        <w:tc>
          <w:tcPr>
            <w:tcW w:type="dxa" w:w="1045"/>
            <w:vAlign w:val="center"/>
            <w:shd w:val="clear" w:color="auto" w:fill="EEF2FF"/>
          </w:tcPr>
          <w:p>
            <w:pPr>
              <w:jc w:val="center"/>
            </w:pPr>
            <w:r>
              <w:rPr>
                <w:sz w:val="18"/>
              </w:rPr>
              <w:t>0.9833</w:t>
            </w:r>
          </w:p>
        </w:tc>
        <w:tc>
          <w:tcPr>
            <w:tcW w:type="dxa" w:w="1045"/>
            <w:vAlign w:val="center"/>
            <w:shd w:val="clear" w:color="auto" w:fill="EEF2FF"/>
          </w:tcPr>
          <w:p>
            <w:pPr>
              <w:jc w:val="center"/>
            </w:pPr>
            <w:r>
              <w:rPr>
                <w:sz w:val="18"/>
              </w:rPr>
              <w:t>0.9491</w:t>
            </w:r>
          </w:p>
        </w:tc>
        <w:tc>
          <w:tcPr>
            <w:tcW w:type="dxa" w:w="1045"/>
            <w:vAlign w:val="center"/>
            <w:shd w:val="clear" w:color="auto" w:fill="EEF2FF"/>
          </w:tcPr>
          <w:p>
            <w:pPr>
              <w:jc w:val="center"/>
            </w:pPr>
            <w:r>
              <w:rPr>
                <w:sz w:val="18"/>
              </w:rPr>
              <w:t>0.8967</w:t>
            </w:r>
          </w:p>
        </w:tc>
        <w:tc>
          <w:tcPr>
            <w:tcW w:type="dxa" w:w="1045"/>
            <w:vAlign w:val="center"/>
            <w:shd w:val="clear" w:color="auto" w:fill="EEF2FF"/>
          </w:tcPr>
          <w:p>
            <w:pPr>
              <w:jc w:val="center"/>
            </w:pPr>
            <w:r>
              <w:rPr>
                <w:sz w:val="18"/>
              </w:rPr>
              <w:t>0.9031</w:t>
            </w:r>
          </w:p>
        </w:tc>
        <w:tc>
          <w:tcPr>
            <w:tcW w:type="dxa" w:w="1045"/>
            <w:vAlign w:val="center"/>
            <w:shd w:val="clear" w:color="auto" w:fill="EEF2FF"/>
          </w:tcPr>
          <w:p>
            <w:pPr>
              <w:jc w:val="center"/>
            </w:pPr>
            <w:r>
              <w:rPr>
                <w:sz w:val="18"/>
              </w:rPr>
              <w:t>0.9643</w:t>
            </w:r>
          </w:p>
        </w:tc>
        <w:tc>
          <w:tcPr>
            <w:tcW w:type="dxa" w:w="1045"/>
            <w:vAlign w:val="center"/>
            <w:shd w:val="clear" w:color="auto" w:fill="EEF2FF"/>
          </w:tcPr>
          <w:p>
            <w:pPr>
              <w:jc w:val="center"/>
            </w:pPr>
            <w:r>
              <w:rPr>
                <w:sz w:val="18"/>
              </w:rPr>
              <w:t>0.9324</w:t>
            </w:r>
          </w:p>
        </w:tc>
      </w:tr>
      <w:tr>
        <w:tc>
          <w:tcPr>
            <w:tcW w:type="dxa" w:w="1045"/>
            <w:vAlign w:val="center"/>
            <w:shd w:val="clear" w:color="auto" w:fill="EEF2FF"/>
          </w:tcPr>
          <w:p>
            <w:pPr>
              <w:jc w:val="center"/>
            </w:pPr>
            <w:r>
              <w:rPr>
                <w:sz w:val="18"/>
              </w:rPr>
            </w:r>
          </w:p>
        </w:tc>
        <w:tc>
          <w:tcPr>
            <w:tcW w:type="dxa" w:w="1045"/>
            <w:vAlign w:val="center"/>
            <w:shd w:val="clear" w:color="auto" w:fill="EEF2FF"/>
          </w:tcPr>
          <w:p>
            <w:pPr>
              <w:jc w:val="center"/>
            </w:pPr>
            <w:r>
              <w:rPr>
                <w:sz w:val="18"/>
              </w:rPr>
              <w:t>RF</w:t>
            </w:r>
          </w:p>
        </w:tc>
        <w:tc>
          <w:tcPr>
            <w:tcW w:type="dxa" w:w="1045"/>
            <w:vAlign w:val="center"/>
            <w:shd w:val="clear" w:color="auto" w:fill="EEF2FF"/>
          </w:tcPr>
          <w:p>
            <w:pPr>
              <w:jc w:val="center"/>
            </w:pPr>
            <w:r>
              <w:rPr>
                <w:sz w:val="18"/>
              </w:rPr>
              <w:t>0.9821</w:t>
            </w:r>
          </w:p>
        </w:tc>
        <w:tc>
          <w:tcPr>
            <w:tcW w:type="dxa" w:w="1045"/>
            <w:vAlign w:val="center"/>
            <w:shd w:val="clear" w:color="auto" w:fill="EEF2FF"/>
          </w:tcPr>
          <w:p>
            <w:pPr>
              <w:jc w:val="center"/>
            </w:pPr>
            <w:r>
              <w:rPr>
                <w:sz w:val="18"/>
              </w:rPr>
              <w:t>0.9787</w:t>
            </w:r>
          </w:p>
        </w:tc>
        <w:tc>
          <w:tcPr>
            <w:tcW w:type="dxa" w:w="1045"/>
            <w:vAlign w:val="center"/>
            <w:shd w:val="clear" w:color="auto" w:fill="EEF2FF"/>
          </w:tcPr>
          <w:p>
            <w:pPr>
              <w:jc w:val="center"/>
            </w:pPr>
            <w:r>
              <w:rPr>
                <w:sz w:val="18"/>
              </w:rPr>
              <w:t>0.9403</w:t>
            </w:r>
          </w:p>
        </w:tc>
        <w:tc>
          <w:tcPr>
            <w:tcW w:type="dxa" w:w="1045"/>
            <w:vAlign w:val="center"/>
            <w:shd w:val="clear" w:color="auto" w:fill="EEF2FF"/>
          </w:tcPr>
          <w:p>
            <w:pPr>
              <w:jc w:val="center"/>
            </w:pPr>
            <w:r>
              <w:rPr>
                <w:sz w:val="18"/>
              </w:rPr>
              <w:t>0.8788</w:t>
            </w:r>
          </w:p>
        </w:tc>
        <w:tc>
          <w:tcPr>
            <w:tcW w:type="dxa" w:w="1045"/>
            <w:vAlign w:val="center"/>
            <w:shd w:val="clear" w:color="auto" w:fill="EEF2FF"/>
          </w:tcPr>
          <w:p>
            <w:pPr>
              <w:jc w:val="center"/>
            </w:pPr>
            <w:r>
              <w:rPr>
                <w:sz w:val="18"/>
              </w:rPr>
              <w:t>0.8874</w:t>
            </w:r>
          </w:p>
        </w:tc>
        <w:tc>
          <w:tcPr>
            <w:tcW w:type="dxa" w:w="1045"/>
            <w:vAlign w:val="center"/>
            <w:shd w:val="clear" w:color="auto" w:fill="EEF2FF"/>
          </w:tcPr>
          <w:p>
            <w:pPr>
              <w:jc w:val="center"/>
            </w:pPr>
            <w:r>
              <w:rPr>
                <w:sz w:val="18"/>
              </w:rPr>
              <w:t>0.9565</w:t>
            </w:r>
          </w:p>
        </w:tc>
        <w:tc>
          <w:tcPr>
            <w:tcW w:type="dxa" w:w="1045"/>
            <w:vAlign w:val="center"/>
            <w:shd w:val="clear" w:color="auto" w:fill="EEF2FF"/>
          </w:tcPr>
          <w:p>
            <w:pPr>
              <w:jc w:val="center"/>
            </w:pPr>
            <w:r>
              <w:rPr>
                <w:sz w:val="18"/>
              </w:rPr>
              <w:t>0.9223</w:t>
            </w:r>
          </w:p>
        </w:tc>
      </w:tr>
      <w:tr>
        <w:tc>
          <w:tcPr>
            <w:tcW w:type="dxa" w:w="1045"/>
            <w:vAlign w:val="center"/>
            <w:shd w:val="clear" w:color="auto" w:fill="EEF2FF"/>
          </w:tcPr>
          <w:p>
            <w:pPr>
              <w:jc w:val="center"/>
            </w:pPr>
            <w:r>
              <w:rPr>
                <w:sz w:val="18"/>
              </w:rPr>
            </w:r>
          </w:p>
        </w:tc>
        <w:tc>
          <w:tcPr>
            <w:tcW w:type="dxa" w:w="1045"/>
            <w:vAlign w:val="center"/>
            <w:shd w:val="clear" w:color="auto" w:fill="EEF2FF"/>
          </w:tcPr>
          <w:p>
            <w:pPr>
              <w:jc w:val="center"/>
            </w:pPr>
            <w:r>
              <w:rPr>
                <w:sz w:val="18"/>
              </w:rPr>
              <w:t>DNN</w:t>
            </w:r>
          </w:p>
        </w:tc>
        <w:tc>
          <w:tcPr>
            <w:tcW w:type="dxa" w:w="1045"/>
            <w:vAlign w:val="center"/>
            <w:shd w:val="clear" w:color="auto" w:fill="EEF2FF"/>
          </w:tcPr>
          <w:p>
            <w:pPr>
              <w:jc w:val="center"/>
            </w:pPr>
            <w:r>
              <w:rPr>
                <w:sz w:val="18"/>
              </w:rPr>
              <w:t>0.9788</w:t>
            </w:r>
          </w:p>
        </w:tc>
        <w:tc>
          <w:tcPr>
            <w:tcW w:type="dxa" w:w="1045"/>
            <w:vAlign w:val="center"/>
            <w:shd w:val="clear" w:color="auto" w:fill="EEF2FF"/>
          </w:tcPr>
          <w:p>
            <w:pPr>
              <w:jc w:val="center"/>
            </w:pPr>
            <w:r>
              <w:rPr>
                <w:sz w:val="18"/>
              </w:rPr>
              <w:t>0.9728</w:t>
            </w:r>
          </w:p>
        </w:tc>
        <w:tc>
          <w:tcPr>
            <w:tcW w:type="dxa" w:w="1045"/>
            <w:vAlign w:val="center"/>
            <w:shd w:val="clear" w:color="auto" w:fill="EEF2FF"/>
          </w:tcPr>
          <w:p>
            <w:pPr>
              <w:jc w:val="center"/>
            </w:pPr>
            <w:r>
              <w:rPr>
                <w:sz w:val="18"/>
              </w:rPr>
              <w:t>0.9387</w:t>
            </w:r>
          </w:p>
        </w:tc>
        <w:tc>
          <w:tcPr>
            <w:tcW w:type="dxa" w:w="1045"/>
            <w:vAlign w:val="center"/>
            <w:shd w:val="clear" w:color="auto" w:fill="EEF2FF"/>
          </w:tcPr>
          <w:p>
            <w:pPr>
              <w:jc w:val="center"/>
            </w:pPr>
            <w:r>
              <w:rPr>
                <w:sz w:val="18"/>
              </w:rPr>
              <w:t>0.8745</w:t>
            </w:r>
          </w:p>
        </w:tc>
        <w:tc>
          <w:tcPr>
            <w:tcW w:type="dxa" w:w="1045"/>
            <w:vAlign w:val="center"/>
            <w:shd w:val="clear" w:color="auto" w:fill="EEF2FF"/>
          </w:tcPr>
          <w:p>
            <w:pPr>
              <w:jc w:val="center"/>
            </w:pPr>
            <w:r>
              <w:rPr>
                <w:sz w:val="18"/>
              </w:rPr>
              <w:t>0.8846</w:t>
            </w:r>
          </w:p>
        </w:tc>
        <w:tc>
          <w:tcPr>
            <w:tcW w:type="dxa" w:w="1045"/>
            <w:vAlign w:val="center"/>
            <w:shd w:val="clear" w:color="auto" w:fill="EEF2FF"/>
          </w:tcPr>
          <w:p>
            <w:pPr>
              <w:jc w:val="center"/>
            </w:pPr>
            <w:r>
              <w:rPr>
                <w:sz w:val="18"/>
              </w:rPr>
              <w:t>0.9635</w:t>
            </w:r>
          </w:p>
        </w:tc>
        <w:tc>
          <w:tcPr>
            <w:tcW w:type="dxa" w:w="1045"/>
            <w:vAlign w:val="center"/>
            <w:shd w:val="clear" w:color="auto" w:fill="EEF2FF"/>
          </w:tcPr>
          <w:p>
            <w:pPr>
              <w:jc w:val="center"/>
            </w:pPr>
            <w:r>
              <w:rPr>
                <w:sz w:val="18"/>
              </w:rPr>
              <w:t>0.9110</w:t>
            </w:r>
          </w:p>
        </w:tc>
      </w:tr>
      <w:tr>
        <w:tc>
          <w:tcPr>
            <w:tcW w:type="dxa" w:w="1045"/>
            <w:vAlign w:val="center"/>
            <w:shd w:val="clear" w:color="auto" w:fill="E8F5E9"/>
          </w:tcPr>
          <w:p>
            <w:pPr>
              <w:jc w:val="center"/>
            </w:pPr>
            <w:r>
              <w:rPr>
                <w:sz w:val="18"/>
              </w:rPr>
              <w:t>2x</w:t>
            </w:r>
          </w:p>
        </w:tc>
        <w:tc>
          <w:tcPr>
            <w:tcW w:type="dxa" w:w="1045"/>
            <w:vAlign w:val="center"/>
            <w:shd w:val="clear" w:color="auto" w:fill="E8F5E9"/>
          </w:tcPr>
          <w:p>
            <w:pPr>
              <w:jc w:val="center"/>
            </w:pPr>
            <w:r>
              <w:rPr>
                <w:sz w:val="18"/>
              </w:rPr>
              <w:t>XGBoost</w:t>
            </w:r>
          </w:p>
        </w:tc>
        <w:tc>
          <w:tcPr>
            <w:tcW w:type="dxa" w:w="1045"/>
            <w:vAlign w:val="center"/>
            <w:shd w:val="clear" w:color="auto" w:fill="E8F5E9"/>
          </w:tcPr>
          <w:p>
            <w:pPr>
              <w:jc w:val="center"/>
            </w:pPr>
            <w:r>
              <w:rPr>
                <w:sz w:val="18"/>
              </w:rPr>
              <w:t>0.9910</w:t>
            </w:r>
          </w:p>
        </w:tc>
        <w:tc>
          <w:tcPr>
            <w:tcW w:type="dxa" w:w="1045"/>
            <w:vAlign w:val="center"/>
            <w:shd w:val="clear" w:color="auto" w:fill="E8F5E9"/>
          </w:tcPr>
          <w:p>
            <w:pPr>
              <w:jc w:val="center"/>
            </w:pPr>
            <w:r>
              <w:rPr>
                <w:sz w:val="18"/>
              </w:rPr>
              <w:t>0.9890</w:t>
            </w:r>
          </w:p>
        </w:tc>
        <w:tc>
          <w:tcPr>
            <w:tcW w:type="dxa" w:w="1045"/>
            <w:vAlign w:val="center"/>
            <w:shd w:val="clear" w:color="auto" w:fill="E8F5E9"/>
          </w:tcPr>
          <w:p>
            <w:pPr>
              <w:jc w:val="center"/>
            </w:pPr>
            <w:r>
              <w:rPr>
                <w:sz w:val="18"/>
              </w:rPr>
              <w:t>0.9611</w:t>
            </w:r>
          </w:p>
        </w:tc>
        <w:tc>
          <w:tcPr>
            <w:tcW w:type="dxa" w:w="1045"/>
            <w:vAlign w:val="center"/>
            <w:shd w:val="clear" w:color="auto" w:fill="E8F5E9"/>
          </w:tcPr>
          <w:p>
            <w:pPr>
              <w:jc w:val="center"/>
            </w:pPr>
            <w:r>
              <w:rPr>
                <w:sz w:val="18"/>
              </w:rPr>
              <w:t>0.9214</w:t>
            </w:r>
          </w:p>
        </w:tc>
        <w:tc>
          <w:tcPr>
            <w:tcW w:type="dxa" w:w="1045"/>
            <w:vAlign w:val="center"/>
            <w:shd w:val="clear" w:color="auto" w:fill="E8F5E9"/>
          </w:tcPr>
          <w:p>
            <w:pPr>
              <w:jc w:val="center"/>
            </w:pPr>
            <w:r>
              <w:rPr>
                <w:sz w:val="18"/>
              </w:rPr>
              <w:t>0.9252</w:t>
            </w:r>
          </w:p>
        </w:tc>
        <w:tc>
          <w:tcPr>
            <w:tcW w:type="dxa" w:w="1045"/>
            <w:vAlign w:val="center"/>
            <w:shd w:val="clear" w:color="auto" w:fill="E8F5E9"/>
          </w:tcPr>
          <w:p>
            <w:pPr>
              <w:jc w:val="center"/>
            </w:pPr>
            <w:r>
              <w:rPr>
                <w:sz w:val="18"/>
              </w:rPr>
              <w:t>0.9733</w:t>
            </w:r>
          </w:p>
        </w:tc>
        <w:tc>
          <w:tcPr>
            <w:tcW w:type="dxa" w:w="1045"/>
            <w:vAlign w:val="center"/>
            <w:shd w:val="clear" w:color="auto" w:fill="E8F5E9"/>
          </w:tcPr>
          <w:p>
            <w:pPr>
              <w:jc w:val="center"/>
            </w:pPr>
            <w:r>
              <w:rPr>
                <w:sz w:val="18"/>
              </w:rPr>
              <w:t>0.9482</w:t>
            </w:r>
          </w:p>
        </w:tc>
      </w:tr>
      <w:tr>
        <w:tc>
          <w:tcPr>
            <w:tcW w:type="dxa" w:w="1045"/>
            <w:vAlign w:val="center"/>
            <w:shd w:val="clear" w:color="auto" w:fill="E8F5E9"/>
          </w:tcPr>
          <w:p>
            <w:pPr>
              <w:jc w:val="center"/>
            </w:pPr>
            <w:r>
              <w:rPr>
                <w:sz w:val="18"/>
              </w:rPr>
            </w:r>
          </w:p>
        </w:tc>
        <w:tc>
          <w:tcPr>
            <w:tcW w:type="dxa" w:w="1045"/>
            <w:vAlign w:val="center"/>
            <w:shd w:val="clear" w:color="auto" w:fill="E8F5E9"/>
          </w:tcPr>
          <w:p>
            <w:pPr>
              <w:jc w:val="center"/>
            </w:pPr>
            <w:r>
              <w:rPr>
                <w:sz w:val="18"/>
              </w:rPr>
              <w:t>Ensemble_mean</w:t>
            </w:r>
          </w:p>
        </w:tc>
        <w:tc>
          <w:tcPr>
            <w:tcW w:type="dxa" w:w="1045"/>
            <w:vAlign w:val="center"/>
            <w:shd w:val="clear" w:color="auto" w:fill="E8F5E9"/>
          </w:tcPr>
          <w:p>
            <w:pPr>
              <w:jc w:val="center"/>
            </w:pPr>
            <w:r>
              <w:rPr>
                <w:sz w:val="18"/>
              </w:rPr>
              <w:t>0.9894</w:t>
            </w:r>
          </w:p>
        </w:tc>
        <w:tc>
          <w:tcPr>
            <w:tcW w:type="dxa" w:w="1045"/>
            <w:vAlign w:val="center"/>
            <w:shd w:val="clear" w:color="auto" w:fill="E8F5E9"/>
          </w:tcPr>
          <w:p>
            <w:pPr>
              <w:jc w:val="center"/>
            </w:pPr>
            <w:r>
              <w:rPr>
                <w:sz w:val="18"/>
              </w:rPr>
              <w:t>0.9873</w:t>
            </w:r>
          </w:p>
        </w:tc>
        <w:tc>
          <w:tcPr>
            <w:tcW w:type="dxa" w:w="1045"/>
            <w:vAlign w:val="center"/>
            <w:shd w:val="clear" w:color="auto" w:fill="E8F5E9"/>
          </w:tcPr>
          <w:p>
            <w:pPr>
              <w:jc w:val="center"/>
            </w:pPr>
            <w:r>
              <w:rPr>
                <w:sz w:val="18"/>
              </w:rPr>
              <w:t>0.9560</w:t>
            </w:r>
          </w:p>
        </w:tc>
        <w:tc>
          <w:tcPr>
            <w:tcW w:type="dxa" w:w="1045"/>
            <w:vAlign w:val="center"/>
            <w:shd w:val="clear" w:color="auto" w:fill="E8F5E9"/>
          </w:tcPr>
          <w:p>
            <w:pPr>
              <w:jc w:val="center"/>
            </w:pPr>
            <w:r>
              <w:rPr>
                <w:sz w:val="18"/>
              </w:rPr>
              <w:t>0.9115</w:t>
            </w:r>
          </w:p>
        </w:tc>
        <w:tc>
          <w:tcPr>
            <w:tcW w:type="dxa" w:w="1045"/>
            <w:vAlign w:val="center"/>
            <w:shd w:val="clear" w:color="auto" w:fill="E8F5E9"/>
          </w:tcPr>
          <w:p>
            <w:pPr>
              <w:jc w:val="center"/>
            </w:pPr>
            <w:r>
              <w:rPr>
                <w:sz w:val="18"/>
              </w:rPr>
              <w:t>0.9158</w:t>
            </w:r>
          </w:p>
        </w:tc>
        <w:tc>
          <w:tcPr>
            <w:tcW w:type="dxa" w:w="1045"/>
            <w:vAlign w:val="center"/>
            <w:shd w:val="clear" w:color="auto" w:fill="E8F5E9"/>
          </w:tcPr>
          <w:p>
            <w:pPr>
              <w:jc w:val="center"/>
            </w:pPr>
            <w:r>
              <w:rPr>
                <w:sz w:val="18"/>
              </w:rPr>
              <w:t>0.9637</w:t>
            </w:r>
          </w:p>
        </w:tc>
        <w:tc>
          <w:tcPr>
            <w:tcW w:type="dxa" w:w="1045"/>
            <w:vAlign w:val="center"/>
            <w:shd w:val="clear" w:color="auto" w:fill="E8F5E9"/>
          </w:tcPr>
          <w:p>
            <w:pPr>
              <w:jc w:val="center"/>
            </w:pPr>
            <w:r>
              <w:rPr>
                <w:sz w:val="18"/>
              </w:rPr>
              <w:t>0.9479</w:t>
            </w:r>
          </w:p>
        </w:tc>
      </w:tr>
      <w:tr>
        <w:tc>
          <w:tcPr>
            <w:tcW w:type="dxa" w:w="1045"/>
            <w:vAlign w:val="center"/>
            <w:shd w:val="clear" w:color="auto" w:fill="E8F5E9"/>
          </w:tcPr>
          <w:p>
            <w:pPr>
              <w:jc w:val="center"/>
            </w:pPr>
            <w:r>
              <w:rPr>
                <w:sz w:val="18"/>
              </w:rPr>
            </w:r>
          </w:p>
        </w:tc>
        <w:tc>
          <w:tcPr>
            <w:tcW w:type="dxa" w:w="1045"/>
            <w:vAlign w:val="center"/>
            <w:shd w:val="clear" w:color="auto" w:fill="E8F5E9"/>
          </w:tcPr>
          <w:p>
            <w:pPr>
              <w:jc w:val="center"/>
            </w:pPr>
            <w:r>
              <w:rPr>
                <w:sz w:val="18"/>
              </w:rPr>
              <w:t>CatBoost</w:t>
            </w:r>
          </w:p>
        </w:tc>
        <w:tc>
          <w:tcPr>
            <w:tcW w:type="dxa" w:w="1045"/>
            <w:vAlign w:val="center"/>
            <w:shd w:val="clear" w:color="auto" w:fill="E8F5E9"/>
          </w:tcPr>
          <w:p>
            <w:pPr>
              <w:jc w:val="center"/>
            </w:pPr>
            <w:r>
              <w:rPr>
                <w:sz w:val="18"/>
              </w:rPr>
              <w:t>0.9893</w:t>
            </w:r>
          </w:p>
        </w:tc>
        <w:tc>
          <w:tcPr>
            <w:tcW w:type="dxa" w:w="1045"/>
            <w:vAlign w:val="center"/>
            <w:shd w:val="clear" w:color="auto" w:fill="E8F5E9"/>
          </w:tcPr>
          <w:p>
            <w:pPr>
              <w:jc w:val="center"/>
            </w:pPr>
            <w:r>
              <w:rPr>
                <w:sz w:val="18"/>
              </w:rPr>
              <w:t>0.9870</w:t>
            </w:r>
          </w:p>
        </w:tc>
        <w:tc>
          <w:tcPr>
            <w:tcW w:type="dxa" w:w="1045"/>
            <w:vAlign w:val="center"/>
            <w:shd w:val="clear" w:color="auto" w:fill="E8F5E9"/>
          </w:tcPr>
          <w:p>
            <w:pPr>
              <w:jc w:val="center"/>
            </w:pPr>
            <w:r>
              <w:rPr>
                <w:sz w:val="18"/>
              </w:rPr>
              <w:t>0.9570</w:t>
            </w:r>
          </w:p>
        </w:tc>
        <w:tc>
          <w:tcPr>
            <w:tcW w:type="dxa" w:w="1045"/>
            <w:vAlign w:val="center"/>
            <w:shd w:val="clear" w:color="auto" w:fill="E8F5E9"/>
          </w:tcPr>
          <w:p>
            <w:pPr>
              <w:jc w:val="center"/>
            </w:pPr>
            <w:r>
              <w:rPr>
                <w:sz w:val="18"/>
              </w:rPr>
              <w:t>0.9128</w:t>
            </w:r>
          </w:p>
        </w:tc>
        <w:tc>
          <w:tcPr>
            <w:tcW w:type="dxa" w:w="1045"/>
            <w:vAlign w:val="center"/>
            <w:shd w:val="clear" w:color="auto" w:fill="E8F5E9"/>
          </w:tcPr>
          <w:p>
            <w:pPr>
              <w:jc w:val="center"/>
            </w:pPr>
            <w:r>
              <w:rPr>
                <w:sz w:val="18"/>
              </w:rPr>
              <w:t>0.9175</w:t>
            </w:r>
          </w:p>
        </w:tc>
        <w:tc>
          <w:tcPr>
            <w:tcW w:type="dxa" w:w="1045"/>
            <w:vAlign w:val="center"/>
            <w:shd w:val="clear" w:color="auto" w:fill="E8F5E9"/>
          </w:tcPr>
          <w:p>
            <w:pPr>
              <w:jc w:val="center"/>
            </w:pPr>
            <w:r>
              <w:rPr>
                <w:sz w:val="18"/>
              </w:rPr>
              <w:t>0.9713</w:t>
            </w:r>
          </w:p>
        </w:tc>
        <w:tc>
          <w:tcPr>
            <w:tcW w:type="dxa" w:w="1045"/>
            <w:vAlign w:val="center"/>
            <w:shd w:val="clear" w:color="auto" w:fill="E8F5E9"/>
          </w:tcPr>
          <w:p>
            <w:pPr>
              <w:jc w:val="center"/>
            </w:pPr>
            <w:r>
              <w:rPr>
                <w:sz w:val="18"/>
              </w:rPr>
              <w:t>0.9415</w:t>
            </w:r>
          </w:p>
        </w:tc>
      </w:tr>
      <w:tr>
        <w:tc>
          <w:tcPr>
            <w:tcW w:type="dxa" w:w="1045"/>
            <w:vAlign w:val="center"/>
            <w:shd w:val="clear" w:color="auto" w:fill="E8F5E9"/>
          </w:tcPr>
          <w:p>
            <w:pPr>
              <w:jc w:val="center"/>
            </w:pPr>
            <w:r>
              <w:rPr>
                <w:sz w:val="18"/>
              </w:rPr>
            </w:r>
          </w:p>
        </w:tc>
        <w:tc>
          <w:tcPr>
            <w:tcW w:type="dxa" w:w="1045"/>
            <w:vAlign w:val="center"/>
            <w:shd w:val="clear" w:color="auto" w:fill="E8F5E9"/>
          </w:tcPr>
          <w:p>
            <w:pPr>
              <w:jc w:val="center"/>
            </w:pPr>
            <w:r>
              <w:rPr>
                <w:sz w:val="18"/>
              </w:rPr>
              <w:t>RF</w:t>
            </w:r>
          </w:p>
        </w:tc>
        <w:tc>
          <w:tcPr>
            <w:tcW w:type="dxa" w:w="1045"/>
            <w:vAlign w:val="center"/>
            <w:shd w:val="clear" w:color="auto" w:fill="E8F5E9"/>
          </w:tcPr>
          <w:p>
            <w:pPr>
              <w:jc w:val="center"/>
            </w:pPr>
            <w:r>
              <w:rPr>
                <w:sz w:val="18"/>
              </w:rPr>
              <w:t>0.9862</w:t>
            </w:r>
          </w:p>
        </w:tc>
        <w:tc>
          <w:tcPr>
            <w:tcW w:type="dxa" w:w="1045"/>
            <w:vAlign w:val="center"/>
            <w:shd w:val="clear" w:color="auto" w:fill="E8F5E9"/>
          </w:tcPr>
          <w:p>
            <w:pPr>
              <w:jc w:val="center"/>
            </w:pPr>
            <w:r>
              <w:rPr>
                <w:sz w:val="18"/>
              </w:rPr>
              <w:t>0.9834</w:t>
            </w:r>
          </w:p>
        </w:tc>
        <w:tc>
          <w:tcPr>
            <w:tcW w:type="dxa" w:w="1045"/>
            <w:vAlign w:val="center"/>
            <w:shd w:val="clear" w:color="auto" w:fill="E8F5E9"/>
          </w:tcPr>
          <w:p>
            <w:pPr>
              <w:jc w:val="center"/>
            </w:pPr>
            <w:r>
              <w:rPr>
                <w:sz w:val="18"/>
              </w:rPr>
              <w:t>0.9488</w:t>
            </w:r>
          </w:p>
        </w:tc>
        <w:tc>
          <w:tcPr>
            <w:tcW w:type="dxa" w:w="1045"/>
            <w:vAlign w:val="center"/>
            <w:shd w:val="clear" w:color="auto" w:fill="E8F5E9"/>
          </w:tcPr>
          <w:p>
            <w:pPr>
              <w:jc w:val="center"/>
            </w:pPr>
            <w:r>
              <w:rPr>
                <w:sz w:val="18"/>
              </w:rPr>
              <w:t>0.8961</w:t>
            </w:r>
          </w:p>
        </w:tc>
        <w:tc>
          <w:tcPr>
            <w:tcW w:type="dxa" w:w="1045"/>
            <w:vAlign w:val="center"/>
            <w:shd w:val="clear" w:color="auto" w:fill="E8F5E9"/>
          </w:tcPr>
          <w:p>
            <w:pPr>
              <w:jc w:val="center"/>
            </w:pPr>
            <w:r>
              <w:rPr>
                <w:sz w:val="18"/>
              </w:rPr>
              <w:t>0.9027</w:t>
            </w:r>
          </w:p>
        </w:tc>
        <w:tc>
          <w:tcPr>
            <w:tcW w:type="dxa" w:w="1045"/>
            <w:vAlign w:val="center"/>
            <w:shd w:val="clear" w:color="auto" w:fill="E8F5E9"/>
          </w:tcPr>
          <w:p>
            <w:pPr>
              <w:jc w:val="center"/>
            </w:pPr>
            <w:r>
              <w:rPr>
                <w:sz w:val="18"/>
              </w:rPr>
              <w:t>0.9654</w:t>
            </w:r>
          </w:p>
        </w:tc>
        <w:tc>
          <w:tcPr>
            <w:tcW w:type="dxa" w:w="1045"/>
            <w:vAlign w:val="center"/>
            <w:shd w:val="clear" w:color="auto" w:fill="E8F5E9"/>
          </w:tcPr>
          <w:p>
            <w:pPr>
              <w:jc w:val="center"/>
            </w:pPr>
            <w:r>
              <w:rPr>
                <w:sz w:val="18"/>
              </w:rPr>
              <w:t>0.9308</w:t>
            </w:r>
          </w:p>
        </w:tc>
      </w:tr>
      <w:tr>
        <w:tc>
          <w:tcPr>
            <w:tcW w:type="dxa" w:w="1045"/>
            <w:vAlign w:val="center"/>
            <w:shd w:val="clear" w:color="auto" w:fill="E8F5E9"/>
          </w:tcPr>
          <w:p>
            <w:pPr>
              <w:jc w:val="center"/>
            </w:pPr>
            <w:r>
              <w:rPr>
                <w:sz w:val="18"/>
              </w:rPr>
            </w:r>
          </w:p>
        </w:tc>
        <w:tc>
          <w:tcPr>
            <w:tcW w:type="dxa" w:w="1045"/>
            <w:vAlign w:val="center"/>
            <w:shd w:val="clear" w:color="auto" w:fill="E8F5E9"/>
          </w:tcPr>
          <w:p>
            <w:pPr>
              <w:jc w:val="center"/>
            </w:pPr>
            <w:r>
              <w:rPr>
                <w:sz w:val="18"/>
              </w:rPr>
              <w:t>DNN</w:t>
            </w:r>
          </w:p>
        </w:tc>
        <w:tc>
          <w:tcPr>
            <w:tcW w:type="dxa" w:w="1045"/>
            <w:vAlign w:val="center"/>
            <w:shd w:val="clear" w:color="auto" w:fill="E8F5E9"/>
          </w:tcPr>
          <w:p>
            <w:pPr>
              <w:jc w:val="center"/>
            </w:pPr>
            <w:r>
              <w:rPr>
                <w:sz w:val="18"/>
              </w:rPr>
              <w:t>0.9830</w:t>
            </w:r>
          </w:p>
        </w:tc>
        <w:tc>
          <w:tcPr>
            <w:tcW w:type="dxa" w:w="1045"/>
            <w:vAlign w:val="center"/>
            <w:shd w:val="clear" w:color="auto" w:fill="E8F5E9"/>
          </w:tcPr>
          <w:p>
            <w:pPr>
              <w:jc w:val="center"/>
            </w:pPr>
            <w:r>
              <w:rPr>
                <w:sz w:val="18"/>
              </w:rPr>
              <w:t>0.9781</w:t>
            </w:r>
          </w:p>
        </w:tc>
        <w:tc>
          <w:tcPr>
            <w:tcW w:type="dxa" w:w="1045"/>
            <w:vAlign w:val="center"/>
            <w:shd w:val="clear" w:color="auto" w:fill="E8F5E9"/>
          </w:tcPr>
          <w:p>
            <w:pPr>
              <w:jc w:val="center"/>
            </w:pPr>
            <w:r>
              <w:rPr>
                <w:sz w:val="18"/>
              </w:rPr>
              <w:t>0.9458</w:t>
            </w:r>
          </w:p>
        </w:tc>
        <w:tc>
          <w:tcPr>
            <w:tcW w:type="dxa" w:w="1045"/>
            <w:vAlign w:val="center"/>
            <w:shd w:val="clear" w:color="auto" w:fill="E8F5E9"/>
          </w:tcPr>
          <w:p>
            <w:pPr>
              <w:jc w:val="center"/>
            </w:pPr>
            <w:r>
              <w:rPr>
                <w:sz w:val="18"/>
              </w:rPr>
              <w:t>0.8897</w:t>
            </w:r>
          </w:p>
        </w:tc>
        <w:tc>
          <w:tcPr>
            <w:tcW w:type="dxa" w:w="1045"/>
            <w:vAlign w:val="center"/>
            <w:shd w:val="clear" w:color="auto" w:fill="E8F5E9"/>
          </w:tcPr>
          <w:p>
            <w:pPr>
              <w:jc w:val="center"/>
            </w:pPr>
            <w:r>
              <w:rPr>
                <w:sz w:val="18"/>
              </w:rPr>
              <w:t>0.8971</w:t>
            </w:r>
          </w:p>
        </w:tc>
        <w:tc>
          <w:tcPr>
            <w:tcW w:type="dxa" w:w="1045"/>
            <w:vAlign w:val="center"/>
            <w:shd w:val="clear" w:color="auto" w:fill="E8F5E9"/>
          </w:tcPr>
          <w:p>
            <w:pPr>
              <w:jc w:val="center"/>
            </w:pPr>
            <w:r>
              <w:rPr>
                <w:sz w:val="18"/>
              </w:rPr>
              <w:t>0.9637</w:t>
            </w:r>
          </w:p>
        </w:tc>
        <w:tc>
          <w:tcPr>
            <w:tcW w:type="dxa" w:w="1045"/>
            <w:vAlign w:val="center"/>
            <w:shd w:val="clear" w:color="auto" w:fill="E8F5E9"/>
          </w:tcPr>
          <w:p>
            <w:pPr>
              <w:jc w:val="center"/>
            </w:pPr>
            <w:r>
              <w:rPr>
                <w:sz w:val="18"/>
              </w:rPr>
              <w:t>0.9260</w:t>
            </w:r>
          </w:p>
        </w:tc>
      </w:tr>
      <w:tr>
        <w:tc>
          <w:tcPr>
            <w:tcW w:type="dxa" w:w="1045"/>
            <w:vAlign w:val="center"/>
            <w:shd w:val="clear" w:color="auto" w:fill="FFF8E1"/>
          </w:tcPr>
          <w:p>
            <w:pPr>
              <w:jc w:val="center"/>
            </w:pPr>
            <w:r>
              <w:rPr>
                <w:sz w:val="18"/>
              </w:rPr>
              <w:t>3x</w:t>
            </w:r>
          </w:p>
        </w:tc>
        <w:tc>
          <w:tcPr>
            <w:tcW w:type="dxa" w:w="1045"/>
            <w:vAlign w:val="center"/>
            <w:shd w:val="clear" w:color="auto" w:fill="FFF8E1"/>
          </w:tcPr>
          <w:p>
            <w:pPr>
              <w:jc w:val="center"/>
            </w:pPr>
            <w:r>
              <w:rPr>
                <w:sz w:val="18"/>
              </w:rPr>
              <w:t>XGBoost</w:t>
            </w:r>
          </w:p>
        </w:tc>
        <w:tc>
          <w:tcPr>
            <w:tcW w:type="dxa" w:w="1045"/>
            <w:vAlign w:val="center"/>
            <w:shd w:val="clear" w:color="auto" w:fill="FFF8E1"/>
          </w:tcPr>
          <w:p>
            <w:pPr>
              <w:jc w:val="center"/>
            </w:pPr>
            <w:r>
              <w:rPr>
                <w:sz w:val="18"/>
              </w:rPr>
              <w:t>0.9919</w:t>
            </w:r>
          </w:p>
        </w:tc>
        <w:tc>
          <w:tcPr>
            <w:tcW w:type="dxa" w:w="1045"/>
            <w:vAlign w:val="center"/>
            <w:shd w:val="clear" w:color="auto" w:fill="FFF8E1"/>
          </w:tcPr>
          <w:p>
            <w:pPr>
              <w:jc w:val="center"/>
            </w:pPr>
            <w:r>
              <w:rPr>
                <w:sz w:val="18"/>
              </w:rPr>
              <w:t>0.9904</w:t>
            </w:r>
          </w:p>
        </w:tc>
        <w:tc>
          <w:tcPr>
            <w:tcW w:type="dxa" w:w="1045"/>
            <w:vAlign w:val="center"/>
            <w:shd w:val="clear" w:color="auto" w:fill="FFF8E1"/>
          </w:tcPr>
          <w:p>
            <w:pPr>
              <w:jc w:val="center"/>
            </w:pPr>
            <w:r>
              <w:rPr>
                <w:sz w:val="18"/>
              </w:rPr>
              <w:t>0.9634</w:t>
            </w:r>
          </w:p>
        </w:tc>
        <w:tc>
          <w:tcPr>
            <w:tcW w:type="dxa" w:w="1045"/>
            <w:vAlign w:val="center"/>
            <w:shd w:val="clear" w:color="auto" w:fill="FFF8E1"/>
          </w:tcPr>
          <w:p>
            <w:pPr>
              <w:jc w:val="center"/>
            </w:pPr>
            <w:r>
              <w:rPr>
                <w:sz w:val="18"/>
              </w:rPr>
              <w:t>0.9259</w:t>
            </w:r>
          </w:p>
        </w:tc>
        <w:tc>
          <w:tcPr>
            <w:tcW w:type="dxa" w:w="1045"/>
            <w:vAlign w:val="center"/>
            <w:shd w:val="clear" w:color="auto" w:fill="FFF8E1"/>
          </w:tcPr>
          <w:p>
            <w:pPr>
              <w:jc w:val="center"/>
            </w:pPr>
            <w:r>
              <w:rPr>
                <w:sz w:val="18"/>
              </w:rPr>
              <w:t>0.9295</w:t>
            </w:r>
          </w:p>
        </w:tc>
        <w:tc>
          <w:tcPr>
            <w:tcW w:type="dxa" w:w="1045"/>
            <w:vAlign w:val="center"/>
            <w:shd w:val="clear" w:color="auto" w:fill="FFF8E1"/>
          </w:tcPr>
          <w:p>
            <w:pPr>
              <w:jc w:val="center"/>
            </w:pPr>
            <w:r>
              <w:rPr>
                <w:sz w:val="18"/>
              </w:rPr>
              <w:t>0.9781</w:t>
            </w:r>
          </w:p>
        </w:tc>
        <w:tc>
          <w:tcPr>
            <w:tcW w:type="dxa" w:w="1045"/>
            <w:vAlign w:val="center"/>
            <w:shd w:val="clear" w:color="auto" w:fill="FFF8E1"/>
          </w:tcPr>
          <w:p>
            <w:pPr>
              <w:jc w:val="center"/>
            </w:pPr>
            <w:r>
              <w:rPr>
                <w:sz w:val="18"/>
              </w:rPr>
              <w:t>0.9479</w:t>
            </w:r>
          </w:p>
        </w:tc>
      </w:tr>
      <w:tr>
        <w:tc>
          <w:tcPr>
            <w:tcW w:type="dxa" w:w="1045"/>
            <w:vAlign w:val="center"/>
            <w:shd w:val="clear" w:color="auto" w:fill="FFF8E1"/>
          </w:tcPr>
          <w:p>
            <w:pPr>
              <w:jc w:val="center"/>
            </w:pPr>
            <w:r>
              <w:rPr>
                <w:sz w:val="18"/>
              </w:rPr>
            </w:r>
          </w:p>
        </w:tc>
        <w:tc>
          <w:tcPr>
            <w:tcW w:type="dxa" w:w="1045"/>
            <w:vAlign w:val="center"/>
            <w:shd w:val="clear" w:color="auto" w:fill="FFF8E1"/>
          </w:tcPr>
          <w:p>
            <w:pPr>
              <w:jc w:val="center"/>
            </w:pPr>
            <w:r>
              <w:rPr>
                <w:sz w:val="18"/>
              </w:rPr>
              <w:t>Ensemble_mean</w:t>
            </w:r>
          </w:p>
        </w:tc>
        <w:tc>
          <w:tcPr>
            <w:tcW w:type="dxa" w:w="1045"/>
            <w:vAlign w:val="center"/>
            <w:shd w:val="clear" w:color="auto" w:fill="FFF8E1"/>
          </w:tcPr>
          <w:p>
            <w:pPr>
              <w:jc w:val="center"/>
            </w:pPr>
            <w:r>
              <w:rPr>
                <w:sz w:val="18"/>
              </w:rPr>
              <w:t>0.9901</w:t>
            </w:r>
          </w:p>
        </w:tc>
        <w:tc>
          <w:tcPr>
            <w:tcW w:type="dxa" w:w="1045"/>
            <w:vAlign w:val="center"/>
            <w:shd w:val="clear" w:color="auto" w:fill="FFF8E1"/>
          </w:tcPr>
          <w:p>
            <w:pPr>
              <w:jc w:val="center"/>
            </w:pPr>
            <w:r>
              <w:rPr>
                <w:sz w:val="18"/>
              </w:rPr>
              <w:t>0.9883</w:t>
            </w:r>
          </w:p>
        </w:tc>
        <w:tc>
          <w:tcPr>
            <w:tcW w:type="dxa" w:w="1045"/>
            <w:vAlign w:val="center"/>
            <w:shd w:val="clear" w:color="auto" w:fill="FFF8E1"/>
          </w:tcPr>
          <w:p>
            <w:pPr>
              <w:jc w:val="center"/>
            </w:pPr>
            <w:r>
              <w:rPr>
                <w:sz w:val="18"/>
              </w:rPr>
              <w:t>0.9577</w:t>
            </w:r>
          </w:p>
        </w:tc>
        <w:tc>
          <w:tcPr>
            <w:tcW w:type="dxa" w:w="1045"/>
            <w:vAlign w:val="center"/>
            <w:shd w:val="clear" w:color="auto" w:fill="FFF8E1"/>
          </w:tcPr>
          <w:p>
            <w:pPr>
              <w:jc w:val="center"/>
            </w:pPr>
            <w:r>
              <w:rPr>
                <w:sz w:val="18"/>
              </w:rPr>
              <w:t>0.9142</w:t>
            </w:r>
          </w:p>
        </w:tc>
        <w:tc>
          <w:tcPr>
            <w:tcW w:type="dxa" w:w="1045"/>
            <w:vAlign w:val="center"/>
            <w:shd w:val="clear" w:color="auto" w:fill="FFF8E1"/>
          </w:tcPr>
          <w:p>
            <w:pPr>
              <w:jc w:val="center"/>
            </w:pPr>
            <w:r>
              <w:rPr>
                <w:sz w:val="18"/>
              </w:rPr>
              <w:t>0.9188</w:t>
            </w:r>
          </w:p>
        </w:tc>
        <w:tc>
          <w:tcPr>
            <w:tcW w:type="dxa" w:w="1045"/>
            <w:vAlign w:val="center"/>
            <w:shd w:val="clear" w:color="auto" w:fill="FFF8E1"/>
          </w:tcPr>
          <w:p>
            <w:pPr>
              <w:jc w:val="center"/>
            </w:pPr>
            <w:r>
              <w:rPr>
                <w:sz w:val="18"/>
              </w:rPr>
              <w:t>0.9728</w:t>
            </w:r>
          </w:p>
        </w:tc>
        <w:tc>
          <w:tcPr>
            <w:tcW w:type="dxa" w:w="1045"/>
            <w:vAlign w:val="center"/>
            <w:shd w:val="clear" w:color="auto" w:fill="FFF8E1"/>
          </w:tcPr>
          <w:p>
            <w:pPr>
              <w:jc w:val="center"/>
            </w:pPr>
            <w:r>
              <w:rPr>
                <w:sz w:val="18"/>
              </w:rPr>
              <w:t>0.9414</w:t>
            </w:r>
          </w:p>
        </w:tc>
      </w:tr>
      <w:tr>
        <w:tc>
          <w:tcPr>
            <w:tcW w:type="dxa" w:w="1045"/>
            <w:vAlign w:val="center"/>
            <w:shd w:val="clear" w:color="auto" w:fill="FFF8E1"/>
          </w:tcPr>
          <w:p>
            <w:pPr>
              <w:jc w:val="center"/>
            </w:pPr>
            <w:r>
              <w:rPr>
                <w:sz w:val="18"/>
              </w:rPr>
            </w:r>
          </w:p>
        </w:tc>
        <w:tc>
          <w:tcPr>
            <w:tcW w:type="dxa" w:w="1045"/>
            <w:vAlign w:val="center"/>
            <w:shd w:val="clear" w:color="auto" w:fill="FFF8E1"/>
          </w:tcPr>
          <w:p>
            <w:pPr>
              <w:jc w:val="center"/>
            </w:pPr>
            <w:r>
              <w:rPr>
                <w:sz w:val="18"/>
              </w:rPr>
              <w:t>CatBoost</w:t>
            </w:r>
          </w:p>
        </w:tc>
        <w:tc>
          <w:tcPr>
            <w:tcW w:type="dxa" w:w="1045"/>
            <w:vAlign w:val="center"/>
            <w:shd w:val="clear" w:color="auto" w:fill="FFF8E1"/>
          </w:tcPr>
          <w:p>
            <w:pPr>
              <w:jc w:val="center"/>
            </w:pPr>
            <w:r>
              <w:rPr>
                <w:sz w:val="18"/>
              </w:rPr>
              <w:t>0.9899</w:t>
            </w:r>
          </w:p>
        </w:tc>
        <w:tc>
          <w:tcPr>
            <w:tcW w:type="dxa" w:w="1045"/>
            <w:vAlign w:val="center"/>
            <w:shd w:val="clear" w:color="auto" w:fill="FFF8E1"/>
          </w:tcPr>
          <w:p>
            <w:pPr>
              <w:jc w:val="center"/>
            </w:pPr>
            <w:r>
              <w:rPr>
                <w:sz w:val="18"/>
              </w:rPr>
              <w:t>0.9878</w:t>
            </w:r>
          </w:p>
        </w:tc>
        <w:tc>
          <w:tcPr>
            <w:tcW w:type="dxa" w:w="1045"/>
            <w:vAlign w:val="center"/>
            <w:shd w:val="clear" w:color="auto" w:fill="FFF8E1"/>
          </w:tcPr>
          <w:p>
            <w:pPr>
              <w:jc w:val="center"/>
            </w:pPr>
            <w:r>
              <w:rPr>
                <w:sz w:val="18"/>
              </w:rPr>
              <w:t>0.9579</w:t>
            </w:r>
          </w:p>
        </w:tc>
        <w:tc>
          <w:tcPr>
            <w:tcW w:type="dxa" w:w="1045"/>
            <w:vAlign w:val="center"/>
            <w:shd w:val="clear" w:color="auto" w:fill="FFF8E1"/>
          </w:tcPr>
          <w:p>
            <w:pPr>
              <w:jc w:val="center"/>
            </w:pPr>
            <w:r>
              <w:rPr>
                <w:sz w:val="18"/>
              </w:rPr>
              <w:t>0.9141</w:t>
            </w:r>
          </w:p>
        </w:tc>
        <w:tc>
          <w:tcPr>
            <w:tcW w:type="dxa" w:w="1045"/>
            <w:vAlign w:val="center"/>
            <w:shd w:val="clear" w:color="auto" w:fill="FFF8E1"/>
          </w:tcPr>
          <w:p>
            <w:pPr>
              <w:jc w:val="center"/>
            </w:pPr>
            <w:r>
              <w:rPr>
                <w:sz w:val="18"/>
              </w:rPr>
              <w:t>0.9192</w:t>
            </w:r>
          </w:p>
        </w:tc>
        <w:tc>
          <w:tcPr>
            <w:tcW w:type="dxa" w:w="1045"/>
            <w:vAlign w:val="center"/>
            <w:shd w:val="clear" w:color="auto" w:fill="FFF8E1"/>
          </w:tcPr>
          <w:p>
            <w:pPr>
              <w:jc w:val="center"/>
            </w:pPr>
            <w:r>
              <w:rPr>
                <w:sz w:val="18"/>
              </w:rPr>
              <w:t>0.9793</w:t>
            </w:r>
          </w:p>
        </w:tc>
        <w:tc>
          <w:tcPr>
            <w:tcW w:type="dxa" w:w="1045"/>
            <w:vAlign w:val="center"/>
            <w:shd w:val="clear" w:color="auto" w:fill="FFF8E1"/>
          </w:tcPr>
          <w:p>
            <w:pPr>
              <w:jc w:val="center"/>
            </w:pPr>
            <w:r>
              <w:rPr>
                <w:sz w:val="18"/>
              </w:rPr>
              <w:t>0.9349</w:t>
            </w:r>
          </w:p>
        </w:tc>
      </w:tr>
      <w:tr>
        <w:tc>
          <w:tcPr>
            <w:tcW w:type="dxa" w:w="1045"/>
            <w:vAlign w:val="center"/>
            <w:shd w:val="clear" w:color="auto" w:fill="FFF8E1"/>
          </w:tcPr>
          <w:p>
            <w:pPr>
              <w:jc w:val="center"/>
            </w:pPr>
            <w:r>
              <w:rPr>
                <w:sz w:val="18"/>
              </w:rPr>
            </w:r>
          </w:p>
        </w:tc>
        <w:tc>
          <w:tcPr>
            <w:tcW w:type="dxa" w:w="1045"/>
            <w:vAlign w:val="center"/>
            <w:shd w:val="clear" w:color="auto" w:fill="FFF8E1"/>
          </w:tcPr>
          <w:p>
            <w:pPr>
              <w:jc w:val="center"/>
            </w:pPr>
            <w:r>
              <w:rPr>
                <w:sz w:val="18"/>
              </w:rPr>
              <w:t>RF</w:t>
            </w:r>
          </w:p>
        </w:tc>
        <w:tc>
          <w:tcPr>
            <w:tcW w:type="dxa" w:w="1045"/>
            <w:vAlign w:val="center"/>
            <w:shd w:val="clear" w:color="auto" w:fill="FFF8E1"/>
          </w:tcPr>
          <w:p>
            <w:pPr>
              <w:jc w:val="center"/>
            </w:pPr>
            <w:r>
              <w:rPr>
                <w:sz w:val="18"/>
              </w:rPr>
              <w:t>0.9870</w:t>
            </w:r>
          </w:p>
        </w:tc>
        <w:tc>
          <w:tcPr>
            <w:tcW w:type="dxa" w:w="1045"/>
            <w:vAlign w:val="center"/>
            <w:shd w:val="clear" w:color="auto" w:fill="FFF8E1"/>
          </w:tcPr>
          <w:p>
            <w:pPr>
              <w:jc w:val="center"/>
            </w:pPr>
            <w:r>
              <w:rPr>
                <w:sz w:val="18"/>
              </w:rPr>
              <w:t>0.9844</w:t>
            </w:r>
          </w:p>
        </w:tc>
        <w:tc>
          <w:tcPr>
            <w:tcW w:type="dxa" w:w="1045"/>
            <w:vAlign w:val="center"/>
            <w:shd w:val="clear" w:color="auto" w:fill="FFF8E1"/>
          </w:tcPr>
          <w:p>
            <w:pPr>
              <w:jc w:val="center"/>
            </w:pPr>
            <w:r>
              <w:rPr>
                <w:sz w:val="18"/>
              </w:rPr>
              <w:t>0.9509</w:t>
            </w:r>
          </w:p>
        </w:tc>
        <w:tc>
          <w:tcPr>
            <w:tcW w:type="dxa" w:w="1045"/>
            <w:vAlign w:val="center"/>
            <w:shd w:val="clear" w:color="auto" w:fill="FFF8E1"/>
          </w:tcPr>
          <w:p>
            <w:pPr>
              <w:jc w:val="center"/>
            </w:pPr>
            <w:r>
              <w:rPr>
                <w:sz w:val="18"/>
              </w:rPr>
              <w:t>0.9002</w:t>
            </w:r>
          </w:p>
        </w:tc>
        <w:tc>
          <w:tcPr>
            <w:tcW w:type="dxa" w:w="1045"/>
            <w:vAlign w:val="center"/>
            <w:shd w:val="clear" w:color="auto" w:fill="FFF8E1"/>
          </w:tcPr>
          <w:p>
            <w:pPr>
              <w:jc w:val="center"/>
            </w:pPr>
            <w:r>
              <w:rPr>
                <w:sz w:val="18"/>
              </w:rPr>
              <w:t>0.9064</w:t>
            </w:r>
          </w:p>
        </w:tc>
        <w:tc>
          <w:tcPr>
            <w:tcW w:type="dxa" w:w="1045"/>
            <w:vAlign w:val="center"/>
            <w:shd w:val="clear" w:color="auto" w:fill="FFF8E1"/>
          </w:tcPr>
          <w:p>
            <w:pPr>
              <w:jc w:val="center"/>
            </w:pPr>
            <w:r>
              <w:rPr>
                <w:sz w:val="18"/>
              </w:rPr>
              <w:t>0.9686</w:t>
            </w:r>
          </w:p>
        </w:tc>
        <w:tc>
          <w:tcPr>
            <w:tcW w:type="dxa" w:w="1045"/>
            <w:vAlign w:val="center"/>
            <w:shd w:val="clear" w:color="auto" w:fill="FFF8E1"/>
          </w:tcPr>
          <w:p>
            <w:pPr>
              <w:jc w:val="center"/>
            </w:pPr>
            <w:r>
              <w:rPr>
                <w:sz w:val="18"/>
              </w:rPr>
              <w:t>0.9316</w:t>
            </w:r>
          </w:p>
        </w:tc>
      </w:tr>
      <w:tr>
        <w:tc>
          <w:tcPr>
            <w:tcW w:type="dxa" w:w="1045"/>
            <w:vAlign w:val="center"/>
            <w:shd w:val="clear" w:color="auto" w:fill="FFF8E1"/>
          </w:tcPr>
          <w:p>
            <w:pPr>
              <w:jc w:val="center"/>
            </w:pPr>
            <w:r>
              <w:rPr>
                <w:sz w:val="18"/>
              </w:rPr>
            </w:r>
          </w:p>
        </w:tc>
        <w:tc>
          <w:tcPr>
            <w:tcW w:type="dxa" w:w="1045"/>
            <w:vAlign w:val="center"/>
            <w:shd w:val="clear" w:color="auto" w:fill="FFF8E1"/>
          </w:tcPr>
          <w:p>
            <w:pPr>
              <w:jc w:val="center"/>
            </w:pPr>
            <w:r>
              <w:rPr>
                <w:sz w:val="18"/>
              </w:rPr>
              <w:t>DNN</w:t>
            </w:r>
          </w:p>
        </w:tc>
        <w:tc>
          <w:tcPr>
            <w:tcW w:type="dxa" w:w="1045"/>
            <w:vAlign w:val="center"/>
            <w:shd w:val="clear" w:color="auto" w:fill="FFF8E1"/>
          </w:tcPr>
          <w:p>
            <w:pPr>
              <w:jc w:val="center"/>
            </w:pPr>
            <w:r>
              <w:rPr>
                <w:sz w:val="18"/>
              </w:rPr>
              <w:t>0.9840</w:t>
            </w:r>
          </w:p>
        </w:tc>
        <w:tc>
          <w:tcPr>
            <w:tcW w:type="dxa" w:w="1045"/>
            <w:vAlign w:val="center"/>
            <w:shd w:val="clear" w:color="auto" w:fill="FFF8E1"/>
          </w:tcPr>
          <w:p>
            <w:pPr>
              <w:jc w:val="center"/>
            </w:pPr>
            <w:r>
              <w:rPr>
                <w:sz w:val="18"/>
              </w:rPr>
              <w:t>0.9795</w:t>
            </w:r>
          </w:p>
        </w:tc>
        <w:tc>
          <w:tcPr>
            <w:tcW w:type="dxa" w:w="1045"/>
            <w:vAlign w:val="center"/>
            <w:shd w:val="clear" w:color="auto" w:fill="FFF8E1"/>
          </w:tcPr>
          <w:p>
            <w:pPr>
              <w:jc w:val="center"/>
            </w:pPr>
            <w:r>
              <w:rPr>
                <w:sz w:val="18"/>
              </w:rPr>
              <w:t>0.9476</w:t>
            </w:r>
          </w:p>
        </w:tc>
        <w:tc>
          <w:tcPr>
            <w:tcW w:type="dxa" w:w="1045"/>
            <w:vAlign w:val="center"/>
            <w:shd w:val="clear" w:color="auto" w:fill="FFF8E1"/>
          </w:tcPr>
          <w:p>
            <w:pPr>
              <w:jc w:val="center"/>
            </w:pPr>
            <w:r>
              <w:rPr>
                <w:sz w:val="18"/>
              </w:rPr>
              <w:t>0.8928</w:t>
            </w:r>
          </w:p>
        </w:tc>
        <w:tc>
          <w:tcPr>
            <w:tcW w:type="dxa" w:w="1045"/>
            <w:vAlign w:val="center"/>
            <w:shd w:val="clear" w:color="auto" w:fill="FFF8E1"/>
          </w:tcPr>
          <w:p>
            <w:pPr>
              <w:jc w:val="center"/>
            </w:pPr>
            <w:r>
              <w:rPr>
                <w:sz w:val="18"/>
              </w:rPr>
              <w:t>0.9004</w:t>
            </w:r>
          </w:p>
        </w:tc>
        <w:tc>
          <w:tcPr>
            <w:tcW w:type="dxa" w:w="1045"/>
            <w:vAlign w:val="center"/>
            <w:shd w:val="clear" w:color="auto" w:fill="FFF8E1"/>
          </w:tcPr>
          <w:p>
            <w:pPr>
              <w:jc w:val="center"/>
            </w:pPr>
            <w:r>
              <w:rPr>
                <w:sz w:val="18"/>
              </w:rPr>
              <w:t>0.9714</w:t>
            </w:r>
          </w:p>
        </w:tc>
        <w:tc>
          <w:tcPr>
            <w:tcW w:type="dxa" w:w="1045"/>
            <w:vAlign w:val="center"/>
            <w:shd w:val="clear" w:color="auto" w:fill="FFF8E1"/>
          </w:tcPr>
          <w:p>
            <w:pPr>
              <w:jc w:val="center"/>
            </w:pPr>
            <w:r>
              <w:rPr>
                <w:sz w:val="18"/>
              </w:rPr>
              <w:t>0.9214</w:t>
            </w:r>
          </w:p>
        </w:tc>
      </w:tr>
      <w:tr>
        <w:tc>
          <w:tcPr>
            <w:tcW w:type="dxa" w:w="1045"/>
            <w:vAlign w:val="center"/>
            <w:shd w:val="clear" w:color="auto" w:fill="FCE4EC"/>
          </w:tcPr>
          <w:p>
            <w:pPr>
              <w:jc w:val="center"/>
            </w:pPr>
            <w:r>
              <w:rPr>
                <w:sz w:val="18"/>
              </w:rPr>
              <w:t>4x</w:t>
            </w:r>
          </w:p>
        </w:tc>
        <w:tc>
          <w:tcPr>
            <w:tcW w:type="dxa" w:w="1045"/>
            <w:vAlign w:val="center"/>
            <w:shd w:val="clear" w:color="auto" w:fill="FCE4EC"/>
          </w:tcPr>
          <w:p>
            <w:pPr>
              <w:jc w:val="center"/>
            </w:pPr>
            <w:r>
              <w:rPr>
                <w:sz w:val="18"/>
              </w:rPr>
              <w:t>XGBoost</w:t>
            </w:r>
          </w:p>
        </w:tc>
        <w:tc>
          <w:tcPr>
            <w:tcW w:type="dxa" w:w="1045"/>
            <w:vAlign w:val="center"/>
            <w:shd w:val="clear" w:color="auto" w:fill="FCE4EC"/>
          </w:tcPr>
          <w:p>
            <w:pPr>
              <w:jc w:val="center"/>
            </w:pPr>
            <w:r>
              <w:rPr>
                <w:sz w:val="18"/>
              </w:rPr>
              <w:t>0.9925</w:t>
            </w:r>
          </w:p>
        </w:tc>
        <w:tc>
          <w:tcPr>
            <w:tcW w:type="dxa" w:w="1045"/>
            <w:vAlign w:val="center"/>
            <w:shd w:val="clear" w:color="auto" w:fill="FCE4EC"/>
          </w:tcPr>
          <w:p>
            <w:pPr>
              <w:jc w:val="center"/>
            </w:pPr>
            <w:r>
              <w:rPr>
                <w:sz w:val="18"/>
              </w:rPr>
              <w:t>0.9909</w:t>
            </w:r>
          </w:p>
        </w:tc>
        <w:tc>
          <w:tcPr>
            <w:tcW w:type="dxa" w:w="1045"/>
            <w:vAlign w:val="center"/>
            <w:shd w:val="clear" w:color="auto" w:fill="FCE4EC"/>
          </w:tcPr>
          <w:p>
            <w:pPr>
              <w:jc w:val="center"/>
            </w:pPr>
            <w:r>
              <w:rPr>
                <w:sz w:val="18"/>
              </w:rPr>
              <w:t>0.9650</w:t>
            </w:r>
          </w:p>
        </w:tc>
        <w:tc>
          <w:tcPr>
            <w:tcW w:type="dxa" w:w="1045"/>
            <w:vAlign w:val="center"/>
            <w:shd w:val="clear" w:color="auto" w:fill="FCE4EC"/>
          </w:tcPr>
          <w:p>
            <w:pPr>
              <w:jc w:val="center"/>
            </w:pPr>
            <w:r>
              <w:rPr>
                <w:sz w:val="18"/>
              </w:rPr>
              <w:t>0.9289</w:t>
            </w:r>
          </w:p>
        </w:tc>
        <w:tc>
          <w:tcPr>
            <w:tcW w:type="dxa" w:w="1045"/>
            <w:vAlign w:val="center"/>
            <w:shd w:val="clear" w:color="auto" w:fill="FCE4EC"/>
          </w:tcPr>
          <w:p>
            <w:pPr>
              <w:jc w:val="center"/>
            </w:pPr>
            <w:r>
              <w:rPr>
                <w:sz w:val="18"/>
              </w:rPr>
              <w:t>0.9323</w:t>
            </w:r>
          </w:p>
        </w:tc>
        <w:tc>
          <w:tcPr>
            <w:tcW w:type="dxa" w:w="1045"/>
            <w:vAlign w:val="center"/>
            <w:shd w:val="clear" w:color="auto" w:fill="FCE4EC"/>
          </w:tcPr>
          <w:p>
            <w:pPr>
              <w:jc w:val="center"/>
            </w:pPr>
            <w:r>
              <w:rPr>
                <w:sz w:val="18"/>
              </w:rPr>
              <w:t>0.9817</w:t>
            </w:r>
          </w:p>
        </w:tc>
        <w:tc>
          <w:tcPr>
            <w:tcW w:type="dxa" w:w="1045"/>
            <w:vAlign w:val="center"/>
            <w:shd w:val="clear" w:color="auto" w:fill="FCE4EC"/>
          </w:tcPr>
          <w:p>
            <w:pPr>
              <w:jc w:val="center"/>
            </w:pPr>
            <w:r>
              <w:rPr>
                <w:sz w:val="18"/>
              </w:rPr>
              <w:t>0.9472</w:t>
            </w:r>
          </w:p>
        </w:tc>
      </w:tr>
      <w:tr>
        <w:tc>
          <w:tcPr>
            <w:tcW w:type="dxa" w:w="1045"/>
            <w:vAlign w:val="center"/>
            <w:shd w:val="clear" w:color="auto" w:fill="FCE4EC"/>
          </w:tcPr>
          <w:p>
            <w:pPr>
              <w:jc w:val="center"/>
            </w:pPr>
            <w:r>
              <w:rPr>
                <w:sz w:val="18"/>
              </w:rPr>
            </w:r>
          </w:p>
        </w:tc>
        <w:tc>
          <w:tcPr>
            <w:tcW w:type="dxa" w:w="1045"/>
            <w:vAlign w:val="center"/>
            <w:shd w:val="clear" w:color="auto" w:fill="FCE4EC"/>
          </w:tcPr>
          <w:p>
            <w:pPr>
              <w:jc w:val="center"/>
            </w:pPr>
            <w:r>
              <w:rPr>
                <w:sz w:val="18"/>
              </w:rPr>
              <w:t>Ensemble_mean</w:t>
            </w:r>
          </w:p>
        </w:tc>
        <w:tc>
          <w:tcPr>
            <w:tcW w:type="dxa" w:w="1045"/>
            <w:vAlign w:val="center"/>
            <w:shd w:val="clear" w:color="auto" w:fill="FCE4EC"/>
          </w:tcPr>
          <w:p>
            <w:pPr>
              <w:jc w:val="center"/>
            </w:pPr>
            <w:r>
              <w:rPr>
                <w:sz w:val="18"/>
              </w:rPr>
              <w:t>0.9905</w:t>
            </w:r>
          </w:p>
        </w:tc>
        <w:tc>
          <w:tcPr>
            <w:tcW w:type="dxa" w:w="1045"/>
            <w:vAlign w:val="center"/>
            <w:shd w:val="clear" w:color="auto" w:fill="FCE4EC"/>
          </w:tcPr>
          <w:p>
            <w:pPr>
              <w:jc w:val="center"/>
            </w:pPr>
            <w:r>
              <w:rPr>
                <w:sz w:val="18"/>
              </w:rPr>
              <w:t>0.9886</w:t>
            </w:r>
          </w:p>
        </w:tc>
        <w:tc>
          <w:tcPr>
            <w:tcW w:type="dxa" w:w="1045"/>
            <w:vAlign w:val="center"/>
            <w:shd w:val="clear" w:color="auto" w:fill="FCE4EC"/>
          </w:tcPr>
          <w:p>
            <w:pPr>
              <w:jc w:val="center"/>
            </w:pPr>
            <w:r>
              <w:rPr>
                <w:sz w:val="18"/>
              </w:rPr>
              <w:t>0.9595</w:t>
            </w:r>
          </w:p>
        </w:tc>
        <w:tc>
          <w:tcPr>
            <w:tcW w:type="dxa" w:w="1045"/>
            <w:vAlign w:val="center"/>
            <w:shd w:val="clear" w:color="auto" w:fill="FCE4EC"/>
          </w:tcPr>
          <w:p>
            <w:pPr>
              <w:jc w:val="center"/>
            </w:pPr>
            <w:r>
              <w:rPr>
                <w:sz w:val="18"/>
              </w:rPr>
              <w:t>0.9177</w:t>
            </w:r>
          </w:p>
        </w:tc>
        <w:tc>
          <w:tcPr>
            <w:tcW w:type="dxa" w:w="1045"/>
            <w:vAlign w:val="center"/>
            <w:shd w:val="clear" w:color="auto" w:fill="FCE4EC"/>
          </w:tcPr>
          <w:p>
            <w:pPr>
              <w:jc w:val="center"/>
            </w:pPr>
            <w:r>
              <w:rPr>
                <w:sz w:val="18"/>
              </w:rPr>
              <w:t>0.9222</w:t>
            </w:r>
          </w:p>
        </w:tc>
        <w:tc>
          <w:tcPr>
            <w:tcW w:type="dxa" w:w="1045"/>
            <w:vAlign w:val="center"/>
            <w:shd w:val="clear" w:color="auto" w:fill="FCE4EC"/>
          </w:tcPr>
          <w:p>
            <w:pPr>
              <w:jc w:val="center"/>
            </w:pPr>
            <w:r>
              <w:rPr>
                <w:sz w:val="18"/>
              </w:rPr>
              <w:t>0.9770</w:t>
            </w:r>
          </w:p>
        </w:tc>
        <w:tc>
          <w:tcPr>
            <w:tcW w:type="dxa" w:w="1045"/>
            <w:vAlign w:val="center"/>
            <w:shd w:val="clear" w:color="auto" w:fill="FCE4EC"/>
          </w:tcPr>
          <w:p>
            <w:pPr>
              <w:jc w:val="center"/>
            </w:pPr>
            <w:r>
              <w:rPr>
                <w:sz w:val="18"/>
              </w:rPr>
              <w:t>0.9408</w:t>
            </w:r>
          </w:p>
        </w:tc>
      </w:tr>
      <w:tr>
        <w:tc>
          <w:tcPr>
            <w:tcW w:type="dxa" w:w="1045"/>
            <w:vAlign w:val="center"/>
            <w:shd w:val="clear" w:color="auto" w:fill="FCE4EC"/>
          </w:tcPr>
          <w:p>
            <w:pPr>
              <w:jc w:val="center"/>
            </w:pPr>
            <w:r>
              <w:rPr>
                <w:sz w:val="18"/>
              </w:rPr>
            </w:r>
          </w:p>
        </w:tc>
        <w:tc>
          <w:tcPr>
            <w:tcW w:type="dxa" w:w="1045"/>
            <w:vAlign w:val="center"/>
            <w:shd w:val="clear" w:color="auto" w:fill="FCE4EC"/>
          </w:tcPr>
          <w:p>
            <w:pPr>
              <w:jc w:val="center"/>
            </w:pPr>
            <w:r>
              <w:rPr>
                <w:sz w:val="18"/>
              </w:rPr>
              <w:t>CatBoost</w:t>
            </w:r>
          </w:p>
        </w:tc>
        <w:tc>
          <w:tcPr>
            <w:tcW w:type="dxa" w:w="1045"/>
            <w:vAlign w:val="center"/>
            <w:shd w:val="clear" w:color="auto" w:fill="FCE4EC"/>
          </w:tcPr>
          <w:p>
            <w:pPr>
              <w:jc w:val="center"/>
            </w:pPr>
            <w:r>
              <w:rPr>
                <w:sz w:val="18"/>
              </w:rPr>
              <w:t>0.9900</w:t>
            </w:r>
          </w:p>
        </w:tc>
        <w:tc>
          <w:tcPr>
            <w:tcW w:type="dxa" w:w="1045"/>
            <w:vAlign w:val="center"/>
            <w:shd w:val="clear" w:color="auto" w:fill="FCE4EC"/>
          </w:tcPr>
          <w:p>
            <w:pPr>
              <w:jc w:val="center"/>
            </w:pPr>
            <w:r>
              <w:rPr>
                <w:sz w:val="18"/>
              </w:rPr>
              <w:t>0.9879</w:t>
            </w:r>
          </w:p>
        </w:tc>
        <w:tc>
          <w:tcPr>
            <w:tcW w:type="dxa" w:w="1045"/>
            <w:vAlign w:val="center"/>
            <w:shd w:val="clear" w:color="auto" w:fill="FCE4EC"/>
          </w:tcPr>
          <w:p>
            <w:pPr>
              <w:jc w:val="center"/>
            </w:pPr>
            <w:r>
              <w:rPr>
                <w:sz w:val="18"/>
              </w:rPr>
              <w:t>0.9589</w:t>
            </w:r>
          </w:p>
        </w:tc>
        <w:tc>
          <w:tcPr>
            <w:tcW w:type="dxa" w:w="1045"/>
            <w:vAlign w:val="center"/>
            <w:shd w:val="clear" w:color="auto" w:fill="FCE4EC"/>
          </w:tcPr>
          <w:p>
            <w:pPr>
              <w:jc w:val="center"/>
            </w:pPr>
            <w:r>
              <w:rPr>
                <w:sz w:val="18"/>
              </w:rPr>
              <w:t>0.9164</w:t>
            </w:r>
          </w:p>
        </w:tc>
        <w:tc>
          <w:tcPr>
            <w:tcW w:type="dxa" w:w="1045"/>
            <w:vAlign w:val="center"/>
            <w:shd w:val="clear" w:color="auto" w:fill="FCE4EC"/>
          </w:tcPr>
          <w:p>
            <w:pPr>
              <w:jc w:val="center"/>
            </w:pPr>
            <w:r>
              <w:rPr>
                <w:sz w:val="18"/>
              </w:rPr>
              <w:t>0.9211</w:t>
            </w:r>
          </w:p>
        </w:tc>
        <w:tc>
          <w:tcPr>
            <w:tcW w:type="dxa" w:w="1045"/>
            <w:vAlign w:val="center"/>
            <w:shd w:val="clear" w:color="auto" w:fill="FCE4EC"/>
          </w:tcPr>
          <w:p>
            <w:pPr>
              <w:jc w:val="center"/>
            </w:pPr>
            <w:r>
              <w:rPr>
                <w:sz w:val="18"/>
              </w:rPr>
              <w:t>0.9773</w:t>
            </w:r>
          </w:p>
        </w:tc>
        <w:tc>
          <w:tcPr>
            <w:tcW w:type="dxa" w:w="1045"/>
            <w:vAlign w:val="center"/>
            <w:shd w:val="clear" w:color="auto" w:fill="FCE4EC"/>
          </w:tcPr>
          <w:p>
            <w:pPr>
              <w:jc w:val="center"/>
            </w:pPr>
            <w:r>
              <w:rPr>
                <w:sz w:val="18"/>
              </w:rPr>
              <w:t>0.9392</w:t>
            </w:r>
          </w:p>
        </w:tc>
      </w:tr>
      <w:tr>
        <w:tc>
          <w:tcPr>
            <w:tcW w:type="dxa" w:w="1045"/>
            <w:vAlign w:val="center"/>
            <w:shd w:val="clear" w:color="auto" w:fill="FCE4EC"/>
          </w:tcPr>
          <w:p>
            <w:pPr>
              <w:jc w:val="center"/>
            </w:pPr>
            <w:r>
              <w:rPr>
                <w:sz w:val="18"/>
              </w:rPr>
            </w:r>
          </w:p>
        </w:tc>
        <w:tc>
          <w:tcPr>
            <w:tcW w:type="dxa" w:w="1045"/>
            <w:vAlign w:val="center"/>
            <w:shd w:val="clear" w:color="auto" w:fill="FCE4EC"/>
          </w:tcPr>
          <w:p>
            <w:pPr>
              <w:jc w:val="center"/>
            </w:pPr>
            <w:r>
              <w:rPr>
                <w:sz w:val="18"/>
              </w:rPr>
              <w:t>RF</w:t>
            </w:r>
          </w:p>
        </w:tc>
        <w:tc>
          <w:tcPr>
            <w:tcW w:type="dxa" w:w="1045"/>
            <w:vAlign w:val="center"/>
            <w:shd w:val="clear" w:color="auto" w:fill="FCE4EC"/>
          </w:tcPr>
          <w:p>
            <w:pPr>
              <w:jc w:val="center"/>
            </w:pPr>
            <w:r>
              <w:rPr>
                <w:sz w:val="18"/>
              </w:rPr>
              <w:t>0.9877</w:t>
            </w:r>
          </w:p>
        </w:tc>
        <w:tc>
          <w:tcPr>
            <w:tcW w:type="dxa" w:w="1045"/>
            <w:vAlign w:val="center"/>
            <w:shd w:val="clear" w:color="auto" w:fill="FCE4EC"/>
          </w:tcPr>
          <w:p>
            <w:pPr>
              <w:jc w:val="center"/>
            </w:pPr>
            <w:r>
              <w:rPr>
                <w:sz w:val="18"/>
              </w:rPr>
              <w:t>0.9851</w:t>
            </w:r>
          </w:p>
        </w:tc>
        <w:tc>
          <w:tcPr>
            <w:tcW w:type="dxa" w:w="1045"/>
            <w:vAlign w:val="center"/>
            <w:shd w:val="clear" w:color="auto" w:fill="FCE4EC"/>
          </w:tcPr>
          <w:p>
            <w:pPr>
              <w:jc w:val="center"/>
            </w:pPr>
            <w:r>
              <w:rPr>
                <w:sz w:val="18"/>
              </w:rPr>
              <w:t>0.9524</w:t>
            </w:r>
          </w:p>
        </w:tc>
        <w:tc>
          <w:tcPr>
            <w:tcW w:type="dxa" w:w="1045"/>
            <w:vAlign w:val="center"/>
            <w:shd w:val="clear" w:color="auto" w:fill="FCE4EC"/>
          </w:tcPr>
          <w:p>
            <w:pPr>
              <w:jc w:val="center"/>
            </w:pPr>
            <w:r>
              <w:rPr>
                <w:sz w:val="18"/>
              </w:rPr>
              <w:t>0.9038</w:t>
            </w:r>
          </w:p>
        </w:tc>
        <w:tc>
          <w:tcPr>
            <w:tcW w:type="dxa" w:w="1045"/>
            <w:vAlign w:val="center"/>
            <w:shd w:val="clear" w:color="auto" w:fill="FCE4EC"/>
          </w:tcPr>
          <w:p>
            <w:pPr>
              <w:jc w:val="center"/>
            </w:pPr>
            <w:r>
              <w:rPr>
                <w:sz w:val="18"/>
              </w:rPr>
              <w:t>0.9091</w:t>
            </w:r>
          </w:p>
        </w:tc>
        <w:tc>
          <w:tcPr>
            <w:tcW w:type="dxa" w:w="1045"/>
            <w:vAlign w:val="center"/>
            <w:shd w:val="clear" w:color="auto" w:fill="FCE4EC"/>
          </w:tcPr>
          <w:p>
            <w:pPr>
              <w:jc w:val="center"/>
            </w:pPr>
            <w:r>
              <w:rPr>
                <w:sz w:val="18"/>
              </w:rPr>
              <w:t>0.9640</w:t>
            </w:r>
          </w:p>
        </w:tc>
        <w:tc>
          <w:tcPr>
            <w:tcW w:type="dxa" w:w="1045"/>
            <w:vAlign w:val="center"/>
            <w:shd w:val="clear" w:color="auto" w:fill="FCE4EC"/>
          </w:tcPr>
          <w:p>
            <w:pPr>
              <w:jc w:val="center"/>
            </w:pPr>
            <w:r>
              <w:rPr>
                <w:sz w:val="18"/>
              </w:rPr>
              <w:t>0.9398</w:t>
            </w:r>
          </w:p>
        </w:tc>
      </w:tr>
      <w:tr>
        <w:tc>
          <w:tcPr>
            <w:tcW w:type="dxa" w:w="1045"/>
            <w:vAlign w:val="center"/>
            <w:shd w:val="clear" w:color="auto" w:fill="FCE4EC"/>
          </w:tcPr>
          <w:p>
            <w:pPr>
              <w:jc w:val="center"/>
            </w:pPr>
            <w:r>
              <w:rPr>
                <w:sz w:val="18"/>
              </w:rPr>
            </w:r>
          </w:p>
        </w:tc>
        <w:tc>
          <w:tcPr>
            <w:tcW w:type="dxa" w:w="1045"/>
            <w:vAlign w:val="center"/>
            <w:shd w:val="clear" w:color="auto" w:fill="FCE4EC"/>
          </w:tcPr>
          <w:p>
            <w:pPr>
              <w:jc w:val="center"/>
            </w:pPr>
            <w:r>
              <w:rPr>
                <w:sz w:val="18"/>
              </w:rPr>
              <w:t>DNN</w:t>
            </w:r>
          </w:p>
        </w:tc>
        <w:tc>
          <w:tcPr>
            <w:tcW w:type="dxa" w:w="1045"/>
            <w:vAlign w:val="center"/>
            <w:shd w:val="clear" w:color="auto" w:fill="FCE4EC"/>
          </w:tcPr>
          <w:p>
            <w:pPr>
              <w:jc w:val="center"/>
            </w:pPr>
            <w:r>
              <w:rPr>
                <w:sz w:val="18"/>
              </w:rPr>
              <w:t>0.9847</w:t>
            </w:r>
          </w:p>
        </w:tc>
        <w:tc>
          <w:tcPr>
            <w:tcW w:type="dxa" w:w="1045"/>
            <w:vAlign w:val="center"/>
            <w:shd w:val="clear" w:color="auto" w:fill="FCE4EC"/>
          </w:tcPr>
          <w:p>
            <w:pPr>
              <w:jc w:val="center"/>
            </w:pPr>
            <w:r>
              <w:rPr>
                <w:sz w:val="18"/>
              </w:rPr>
              <w:t>0.9801</w:t>
            </w:r>
          </w:p>
        </w:tc>
        <w:tc>
          <w:tcPr>
            <w:tcW w:type="dxa" w:w="1045"/>
            <w:vAlign w:val="center"/>
            <w:shd w:val="clear" w:color="auto" w:fill="FCE4EC"/>
          </w:tcPr>
          <w:p>
            <w:pPr>
              <w:jc w:val="center"/>
            </w:pPr>
            <w:r>
              <w:rPr>
                <w:sz w:val="18"/>
              </w:rPr>
              <w:t>0.9501</w:t>
            </w:r>
          </w:p>
        </w:tc>
        <w:tc>
          <w:tcPr>
            <w:tcW w:type="dxa" w:w="1045"/>
            <w:vAlign w:val="center"/>
            <w:shd w:val="clear" w:color="auto" w:fill="FCE4EC"/>
          </w:tcPr>
          <w:p>
            <w:pPr>
              <w:jc w:val="center"/>
            </w:pPr>
            <w:r>
              <w:rPr>
                <w:sz w:val="18"/>
              </w:rPr>
              <w:t>0.8981</w:t>
            </w:r>
          </w:p>
        </w:tc>
        <w:tc>
          <w:tcPr>
            <w:tcW w:type="dxa" w:w="1045"/>
            <w:vAlign w:val="center"/>
            <w:shd w:val="clear" w:color="auto" w:fill="FCE4EC"/>
          </w:tcPr>
          <w:p>
            <w:pPr>
              <w:jc w:val="center"/>
            </w:pPr>
            <w:r>
              <w:rPr>
                <w:sz w:val="18"/>
              </w:rPr>
              <w:t>0.9050</w:t>
            </w:r>
          </w:p>
        </w:tc>
        <w:tc>
          <w:tcPr>
            <w:tcW w:type="dxa" w:w="1045"/>
            <w:vAlign w:val="center"/>
            <w:shd w:val="clear" w:color="auto" w:fill="FCE4EC"/>
          </w:tcPr>
          <w:p>
            <w:pPr>
              <w:jc w:val="center"/>
            </w:pPr>
            <w:r>
              <w:rPr>
                <w:sz w:val="18"/>
              </w:rPr>
              <w:t>0.9724</w:t>
            </w:r>
          </w:p>
        </w:tc>
        <w:tc>
          <w:tcPr>
            <w:tcW w:type="dxa" w:w="1045"/>
            <w:vAlign w:val="center"/>
            <w:shd w:val="clear" w:color="auto" w:fill="FCE4EC"/>
          </w:tcPr>
          <w:p>
            <w:pPr>
              <w:jc w:val="center"/>
            </w:pPr>
            <w:r>
              <w:rPr>
                <w:sz w:val="18"/>
              </w:rPr>
              <w:t>0.9258</w:t>
            </w:r>
          </w:p>
        </w:tc>
      </w:tr>
      <w:tr>
        <w:tc>
          <w:tcPr>
            <w:tcW w:type="dxa" w:w="1045"/>
            <w:vAlign w:val="center"/>
            <w:shd w:val="clear" w:color="auto" w:fill="E3F2FD"/>
          </w:tcPr>
          <w:p>
            <w:pPr>
              <w:jc w:val="center"/>
            </w:pPr>
            <w:r>
              <w:rPr>
                <w:sz w:val="18"/>
              </w:rPr>
              <w:t>10x</w:t>
            </w:r>
          </w:p>
        </w:tc>
        <w:tc>
          <w:tcPr>
            <w:tcW w:type="dxa" w:w="1045"/>
            <w:vAlign w:val="center"/>
            <w:shd w:val="clear" w:color="auto" w:fill="E3F2FD"/>
          </w:tcPr>
          <w:p>
            <w:pPr>
              <w:jc w:val="center"/>
            </w:pPr>
            <w:r>
              <w:rPr>
                <w:sz w:val="18"/>
              </w:rPr>
              <w:t>XGBoost</w:t>
            </w:r>
          </w:p>
        </w:tc>
        <w:tc>
          <w:tcPr>
            <w:tcW w:type="dxa" w:w="1045"/>
            <w:vAlign w:val="center"/>
            <w:shd w:val="clear" w:color="auto" w:fill="E3F2FD"/>
          </w:tcPr>
          <w:p>
            <w:pPr>
              <w:jc w:val="center"/>
            </w:pPr>
            <w:r>
              <w:rPr>
                <w:sz w:val="18"/>
              </w:rPr>
              <w:t>0.9941</w:t>
            </w:r>
          </w:p>
        </w:tc>
        <w:tc>
          <w:tcPr>
            <w:tcW w:type="dxa" w:w="1045"/>
            <w:vAlign w:val="center"/>
            <w:shd w:val="clear" w:color="auto" w:fill="E3F2FD"/>
          </w:tcPr>
          <w:p>
            <w:pPr>
              <w:jc w:val="center"/>
            </w:pPr>
            <w:r>
              <w:rPr>
                <w:sz w:val="18"/>
              </w:rPr>
              <w:t>0.9931</w:t>
            </w:r>
          </w:p>
        </w:tc>
        <w:tc>
          <w:tcPr>
            <w:tcW w:type="dxa" w:w="1045"/>
            <w:vAlign w:val="center"/>
            <w:shd w:val="clear" w:color="auto" w:fill="E3F2FD"/>
          </w:tcPr>
          <w:p>
            <w:pPr>
              <w:jc w:val="center"/>
            </w:pPr>
            <w:r>
              <w:rPr>
                <w:sz w:val="18"/>
              </w:rPr>
              <w:t>0.9694</w:t>
            </w:r>
          </w:p>
        </w:tc>
        <w:tc>
          <w:tcPr>
            <w:tcW w:type="dxa" w:w="1045"/>
            <w:vAlign w:val="center"/>
            <w:shd w:val="clear" w:color="auto" w:fill="E3F2FD"/>
          </w:tcPr>
          <w:p>
            <w:pPr>
              <w:jc w:val="center"/>
            </w:pPr>
            <w:r>
              <w:rPr>
                <w:sz w:val="18"/>
              </w:rPr>
              <w:t>0.9381</w:t>
            </w:r>
          </w:p>
        </w:tc>
        <w:tc>
          <w:tcPr>
            <w:tcW w:type="dxa" w:w="1045"/>
            <w:vAlign w:val="center"/>
            <w:shd w:val="clear" w:color="auto" w:fill="E3F2FD"/>
          </w:tcPr>
          <w:p>
            <w:pPr>
              <w:jc w:val="center"/>
            </w:pPr>
            <w:r>
              <w:rPr>
                <w:sz w:val="18"/>
              </w:rPr>
              <w:t>0.9406</w:t>
            </w:r>
          </w:p>
        </w:tc>
        <w:tc>
          <w:tcPr>
            <w:tcW w:type="dxa" w:w="1045"/>
            <w:vAlign w:val="center"/>
            <w:shd w:val="clear" w:color="auto" w:fill="E3F2FD"/>
          </w:tcPr>
          <w:p>
            <w:pPr>
              <w:jc w:val="center"/>
            </w:pPr>
            <w:r>
              <w:rPr>
                <w:sz w:val="18"/>
              </w:rPr>
              <w:t>0.9824</w:t>
            </w:r>
          </w:p>
        </w:tc>
        <w:tc>
          <w:tcPr>
            <w:tcW w:type="dxa" w:w="1045"/>
            <w:vAlign w:val="center"/>
            <w:shd w:val="clear" w:color="auto" w:fill="E3F2FD"/>
          </w:tcPr>
          <w:p>
            <w:pPr>
              <w:jc w:val="center"/>
            </w:pPr>
            <w:r>
              <w:rPr>
                <w:sz w:val="18"/>
              </w:rPr>
              <w:t>0.9557</w:t>
            </w:r>
          </w:p>
        </w:tc>
      </w:tr>
      <w:tr>
        <w:tc>
          <w:tcPr>
            <w:tcW w:type="dxa" w:w="1045"/>
            <w:vAlign w:val="center"/>
            <w:shd w:val="clear" w:color="auto" w:fill="E3F2FD"/>
          </w:tcPr>
          <w:p>
            <w:pPr>
              <w:jc w:val="center"/>
            </w:pPr>
            <w:r>
              <w:rPr>
                <w:sz w:val="18"/>
              </w:rPr>
            </w:r>
          </w:p>
        </w:tc>
        <w:tc>
          <w:tcPr>
            <w:tcW w:type="dxa" w:w="1045"/>
            <w:vAlign w:val="center"/>
            <w:shd w:val="clear" w:color="auto" w:fill="E3F2FD"/>
          </w:tcPr>
          <w:p>
            <w:pPr>
              <w:jc w:val="center"/>
            </w:pPr>
            <w:r>
              <w:rPr>
                <w:sz w:val="18"/>
              </w:rPr>
              <w:t>Ensemble_mean</w:t>
            </w:r>
          </w:p>
        </w:tc>
        <w:tc>
          <w:tcPr>
            <w:tcW w:type="dxa" w:w="1045"/>
            <w:vAlign w:val="center"/>
            <w:shd w:val="clear" w:color="auto" w:fill="E3F2FD"/>
          </w:tcPr>
          <w:p>
            <w:pPr>
              <w:jc w:val="center"/>
            </w:pPr>
            <w:r>
              <w:rPr>
                <w:sz w:val="18"/>
              </w:rPr>
              <w:t>0.9921</w:t>
            </w:r>
          </w:p>
        </w:tc>
        <w:tc>
          <w:tcPr>
            <w:tcW w:type="dxa" w:w="1045"/>
            <w:vAlign w:val="center"/>
            <w:shd w:val="clear" w:color="auto" w:fill="E3F2FD"/>
          </w:tcPr>
          <w:p>
            <w:pPr>
              <w:jc w:val="center"/>
            </w:pPr>
            <w:r>
              <w:rPr>
                <w:sz w:val="18"/>
              </w:rPr>
              <w:t>0.9908</w:t>
            </w:r>
          </w:p>
        </w:tc>
        <w:tc>
          <w:tcPr>
            <w:tcW w:type="dxa" w:w="1045"/>
            <w:vAlign w:val="center"/>
            <w:shd w:val="clear" w:color="auto" w:fill="E3F2FD"/>
          </w:tcPr>
          <w:p>
            <w:pPr>
              <w:jc w:val="center"/>
            </w:pPr>
            <w:r>
              <w:rPr>
                <w:sz w:val="18"/>
              </w:rPr>
              <w:t>0.9627</w:t>
            </w:r>
          </w:p>
        </w:tc>
        <w:tc>
          <w:tcPr>
            <w:tcW w:type="dxa" w:w="1045"/>
            <w:vAlign w:val="center"/>
            <w:shd w:val="clear" w:color="auto" w:fill="E3F2FD"/>
          </w:tcPr>
          <w:p>
            <w:pPr>
              <w:jc w:val="center"/>
            </w:pPr>
            <w:r>
              <w:rPr>
                <w:sz w:val="18"/>
              </w:rPr>
              <w:t>0.9244</w:t>
            </w:r>
          </w:p>
        </w:tc>
        <w:tc>
          <w:tcPr>
            <w:tcW w:type="dxa" w:w="1045"/>
            <w:vAlign w:val="center"/>
            <w:shd w:val="clear" w:color="auto" w:fill="E3F2FD"/>
          </w:tcPr>
          <w:p>
            <w:pPr>
              <w:jc w:val="center"/>
            </w:pPr>
            <w:r>
              <w:rPr>
                <w:sz w:val="18"/>
              </w:rPr>
              <w:t>0.9280</w:t>
            </w:r>
          </w:p>
        </w:tc>
        <w:tc>
          <w:tcPr>
            <w:tcW w:type="dxa" w:w="1045"/>
            <w:vAlign w:val="center"/>
            <w:shd w:val="clear" w:color="auto" w:fill="E3F2FD"/>
          </w:tcPr>
          <w:p>
            <w:pPr>
              <w:jc w:val="center"/>
            </w:pPr>
            <w:r>
              <w:rPr>
                <w:sz w:val="18"/>
              </w:rPr>
              <w:t>0.9765</w:t>
            </w:r>
          </w:p>
        </w:tc>
        <w:tc>
          <w:tcPr>
            <w:tcW w:type="dxa" w:w="1045"/>
            <w:vAlign w:val="center"/>
            <w:shd w:val="clear" w:color="auto" w:fill="E3F2FD"/>
          </w:tcPr>
          <w:p>
            <w:pPr>
              <w:jc w:val="center"/>
            </w:pPr>
            <w:r>
              <w:rPr>
                <w:sz w:val="18"/>
              </w:rPr>
              <w:t>0.9479</w:t>
            </w:r>
          </w:p>
        </w:tc>
      </w:tr>
      <w:tr>
        <w:tc>
          <w:tcPr>
            <w:tcW w:type="dxa" w:w="1045"/>
            <w:vAlign w:val="center"/>
            <w:shd w:val="clear" w:color="auto" w:fill="E3F2FD"/>
          </w:tcPr>
          <w:p>
            <w:pPr>
              <w:jc w:val="center"/>
            </w:pPr>
            <w:r>
              <w:rPr>
                <w:sz w:val="18"/>
              </w:rPr>
            </w:r>
          </w:p>
        </w:tc>
        <w:tc>
          <w:tcPr>
            <w:tcW w:type="dxa" w:w="1045"/>
            <w:vAlign w:val="center"/>
            <w:shd w:val="clear" w:color="auto" w:fill="E3F2FD"/>
          </w:tcPr>
          <w:p>
            <w:pPr>
              <w:jc w:val="center"/>
            </w:pPr>
            <w:r>
              <w:rPr>
                <w:sz w:val="18"/>
              </w:rPr>
              <w:t>CatBoost</w:t>
            </w:r>
          </w:p>
        </w:tc>
        <w:tc>
          <w:tcPr>
            <w:tcW w:type="dxa" w:w="1045"/>
            <w:vAlign w:val="center"/>
            <w:shd w:val="clear" w:color="auto" w:fill="E3F2FD"/>
          </w:tcPr>
          <w:p>
            <w:pPr>
              <w:jc w:val="center"/>
            </w:pPr>
            <w:r>
              <w:rPr>
                <w:sz w:val="18"/>
              </w:rPr>
              <w:t>0.9910</w:t>
            </w:r>
          </w:p>
        </w:tc>
        <w:tc>
          <w:tcPr>
            <w:tcW w:type="dxa" w:w="1045"/>
            <w:vAlign w:val="center"/>
            <w:shd w:val="clear" w:color="auto" w:fill="E3F2FD"/>
          </w:tcPr>
          <w:p>
            <w:pPr>
              <w:jc w:val="center"/>
            </w:pPr>
            <w:r>
              <w:rPr>
                <w:sz w:val="18"/>
              </w:rPr>
              <w:t>0.9893</w:t>
            </w:r>
          </w:p>
        </w:tc>
        <w:tc>
          <w:tcPr>
            <w:tcW w:type="dxa" w:w="1045"/>
            <w:vAlign w:val="center"/>
            <w:shd w:val="clear" w:color="auto" w:fill="E3F2FD"/>
          </w:tcPr>
          <w:p>
            <w:pPr>
              <w:jc w:val="center"/>
            </w:pPr>
            <w:r>
              <w:rPr>
                <w:sz w:val="18"/>
              </w:rPr>
              <w:t>0.9613</w:t>
            </w:r>
          </w:p>
        </w:tc>
        <w:tc>
          <w:tcPr>
            <w:tcW w:type="dxa" w:w="1045"/>
            <w:vAlign w:val="center"/>
            <w:shd w:val="clear" w:color="auto" w:fill="E3F2FD"/>
          </w:tcPr>
          <w:p>
            <w:pPr>
              <w:jc w:val="center"/>
            </w:pPr>
            <w:r>
              <w:rPr>
                <w:sz w:val="18"/>
              </w:rPr>
              <w:t>0.9216</w:t>
            </w:r>
          </w:p>
        </w:tc>
        <w:tc>
          <w:tcPr>
            <w:tcW w:type="dxa" w:w="1045"/>
            <w:vAlign w:val="center"/>
            <w:shd w:val="clear" w:color="auto" w:fill="E3F2FD"/>
          </w:tcPr>
          <w:p>
            <w:pPr>
              <w:jc w:val="center"/>
            </w:pPr>
            <w:r>
              <w:rPr>
                <w:sz w:val="18"/>
              </w:rPr>
              <w:t>0.9255</w:t>
            </w:r>
          </w:p>
        </w:tc>
        <w:tc>
          <w:tcPr>
            <w:tcW w:type="dxa" w:w="1045"/>
            <w:vAlign w:val="center"/>
            <w:shd w:val="clear" w:color="auto" w:fill="E3F2FD"/>
          </w:tcPr>
          <w:p>
            <w:pPr>
              <w:jc w:val="center"/>
            </w:pPr>
            <w:r>
              <w:rPr>
                <w:sz w:val="18"/>
              </w:rPr>
              <w:t>0.9759</w:t>
            </w:r>
          </w:p>
        </w:tc>
        <w:tc>
          <w:tcPr>
            <w:tcW w:type="dxa" w:w="1045"/>
            <w:vAlign w:val="center"/>
            <w:shd w:val="clear" w:color="auto" w:fill="E3F2FD"/>
          </w:tcPr>
          <w:p>
            <w:pPr>
              <w:jc w:val="center"/>
            </w:pPr>
            <w:r>
              <w:rPr>
                <w:sz w:val="18"/>
              </w:rPr>
              <w:t>0.9458</w:t>
            </w:r>
          </w:p>
        </w:tc>
      </w:tr>
      <w:tr>
        <w:tc>
          <w:tcPr>
            <w:tcW w:type="dxa" w:w="1045"/>
            <w:vAlign w:val="center"/>
            <w:shd w:val="clear" w:color="auto" w:fill="E3F2FD"/>
          </w:tcPr>
          <w:p>
            <w:pPr>
              <w:jc w:val="center"/>
            </w:pPr>
            <w:r>
              <w:rPr>
                <w:sz w:val="18"/>
              </w:rPr>
            </w:r>
          </w:p>
        </w:tc>
        <w:tc>
          <w:tcPr>
            <w:tcW w:type="dxa" w:w="1045"/>
            <w:vAlign w:val="center"/>
            <w:shd w:val="clear" w:color="auto" w:fill="E3F2FD"/>
          </w:tcPr>
          <w:p>
            <w:pPr>
              <w:jc w:val="center"/>
            </w:pPr>
            <w:r>
              <w:rPr>
                <w:sz w:val="18"/>
              </w:rPr>
              <w:t>RF</w:t>
            </w:r>
          </w:p>
        </w:tc>
        <w:tc>
          <w:tcPr>
            <w:tcW w:type="dxa" w:w="1045"/>
            <w:vAlign w:val="center"/>
            <w:shd w:val="clear" w:color="auto" w:fill="E3F2FD"/>
          </w:tcPr>
          <w:p>
            <w:pPr>
              <w:jc w:val="center"/>
            </w:pPr>
            <w:r>
              <w:rPr>
                <w:sz w:val="18"/>
              </w:rPr>
              <w:t>0.9903</w:t>
            </w:r>
          </w:p>
        </w:tc>
        <w:tc>
          <w:tcPr>
            <w:tcW w:type="dxa" w:w="1045"/>
            <w:vAlign w:val="center"/>
            <w:shd w:val="clear" w:color="auto" w:fill="E3F2FD"/>
          </w:tcPr>
          <w:p>
            <w:pPr>
              <w:jc w:val="center"/>
            </w:pPr>
            <w:r>
              <w:rPr>
                <w:sz w:val="18"/>
              </w:rPr>
              <w:t>0.9887</w:t>
            </w:r>
          </w:p>
        </w:tc>
        <w:tc>
          <w:tcPr>
            <w:tcW w:type="dxa" w:w="1045"/>
            <w:vAlign w:val="center"/>
            <w:shd w:val="clear" w:color="auto" w:fill="E3F2FD"/>
          </w:tcPr>
          <w:p>
            <w:pPr>
              <w:jc w:val="center"/>
            </w:pPr>
            <w:r>
              <w:rPr>
                <w:sz w:val="18"/>
              </w:rPr>
              <w:t>0.9576</w:t>
            </w:r>
          </w:p>
        </w:tc>
        <w:tc>
          <w:tcPr>
            <w:tcW w:type="dxa" w:w="1045"/>
            <w:vAlign w:val="center"/>
            <w:shd w:val="clear" w:color="auto" w:fill="E3F2FD"/>
          </w:tcPr>
          <w:p>
            <w:pPr>
              <w:jc w:val="center"/>
            </w:pPr>
            <w:r>
              <w:rPr>
                <w:sz w:val="18"/>
              </w:rPr>
              <w:t>0.9138</w:t>
            </w:r>
          </w:p>
        </w:tc>
        <w:tc>
          <w:tcPr>
            <w:tcW w:type="dxa" w:w="1045"/>
            <w:vAlign w:val="center"/>
            <w:shd w:val="clear" w:color="auto" w:fill="E3F2FD"/>
          </w:tcPr>
          <w:p>
            <w:pPr>
              <w:jc w:val="center"/>
            </w:pPr>
            <w:r>
              <w:rPr>
                <w:sz w:val="18"/>
              </w:rPr>
              <w:t>0.9186</w:t>
            </w:r>
          </w:p>
        </w:tc>
        <w:tc>
          <w:tcPr>
            <w:tcW w:type="dxa" w:w="1045"/>
            <w:vAlign w:val="center"/>
            <w:shd w:val="clear" w:color="auto" w:fill="E3F2FD"/>
          </w:tcPr>
          <w:p>
            <w:pPr>
              <w:jc w:val="center"/>
            </w:pPr>
            <w:r>
              <w:rPr>
                <w:sz w:val="18"/>
              </w:rPr>
              <w:t>0.9755</w:t>
            </w:r>
          </w:p>
        </w:tc>
        <w:tc>
          <w:tcPr>
            <w:tcW w:type="dxa" w:w="1045"/>
            <w:vAlign w:val="center"/>
            <w:shd w:val="clear" w:color="auto" w:fill="E3F2FD"/>
          </w:tcPr>
          <w:p>
            <w:pPr>
              <w:jc w:val="center"/>
            </w:pPr>
            <w:r>
              <w:rPr>
                <w:sz w:val="18"/>
              </w:rPr>
              <w:t>0.9383</w:t>
            </w:r>
          </w:p>
        </w:tc>
      </w:tr>
      <w:tr>
        <w:tc>
          <w:tcPr>
            <w:tcW w:type="dxa" w:w="1045"/>
            <w:vAlign w:val="center"/>
            <w:shd w:val="clear" w:color="auto" w:fill="E3F2FD"/>
          </w:tcPr>
          <w:p>
            <w:pPr>
              <w:jc w:val="center"/>
            </w:pPr>
            <w:r>
              <w:rPr>
                <w:sz w:val="18"/>
              </w:rPr>
            </w:r>
          </w:p>
        </w:tc>
        <w:tc>
          <w:tcPr>
            <w:tcW w:type="dxa" w:w="1045"/>
            <w:vAlign w:val="center"/>
            <w:shd w:val="clear" w:color="auto" w:fill="E3F2FD"/>
          </w:tcPr>
          <w:p>
            <w:pPr>
              <w:jc w:val="center"/>
            </w:pPr>
            <w:r>
              <w:rPr>
                <w:sz w:val="18"/>
              </w:rPr>
              <w:t>DNN</w:t>
            </w:r>
          </w:p>
        </w:tc>
        <w:tc>
          <w:tcPr>
            <w:tcW w:type="dxa" w:w="1045"/>
            <w:vAlign w:val="center"/>
            <w:shd w:val="clear" w:color="auto" w:fill="E3F2FD"/>
          </w:tcPr>
          <w:p>
            <w:pPr>
              <w:jc w:val="center"/>
            </w:pPr>
            <w:r>
              <w:rPr>
                <w:sz w:val="18"/>
              </w:rPr>
              <w:t>0.9860</w:t>
            </w:r>
          </w:p>
        </w:tc>
        <w:tc>
          <w:tcPr>
            <w:tcW w:type="dxa" w:w="1045"/>
            <w:vAlign w:val="center"/>
            <w:shd w:val="clear" w:color="auto" w:fill="E3F2FD"/>
          </w:tcPr>
          <w:p>
            <w:pPr>
              <w:jc w:val="center"/>
            </w:pPr>
            <w:r>
              <w:rPr>
                <w:sz w:val="18"/>
              </w:rPr>
              <w:t>0.9821</w:t>
            </w:r>
          </w:p>
        </w:tc>
        <w:tc>
          <w:tcPr>
            <w:tcW w:type="dxa" w:w="1045"/>
            <w:vAlign w:val="center"/>
            <w:shd w:val="clear" w:color="auto" w:fill="E3F2FD"/>
          </w:tcPr>
          <w:p>
            <w:pPr>
              <w:jc w:val="center"/>
            </w:pPr>
            <w:r>
              <w:rPr>
                <w:sz w:val="18"/>
              </w:rPr>
              <w:t>0.9520</w:t>
            </w:r>
          </w:p>
        </w:tc>
        <w:tc>
          <w:tcPr>
            <w:tcW w:type="dxa" w:w="1045"/>
            <w:vAlign w:val="center"/>
            <w:shd w:val="clear" w:color="auto" w:fill="E3F2FD"/>
          </w:tcPr>
          <w:p>
            <w:pPr>
              <w:jc w:val="center"/>
            </w:pPr>
            <w:r>
              <w:rPr>
                <w:sz w:val="18"/>
              </w:rPr>
              <w:t>0.9019</w:t>
            </w:r>
          </w:p>
        </w:tc>
        <w:tc>
          <w:tcPr>
            <w:tcW w:type="dxa" w:w="1045"/>
            <w:vAlign w:val="center"/>
            <w:shd w:val="clear" w:color="auto" w:fill="E3F2FD"/>
          </w:tcPr>
          <w:p>
            <w:pPr>
              <w:jc w:val="center"/>
            </w:pPr>
            <w:r>
              <w:rPr>
                <w:sz w:val="18"/>
              </w:rPr>
              <w:t>0.9085</w:t>
            </w:r>
          </w:p>
        </w:tc>
        <w:tc>
          <w:tcPr>
            <w:tcW w:type="dxa" w:w="1045"/>
            <w:vAlign w:val="center"/>
            <w:shd w:val="clear" w:color="auto" w:fill="E3F2FD"/>
          </w:tcPr>
          <w:p>
            <w:pPr>
              <w:jc w:val="center"/>
            </w:pPr>
            <w:r>
              <w:rPr>
                <w:sz w:val="18"/>
              </w:rPr>
              <w:t>0.9752</w:t>
            </w:r>
          </w:p>
        </w:tc>
        <w:tc>
          <w:tcPr>
            <w:tcW w:type="dxa" w:w="1045"/>
            <w:vAlign w:val="center"/>
            <w:shd w:val="clear" w:color="auto" w:fill="E3F2FD"/>
          </w:tcPr>
          <w:p>
            <w:pPr>
              <w:jc w:val="center"/>
            </w:pPr>
            <w:r>
              <w:rPr>
                <w:sz w:val="18"/>
              </w:rPr>
              <w:t>0.9268</w:t>
            </w:r>
          </w:p>
        </w:tc>
      </w:tr>
    </w:tbl>
    <w:p>
      <w:r>
        <w:rPr>
          <w:b/>
          <w:sz w:val="18"/>
        </w:rPr>
        <w:t xml:space="preserve">Table 1. </w:t>
      </w:r>
      <w:r>
        <w:rPr>
          <w:i/>
          <w:sz w:val="18"/>
        </w:rPr>
        <w:t>Standard validation metrics for all models and sample sizes. Rows sorted by AUC within each sample size group. Colour bands distinguish sample sizes.</w:t>
      </w:r>
    </w:p>
    <w:p/>
    <w:p>
      <w:pPr>
        <w:jc w:val="center"/>
      </w:pPr>
      <w:r>
        <w:drawing>
          <wp:inline xmlns:a="http://schemas.openxmlformats.org/drawingml/2006/main" xmlns:pic="http://schemas.openxmlformats.org/drawingml/2006/picture">
            <wp:extent cx="5669280" cy="4210956"/>
            <wp:docPr id="1" name="Picture 1"/>
            <wp:cNvGraphicFramePr>
              <a:graphicFrameLocks noChangeAspect="1"/>
            </wp:cNvGraphicFramePr>
            <a:graphic>
              <a:graphicData uri="http://schemas.openxmlformats.org/drawingml/2006/picture">
                <pic:pic>
                  <pic:nvPicPr>
                    <pic:cNvPr id="0" name="multiscale_comparison.png"/>
                    <pic:cNvPicPr/>
                  </pic:nvPicPr>
                  <pic:blipFill>
                    <a:blip r:embed="rId9"/>
                    <a:stretch>
                      <a:fillRect/>
                    </a:stretch>
                  </pic:blipFill>
                  <pic:spPr>
                    <a:xfrm>
                      <a:off x="0" y="0"/>
                      <a:ext cx="5669280" cy="4210956"/>
                    </a:xfrm>
                    <a:prstGeom prst="rect"/>
                  </pic:spPr>
                </pic:pic>
              </a:graphicData>
            </a:graphic>
          </wp:inline>
        </w:drawing>
      </w:r>
    </w:p>
    <w:p>
      <w:pPr>
        <w:jc w:val="center"/>
      </w:pPr>
      <w:r>
        <w:rPr>
          <w:i/>
          <w:color w:val="555555"/>
          <w:sz w:val="18"/>
        </w:rPr>
        <w:t>Figure 1. Effect of sample size on validation performance (AUC, CSI, F1, Kappa) for all four models (1x–10x). Filled markers = standard validation; values annotated at each point.</w:t>
      </w:r>
    </w:p>
    <w:p/>
    <w:p>
      <w:pPr>
        <w:pStyle w:val="Heading2"/>
      </w:pPr>
      <w:r>
        <w:rPr>
          <w:color w:val="1A237E"/>
        </w:rPr>
        <w:t>4.2 Best Model Performance (10x)</w:t>
      </w:r>
    </w:p>
    <w:p>
      <w:r>
        <w:t>At the largest sample size (10x, 500k/class), XGBoost achieved the best overall performance (AUC = 0.9938, CSI = 0.9399, F1 = 0.9690). The ensemble model provided the second-best results with strong agreement across individual models.</w:t>
      </w:r>
    </w:p>
    <w:p>
      <w:pPr>
        <w:jc w:val="center"/>
      </w:pPr>
      <w:r>
        <w:drawing>
          <wp:inline xmlns:a="http://schemas.openxmlformats.org/drawingml/2006/main" xmlns:pic="http://schemas.openxmlformats.org/drawingml/2006/picture">
            <wp:extent cx="5029200" cy="4388192"/>
            <wp:docPr id="2" name="Picture 2"/>
            <wp:cNvGraphicFramePr>
              <a:graphicFrameLocks noChangeAspect="1"/>
            </wp:cNvGraphicFramePr>
            <a:graphic>
              <a:graphicData uri="http://schemas.openxmlformats.org/drawingml/2006/picture">
                <pic:pic>
                  <pic:nvPicPr>
                    <pic:cNvPr id="0" name="roc_validation.png"/>
                    <pic:cNvPicPr/>
                  </pic:nvPicPr>
                  <pic:blipFill>
                    <a:blip r:embed="rId10"/>
                    <a:stretch>
                      <a:fillRect/>
                    </a:stretch>
                  </pic:blipFill>
                  <pic:spPr>
                    <a:xfrm>
                      <a:off x="0" y="0"/>
                      <a:ext cx="5029200" cy="4388192"/>
                    </a:xfrm>
                    <a:prstGeom prst="rect"/>
                  </pic:spPr>
                </pic:pic>
              </a:graphicData>
            </a:graphic>
          </wp:inline>
        </w:drawing>
      </w:r>
    </w:p>
    <w:p>
      <w:pPr>
        <w:jc w:val="center"/>
      </w:pPr>
      <w:r>
        <w:rPr>
          <w:i/>
          <w:color w:val="555555"/>
          <w:sz w:val="18"/>
        </w:rPr>
        <w:t>Figure 2. ROC curves for all five models at 10x sample size. Filled circles indicate operating points at CSI-optimal thresholds.</w:t>
      </w:r>
    </w:p>
    <w:p/>
    <w:p>
      <w:pPr>
        <w:jc w:val="center"/>
      </w:pPr>
      <w:r>
        <w:drawing>
          <wp:inline xmlns:a="http://schemas.openxmlformats.org/drawingml/2006/main" xmlns:pic="http://schemas.openxmlformats.org/drawingml/2006/picture">
            <wp:extent cx="5943600" cy="3593071"/>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943600" cy="3593071"/>
                    </a:xfrm>
                    <a:prstGeom prst="rect"/>
                  </pic:spPr>
                </pic:pic>
              </a:graphicData>
            </a:graphic>
          </wp:inline>
        </w:drawing>
      </w:r>
    </w:p>
    <w:p>
      <w:pPr>
        <w:jc w:val="center"/>
      </w:pPr>
      <w:r>
        <w:rPr>
          <w:i/>
          <w:color w:val="555555"/>
          <w:sz w:val="18"/>
        </w:rPr>
        <w:t>Figure 3. Confusion matrices for all five models at 10x sample size (CSI-optimal thresholds). Absolute counts and row-normalised percentages shown.</w:t>
      </w:r>
    </w:p>
    <w:p/>
    <w:p>
      <w:pPr>
        <w:jc w:val="center"/>
      </w:pPr>
      <w:r>
        <w:drawing>
          <wp:inline xmlns:a="http://schemas.openxmlformats.org/drawingml/2006/main" xmlns:pic="http://schemas.openxmlformats.org/drawingml/2006/picture">
            <wp:extent cx="5943600" cy="2201957"/>
            <wp:docPr id="4" name="Picture 4"/>
            <wp:cNvGraphicFramePr>
              <a:graphicFrameLocks noChangeAspect="1"/>
            </wp:cNvGraphicFramePr>
            <a:graphic>
              <a:graphicData uri="http://schemas.openxmlformats.org/drawingml/2006/picture">
                <pic:pic>
                  <pic:nvPicPr>
                    <pic:cNvPr id="0" name="metrics_comparison.png"/>
                    <pic:cNvPicPr/>
                  </pic:nvPicPr>
                  <pic:blipFill>
                    <a:blip r:embed="rId12"/>
                    <a:stretch>
                      <a:fillRect/>
                    </a:stretch>
                  </pic:blipFill>
                  <pic:spPr>
                    <a:xfrm>
                      <a:off x="0" y="0"/>
                      <a:ext cx="5943600" cy="2201957"/>
                    </a:xfrm>
                    <a:prstGeom prst="rect"/>
                  </pic:spPr>
                </pic:pic>
              </a:graphicData>
            </a:graphic>
          </wp:inline>
        </w:drawing>
      </w:r>
    </w:p>
    <w:p>
      <w:pPr>
        <w:jc w:val="center"/>
      </w:pPr>
      <w:r>
        <w:rPr>
          <w:i/>
          <w:color w:val="555555"/>
          <w:sz w:val="18"/>
        </w:rPr>
        <w:t>Figure 4. Bar chart comparison of AUC, F1, CSI, Sensitivity, Specificity and Kappa for all five models at 10x sample size.</w:t>
      </w:r>
    </w:p>
    <w:p/>
    <w:p>
      <w:r>
        <w:br w:type="page"/>
      </w:r>
    </w:p>
    <w:p>
      <w:pPr>
        <w:pStyle w:val="Heading1"/>
      </w:pPr>
      <w:r>
        <w:rPr>
          <w:color w:val="1A237E"/>
        </w:rPr>
        <w:t>5. Spatial Cross-Validation</w:t>
      </w:r>
    </w:p>
    <w:p>
      <w:r>
        <w:t>Spatial block CV tests whether models generalise to geographic regions not seen during training — a critical evaluation for spatial prediction tasks where standard random-split validation is optimistic due to spatial autocorrelation.</w:t>
      </w:r>
    </w:p>
    <w:p>
      <w:pPr>
        <w:pStyle w:val="Heading2"/>
      </w:pPr>
      <w:r>
        <w:rPr>
          <w:color w:val="1A237E"/>
        </w:rPr>
        <w:t>5.1 Spatial CV Results — All Sizes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237E"/>
            <w:vAlign w:val="center"/>
          </w:tcPr>
          <w:p>
            <w:pPr>
              <w:jc w:val="center"/>
            </w:pPr>
            <w:r>
              <w:rPr>
                <w:b/>
                <w:color w:val="FFFFFF"/>
                <w:sz w:val="18"/>
              </w:rPr>
              <w:t>Size</w:t>
            </w:r>
          </w:p>
        </w:tc>
        <w:tc>
          <w:tcPr>
            <w:tcW w:type="dxa" w:w="1568"/>
            <w:shd w:val="clear" w:color="auto" w:fill="1A237E"/>
            <w:vAlign w:val="center"/>
          </w:tcPr>
          <w:p>
            <w:pPr>
              <w:jc w:val="center"/>
            </w:pPr>
            <w:r>
              <w:rPr>
                <w:b/>
                <w:color w:val="FFFFFF"/>
                <w:sz w:val="18"/>
              </w:rPr>
              <w:t>Model</w:t>
            </w:r>
          </w:p>
        </w:tc>
        <w:tc>
          <w:tcPr>
            <w:tcW w:type="dxa" w:w="1568"/>
            <w:shd w:val="clear" w:color="auto" w:fill="1A237E"/>
            <w:vAlign w:val="center"/>
          </w:tcPr>
          <w:p>
            <w:pPr>
              <w:jc w:val="center"/>
            </w:pPr>
            <w:r>
              <w:rPr>
                <w:b/>
                <w:color w:val="FFFFFF"/>
                <w:sz w:val="18"/>
              </w:rPr>
              <w:t>AUC (mean±std)</w:t>
            </w:r>
          </w:p>
        </w:tc>
        <w:tc>
          <w:tcPr>
            <w:tcW w:type="dxa" w:w="1568"/>
            <w:shd w:val="clear" w:color="auto" w:fill="1A237E"/>
            <w:vAlign w:val="center"/>
          </w:tcPr>
          <w:p>
            <w:pPr>
              <w:jc w:val="center"/>
            </w:pPr>
            <w:r>
              <w:rPr>
                <w:b/>
                <w:color w:val="FFFFFF"/>
                <w:sz w:val="18"/>
              </w:rPr>
              <w:t>CSI (mean±std)</w:t>
            </w:r>
          </w:p>
        </w:tc>
        <w:tc>
          <w:tcPr>
            <w:tcW w:type="dxa" w:w="1568"/>
            <w:shd w:val="clear" w:color="auto" w:fill="1A237E"/>
            <w:vAlign w:val="center"/>
          </w:tcPr>
          <w:p>
            <w:pPr>
              <w:jc w:val="center"/>
            </w:pPr>
            <w:r>
              <w:rPr>
                <w:b/>
                <w:color w:val="FFFFFF"/>
                <w:sz w:val="18"/>
              </w:rPr>
              <w:t>F1 (mean±std)</w:t>
            </w:r>
          </w:p>
        </w:tc>
        <w:tc>
          <w:tcPr>
            <w:tcW w:type="dxa" w:w="1568"/>
            <w:shd w:val="clear" w:color="auto" w:fill="1A237E"/>
            <w:vAlign w:val="center"/>
          </w:tcPr>
          <w:p>
            <w:pPr>
              <w:jc w:val="center"/>
            </w:pPr>
            <w:r>
              <w:rPr>
                <w:b/>
                <w:color w:val="FFFFFF"/>
                <w:sz w:val="18"/>
              </w:rPr>
              <w:t>Kappa (mean±std)</w:t>
            </w:r>
          </w:p>
        </w:tc>
      </w:tr>
      <w:tr>
        <w:tc>
          <w:tcPr>
            <w:tcW w:type="dxa" w:w="1568"/>
            <w:vAlign w:val="center"/>
            <w:shd w:val="clear" w:color="auto" w:fill="EEF2FF"/>
          </w:tcPr>
          <w:p>
            <w:pPr>
              <w:jc w:val="center"/>
            </w:pPr>
            <w:r>
              <w:rPr>
                <w:sz w:val="18"/>
              </w:rPr>
              <w:t>1x</w:t>
            </w:r>
          </w:p>
        </w:tc>
        <w:tc>
          <w:tcPr>
            <w:tcW w:type="dxa" w:w="1568"/>
            <w:vAlign w:val="center"/>
            <w:shd w:val="clear" w:color="auto" w:fill="EEF2FF"/>
          </w:tcPr>
          <w:p>
            <w:pPr>
              <w:jc w:val="center"/>
            </w:pPr>
            <w:r>
              <w:rPr>
                <w:sz w:val="18"/>
              </w:rPr>
              <w:t>RF</w:t>
            </w:r>
          </w:p>
        </w:tc>
        <w:tc>
          <w:tcPr>
            <w:tcW w:type="dxa" w:w="1568"/>
            <w:vAlign w:val="center"/>
            <w:shd w:val="clear" w:color="auto" w:fill="EEF2FF"/>
          </w:tcPr>
          <w:p>
            <w:pPr>
              <w:jc w:val="center"/>
            </w:pPr>
            <w:r>
              <w:rPr>
                <w:sz w:val="18"/>
              </w:rPr>
              <w:t>0.9663±0.0163</w:t>
            </w:r>
          </w:p>
        </w:tc>
        <w:tc>
          <w:tcPr>
            <w:tcW w:type="dxa" w:w="1568"/>
            <w:vAlign w:val="center"/>
            <w:shd w:val="clear" w:color="auto" w:fill="EEF2FF"/>
          </w:tcPr>
          <w:p>
            <w:pPr>
              <w:jc w:val="center"/>
            </w:pPr>
            <w:r>
              <w:rPr>
                <w:sz w:val="18"/>
              </w:rPr>
              <w:t>0.8312±0.0591</w:t>
            </w:r>
          </w:p>
        </w:tc>
        <w:tc>
          <w:tcPr>
            <w:tcW w:type="dxa" w:w="1568"/>
            <w:vAlign w:val="center"/>
            <w:shd w:val="clear" w:color="auto" w:fill="EEF2FF"/>
          </w:tcPr>
          <w:p>
            <w:pPr>
              <w:jc w:val="center"/>
            </w:pPr>
            <w:r>
              <w:rPr>
                <w:sz w:val="18"/>
              </w:rPr>
              <w:t>0.9069±0.0368</w:t>
            </w:r>
          </w:p>
        </w:tc>
        <w:tc>
          <w:tcPr>
            <w:tcW w:type="dxa" w:w="1568"/>
            <w:vAlign w:val="center"/>
            <w:shd w:val="clear" w:color="auto" w:fill="EEF2FF"/>
          </w:tcPr>
          <w:p>
            <w:pPr>
              <w:jc w:val="center"/>
            </w:pPr>
            <w:r>
              <w:rPr>
                <w:sz w:val="18"/>
              </w:rPr>
              <w:t>0.8216±0.0447</w:t>
            </w:r>
          </w:p>
        </w:tc>
      </w:tr>
      <w:tr>
        <w:tc>
          <w:tcPr>
            <w:tcW w:type="dxa" w:w="1568"/>
            <w:vAlign w:val="center"/>
            <w:shd w:val="clear" w:color="auto" w:fill="EEF2FF"/>
          </w:tcPr>
          <w:p>
            <w:pPr>
              <w:jc w:val="center"/>
            </w:pPr>
            <w:r>
              <w:rPr>
                <w:sz w:val="18"/>
              </w:rPr>
            </w:r>
          </w:p>
        </w:tc>
        <w:tc>
          <w:tcPr>
            <w:tcW w:type="dxa" w:w="1568"/>
            <w:vAlign w:val="center"/>
            <w:shd w:val="clear" w:color="auto" w:fill="EEF2FF"/>
          </w:tcPr>
          <w:p>
            <w:pPr>
              <w:jc w:val="center"/>
            </w:pPr>
            <w:r>
              <w:rPr>
                <w:sz w:val="18"/>
              </w:rPr>
              <w:t>CatBoost</w:t>
            </w:r>
          </w:p>
        </w:tc>
        <w:tc>
          <w:tcPr>
            <w:tcW w:type="dxa" w:w="1568"/>
            <w:vAlign w:val="center"/>
            <w:shd w:val="clear" w:color="auto" w:fill="EEF2FF"/>
          </w:tcPr>
          <w:p>
            <w:pPr>
              <w:jc w:val="center"/>
            </w:pPr>
            <w:r>
              <w:rPr>
                <w:sz w:val="18"/>
              </w:rPr>
              <w:t>0.9647±0.0190</w:t>
            </w:r>
          </w:p>
        </w:tc>
        <w:tc>
          <w:tcPr>
            <w:tcW w:type="dxa" w:w="1568"/>
            <w:vAlign w:val="center"/>
            <w:shd w:val="clear" w:color="auto" w:fill="EEF2FF"/>
          </w:tcPr>
          <w:p>
            <w:pPr>
              <w:jc w:val="center"/>
            </w:pPr>
            <w:r>
              <w:rPr>
                <w:sz w:val="18"/>
              </w:rPr>
              <w:t>0.8199±0.0653</w:t>
            </w:r>
          </w:p>
        </w:tc>
        <w:tc>
          <w:tcPr>
            <w:tcW w:type="dxa" w:w="1568"/>
            <w:vAlign w:val="center"/>
            <w:shd w:val="clear" w:color="auto" w:fill="EEF2FF"/>
          </w:tcPr>
          <w:p>
            <w:pPr>
              <w:jc w:val="center"/>
            </w:pPr>
            <w:r>
              <w:rPr>
                <w:sz w:val="18"/>
              </w:rPr>
              <w:t>0.8999±0.0411</w:t>
            </w:r>
          </w:p>
        </w:tc>
        <w:tc>
          <w:tcPr>
            <w:tcW w:type="dxa" w:w="1568"/>
            <w:vAlign w:val="center"/>
            <w:shd w:val="clear" w:color="auto" w:fill="EEF2FF"/>
          </w:tcPr>
          <w:p>
            <w:pPr>
              <w:jc w:val="center"/>
            </w:pPr>
            <w:r>
              <w:rPr>
                <w:sz w:val="18"/>
              </w:rPr>
              <w:t>0.8099±0.0532</w:t>
            </w:r>
          </w:p>
        </w:tc>
      </w:tr>
      <w:tr>
        <w:tc>
          <w:tcPr>
            <w:tcW w:type="dxa" w:w="1568"/>
            <w:vAlign w:val="center"/>
            <w:shd w:val="clear" w:color="auto" w:fill="EEF2FF"/>
          </w:tcPr>
          <w:p>
            <w:pPr>
              <w:jc w:val="center"/>
            </w:pPr>
            <w:r>
              <w:rPr>
                <w:sz w:val="18"/>
              </w:rPr>
            </w:r>
          </w:p>
        </w:tc>
        <w:tc>
          <w:tcPr>
            <w:tcW w:type="dxa" w:w="1568"/>
            <w:vAlign w:val="center"/>
            <w:shd w:val="clear" w:color="auto" w:fill="EEF2FF"/>
          </w:tcPr>
          <w:p>
            <w:pPr>
              <w:jc w:val="center"/>
            </w:pPr>
            <w:r>
              <w:rPr>
                <w:sz w:val="18"/>
              </w:rPr>
              <w:t>XGBoost</w:t>
            </w:r>
          </w:p>
        </w:tc>
        <w:tc>
          <w:tcPr>
            <w:tcW w:type="dxa" w:w="1568"/>
            <w:vAlign w:val="center"/>
            <w:shd w:val="clear" w:color="auto" w:fill="EEF2FF"/>
          </w:tcPr>
          <w:p>
            <w:pPr>
              <w:jc w:val="center"/>
            </w:pPr>
            <w:r>
              <w:rPr>
                <w:sz w:val="18"/>
              </w:rPr>
              <w:t>0.9636±0.0192</w:t>
            </w:r>
          </w:p>
        </w:tc>
        <w:tc>
          <w:tcPr>
            <w:tcW w:type="dxa" w:w="1568"/>
            <w:vAlign w:val="center"/>
            <w:shd w:val="clear" w:color="auto" w:fill="EEF2FF"/>
          </w:tcPr>
          <w:p>
            <w:pPr>
              <w:jc w:val="center"/>
            </w:pPr>
            <w:r>
              <w:rPr>
                <w:sz w:val="18"/>
              </w:rPr>
              <w:t>0.8149±0.0687</w:t>
            </w:r>
          </w:p>
        </w:tc>
        <w:tc>
          <w:tcPr>
            <w:tcW w:type="dxa" w:w="1568"/>
            <w:vAlign w:val="center"/>
            <w:shd w:val="clear" w:color="auto" w:fill="EEF2FF"/>
          </w:tcPr>
          <w:p>
            <w:pPr>
              <w:jc w:val="center"/>
            </w:pPr>
            <w:r>
              <w:rPr>
                <w:sz w:val="18"/>
              </w:rPr>
              <w:t>0.8967±0.0436</w:t>
            </w:r>
          </w:p>
        </w:tc>
        <w:tc>
          <w:tcPr>
            <w:tcW w:type="dxa" w:w="1568"/>
            <w:vAlign w:val="center"/>
            <w:shd w:val="clear" w:color="auto" w:fill="EEF2FF"/>
          </w:tcPr>
          <w:p>
            <w:pPr>
              <w:jc w:val="center"/>
            </w:pPr>
            <w:r>
              <w:rPr>
                <w:sz w:val="18"/>
              </w:rPr>
              <w:t>0.8030±0.0580</w:t>
            </w:r>
          </w:p>
        </w:tc>
      </w:tr>
      <w:tr>
        <w:tc>
          <w:tcPr>
            <w:tcW w:type="dxa" w:w="1568"/>
            <w:vAlign w:val="center"/>
            <w:shd w:val="clear" w:color="auto" w:fill="EEF2FF"/>
          </w:tcPr>
          <w:p>
            <w:pPr>
              <w:jc w:val="center"/>
            </w:pPr>
            <w:r>
              <w:rPr>
                <w:sz w:val="18"/>
              </w:rPr>
            </w:r>
          </w:p>
        </w:tc>
        <w:tc>
          <w:tcPr>
            <w:tcW w:type="dxa" w:w="1568"/>
            <w:vAlign w:val="center"/>
            <w:shd w:val="clear" w:color="auto" w:fill="EEF2FF"/>
          </w:tcPr>
          <w:p>
            <w:pPr>
              <w:jc w:val="center"/>
            </w:pPr>
            <w:r>
              <w:rPr>
                <w:sz w:val="18"/>
              </w:rPr>
              <w:t>DNN</w:t>
            </w:r>
          </w:p>
        </w:tc>
        <w:tc>
          <w:tcPr>
            <w:tcW w:type="dxa" w:w="1568"/>
            <w:vAlign w:val="center"/>
            <w:shd w:val="clear" w:color="auto" w:fill="EEF2FF"/>
          </w:tcPr>
          <w:p>
            <w:pPr>
              <w:jc w:val="center"/>
            </w:pPr>
            <w:r>
              <w:rPr>
                <w:sz w:val="18"/>
              </w:rPr>
              <w:t>0.9623±0.0177</w:t>
            </w:r>
          </w:p>
        </w:tc>
        <w:tc>
          <w:tcPr>
            <w:tcW w:type="dxa" w:w="1568"/>
            <w:vAlign w:val="center"/>
            <w:shd w:val="clear" w:color="auto" w:fill="EEF2FF"/>
          </w:tcPr>
          <w:p>
            <w:pPr>
              <w:jc w:val="center"/>
            </w:pPr>
            <w:r>
              <w:rPr>
                <w:sz w:val="18"/>
              </w:rPr>
              <w:t>0.8125±0.0632</w:t>
            </w:r>
          </w:p>
        </w:tc>
        <w:tc>
          <w:tcPr>
            <w:tcW w:type="dxa" w:w="1568"/>
            <w:vAlign w:val="center"/>
            <w:shd w:val="clear" w:color="auto" w:fill="EEF2FF"/>
          </w:tcPr>
          <w:p>
            <w:pPr>
              <w:jc w:val="center"/>
            </w:pPr>
            <w:r>
              <w:rPr>
                <w:sz w:val="18"/>
              </w:rPr>
              <w:t>0.8954±0.0396</w:t>
            </w:r>
          </w:p>
        </w:tc>
        <w:tc>
          <w:tcPr>
            <w:tcW w:type="dxa" w:w="1568"/>
            <w:vAlign w:val="center"/>
            <w:shd w:val="clear" w:color="auto" w:fill="EEF2FF"/>
          </w:tcPr>
          <w:p>
            <w:pPr>
              <w:jc w:val="center"/>
            </w:pPr>
            <w:r>
              <w:rPr>
                <w:sz w:val="18"/>
              </w:rPr>
              <w:t>0.8035±0.0337</w:t>
            </w:r>
          </w:p>
        </w:tc>
      </w:tr>
      <w:tr>
        <w:tc>
          <w:tcPr>
            <w:tcW w:type="dxa" w:w="1568"/>
            <w:vAlign w:val="center"/>
            <w:shd w:val="clear" w:color="auto" w:fill="E8F5E9"/>
          </w:tcPr>
          <w:p>
            <w:pPr>
              <w:jc w:val="center"/>
            </w:pPr>
            <w:r>
              <w:rPr>
                <w:sz w:val="18"/>
              </w:rPr>
              <w:t>2x</w:t>
            </w:r>
          </w:p>
        </w:tc>
        <w:tc>
          <w:tcPr>
            <w:tcW w:type="dxa" w:w="1568"/>
            <w:vAlign w:val="center"/>
            <w:shd w:val="clear" w:color="auto" w:fill="E8F5E9"/>
          </w:tcPr>
          <w:p>
            <w:pPr>
              <w:jc w:val="center"/>
            </w:pPr>
            <w:r>
              <w:rPr>
                <w:sz w:val="18"/>
              </w:rPr>
              <w:t>RF</w:t>
            </w:r>
          </w:p>
        </w:tc>
        <w:tc>
          <w:tcPr>
            <w:tcW w:type="dxa" w:w="1568"/>
            <w:vAlign w:val="center"/>
            <w:shd w:val="clear" w:color="auto" w:fill="E8F5E9"/>
          </w:tcPr>
          <w:p>
            <w:pPr>
              <w:jc w:val="center"/>
            </w:pPr>
            <w:r>
              <w:rPr>
                <w:sz w:val="18"/>
              </w:rPr>
              <w:t>0.9668±0.0164</w:t>
            </w:r>
          </w:p>
        </w:tc>
        <w:tc>
          <w:tcPr>
            <w:tcW w:type="dxa" w:w="1568"/>
            <w:vAlign w:val="center"/>
            <w:shd w:val="clear" w:color="auto" w:fill="E8F5E9"/>
          </w:tcPr>
          <w:p>
            <w:pPr>
              <w:jc w:val="center"/>
            </w:pPr>
            <w:r>
              <w:rPr>
                <w:sz w:val="18"/>
              </w:rPr>
              <w:t>0.8313±0.0640</w:t>
            </w:r>
          </w:p>
        </w:tc>
        <w:tc>
          <w:tcPr>
            <w:tcW w:type="dxa" w:w="1568"/>
            <w:vAlign w:val="center"/>
            <w:shd w:val="clear" w:color="auto" w:fill="E8F5E9"/>
          </w:tcPr>
          <w:p>
            <w:pPr>
              <w:jc w:val="center"/>
            </w:pPr>
            <w:r>
              <w:rPr>
                <w:sz w:val="18"/>
              </w:rPr>
              <w:t>0.9067±0.0400</w:t>
            </w:r>
          </w:p>
        </w:tc>
        <w:tc>
          <w:tcPr>
            <w:tcW w:type="dxa" w:w="1568"/>
            <w:vAlign w:val="center"/>
            <w:shd w:val="clear" w:color="auto" w:fill="E8F5E9"/>
          </w:tcPr>
          <w:p>
            <w:pPr>
              <w:jc w:val="center"/>
            </w:pPr>
            <w:r>
              <w:rPr>
                <w:sz w:val="18"/>
              </w:rPr>
              <w:t>0.8251±0.0439</w:t>
            </w:r>
          </w:p>
        </w:tc>
      </w:tr>
      <w:tr>
        <w:tc>
          <w:tcPr>
            <w:tcW w:type="dxa" w:w="1568"/>
            <w:vAlign w:val="center"/>
            <w:shd w:val="clear" w:color="auto" w:fill="E8F5E9"/>
          </w:tcPr>
          <w:p>
            <w:pPr>
              <w:jc w:val="center"/>
            </w:pPr>
            <w:r>
              <w:rPr>
                <w:sz w:val="18"/>
              </w:rPr>
            </w:r>
          </w:p>
        </w:tc>
        <w:tc>
          <w:tcPr>
            <w:tcW w:type="dxa" w:w="1568"/>
            <w:vAlign w:val="center"/>
            <w:shd w:val="clear" w:color="auto" w:fill="E8F5E9"/>
          </w:tcPr>
          <w:p>
            <w:pPr>
              <w:jc w:val="center"/>
            </w:pPr>
            <w:r>
              <w:rPr>
                <w:sz w:val="18"/>
              </w:rPr>
              <w:t>CatBoost</w:t>
            </w:r>
          </w:p>
        </w:tc>
        <w:tc>
          <w:tcPr>
            <w:tcW w:type="dxa" w:w="1568"/>
            <w:vAlign w:val="center"/>
            <w:shd w:val="clear" w:color="auto" w:fill="E8F5E9"/>
          </w:tcPr>
          <w:p>
            <w:pPr>
              <w:jc w:val="center"/>
            </w:pPr>
            <w:r>
              <w:rPr>
                <w:sz w:val="18"/>
              </w:rPr>
              <w:t>0.9633±0.0218</w:t>
            </w:r>
          </w:p>
        </w:tc>
        <w:tc>
          <w:tcPr>
            <w:tcW w:type="dxa" w:w="1568"/>
            <w:vAlign w:val="center"/>
            <w:shd w:val="clear" w:color="auto" w:fill="E8F5E9"/>
          </w:tcPr>
          <w:p>
            <w:pPr>
              <w:jc w:val="center"/>
            </w:pPr>
            <w:r>
              <w:rPr>
                <w:sz w:val="18"/>
              </w:rPr>
              <w:t>0.8155±0.0640</w:t>
            </w:r>
          </w:p>
        </w:tc>
        <w:tc>
          <w:tcPr>
            <w:tcW w:type="dxa" w:w="1568"/>
            <w:vAlign w:val="center"/>
            <w:shd w:val="clear" w:color="auto" w:fill="E8F5E9"/>
          </w:tcPr>
          <w:p>
            <w:pPr>
              <w:jc w:val="center"/>
            </w:pPr>
            <w:r>
              <w:rPr>
                <w:sz w:val="18"/>
              </w:rPr>
              <w:t>0.8973±0.0403</w:t>
            </w:r>
          </w:p>
        </w:tc>
        <w:tc>
          <w:tcPr>
            <w:tcW w:type="dxa" w:w="1568"/>
            <w:vAlign w:val="center"/>
            <w:shd w:val="clear" w:color="auto" w:fill="E8F5E9"/>
          </w:tcPr>
          <w:p>
            <w:pPr>
              <w:jc w:val="center"/>
            </w:pPr>
            <w:r>
              <w:rPr>
                <w:sz w:val="18"/>
              </w:rPr>
              <w:t>0.8027±0.0612</w:t>
            </w:r>
          </w:p>
        </w:tc>
      </w:tr>
      <w:tr>
        <w:tc>
          <w:tcPr>
            <w:tcW w:type="dxa" w:w="1568"/>
            <w:vAlign w:val="center"/>
            <w:shd w:val="clear" w:color="auto" w:fill="E8F5E9"/>
          </w:tcPr>
          <w:p>
            <w:pPr>
              <w:jc w:val="center"/>
            </w:pPr>
            <w:r>
              <w:rPr>
                <w:sz w:val="18"/>
              </w:rPr>
            </w:r>
          </w:p>
        </w:tc>
        <w:tc>
          <w:tcPr>
            <w:tcW w:type="dxa" w:w="1568"/>
            <w:vAlign w:val="center"/>
            <w:shd w:val="clear" w:color="auto" w:fill="E8F5E9"/>
          </w:tcPr>
          <w:p>
            <w:pPr>
              <w:jc w:val="center"/>
            </w:pPr>
            <w:r>
              <w:rPr>
                <w:sz w:val="18"/>
              </w:rPr>
              <w:t>DNN</w:t>
            </w:r>
          </w:p>
        </w:tc>
        <w:tc>
          <w:tcPr>
            <w:tcW w:type="dxa" w:w="1568"/>
            <w:vAlign w:val="center"/>
            <w:shd w:val="clear" w:color="auto" w:fill="E8F5E9"/>
          </w:tcPr>
          <w:p>
            <w:pPr>
              <w:jc w:val="center"/>
            </w:pPr>
            <w:r>
              <w:rPr>
                <w:sz w:val="18"/>
              </w:rPr>
              <w:t>0.9617±0.0186</w:t>
            </w:r>
          </w:p>
        </w:tc>
        <w:tc>
          <w:tcPr>
            <w:tcW w:type="dxa" w:w="1568"/>
            <w:vAlign w:val="center"/>
            <w:shd w:val="clear" w:color="auto" w:fill="E8F5E9"/>
          </w:tcPr>
          <w:p>
            <w:pPr>
              <w:jc w:val="center"/>
            </w:pPr>
            <w:r>
              <w:rPr>
                <w:sz w:val="18"/>
              </w:rPr>
              <w:t>0.8185±0.0619</w:t>
            </w:r>
          </w:p>
        </w:tc>
        <w:tc>
          <w:tcPr>
            <w:tcW w:type="dxa" w:w="1568"/>
            <w:vAlign w:val="center"/>
            <w:shd w:val="clear" w:color="auto" w:fill="E8F5E9"/>
          </w:tcPr>
          <w:p>
            <w:pPr>
              <w:jc w:val="center"/>
            </w:pPr>
            <w:r>
              <w:rPr>
                <w:sz w:val="18"/>
              </w:rPr>
              <w:t>0.8991±0.0388</w:t>
            </w:r>
          </w:p>
        </w:tc>
        <w:tc>
          <w:tcPr>
            <w:tcW w:type="dxa" w:w="1568"/>
            <w:vAlign w:val="center"/>
            <w:shd w:val="clear" w:color="auto" w:fill="E8F5E9"/>
          </w:tcPr>
          <w:p>
            <w:pPr>
              <w:jc w:val="center"/>
            </w:pPr>
            <w:r>
              <w:rPr>
                <w:sz w:val="18"/>
              </w:rPr>
              <w:t>0.8118±0.0345</w:t>
            </w:r>
          </w:p>
        </w:tc>
      </w:tr>
      <w:tr>
        <w:tc>
          <w:tcPr>
            <w:tcW w:type="dxa" w:w="1568"/>
            <w:vAlign w:val="center"/>
            <w:shd w:val="clear" w:color="auto" w:fill="E8F5E9"/>
          </w:tcPr>
          <w:p>
            <w:pPr>
              <w:jc w:val="center"/>
            </w:pPr>
            <w:r>
              <w:rPr>
                <w:sz w:val="18"/>
              </w:rPr>
            </w:r>
          </w:p>
        </w:tc>
        <w:tc>
          <w:tcPr>
            <w:tcW w:type="dxa" w:w="1568"/>
            <w:vAlign w:val="center"/>
            <w:shd w:val="clear" w:color="auto" w:fill="E8F5E9"/>
          </w:tcPr>
          <w:p>
            <w:pPr>
              <w:jc w:val="center"/>
            </w:pPr>
            <w:r>
              <w:rPr>
                <w:sz w:val="18"/>
              </w:rPr>
              <w:t>XGBoost</w:t>
            </w:r>
          </w:p>
        </w:tc>
        <w:tc>
          <w:tcPr>
            <w:tcW w:type="dxa" w:w="1568"/>
            <w:vAlign w:val="center"/>
            <w:shd w:val="clear" w:color="auto" w:fill="E8F5E9"/>
          </w:tcPr>
          <w:p>
            <w:pPr>
              <w:jc w:val="center"/>
            </w:pPr>
            <w:r>
              <w:rPr>
                <w:sz w:val="18"/>
              </w:rPr>
              <w:t>0.9613±0.0221</w:t>
            </w:r>
          </w:p>
        </w:tc>
        <w:tc>
          <w:tcPr>
            <w:tcW w:type="dxa" w:w="1568"/>
            <w:vAlign w:val="center"/>
            <w:shd w:val="clear" w:color="auto" w:fill="E8F5E9"/>
          </w:tcPr>
          <w:p>
            <w:pPr>
              <w:jc w:val="center"/>
            </w:pPr>
            <w:r>
              <w:rPr>
                <w:sz w:val="18"/>
              </w:rPr>
              <w:t>0.8160±0.0667</w:t>
            </w:r>
          </w:p>
        </w:tc>
        <w:tc>
          <w:tcPr>
            <w:tcW w:type="dxa" w:w="1568"/>
            <w:vAlign w:val="center"/>
            <w:shd w:val="clear" w:color="auto" w:fill="E8F5E9"/>
          </w:tcPr>
          <w:p>
            <w:pPr>
              <w:jc w:val="center"/>
            </w:pPr>
            <w:r>
              <w:rPr>
                <w:sz w:val="18"/>
              </w:rPr>
              <w:t>0.8974±0.0422</w:t>
            </w:r>
          </w:p>
        </w:tc>
        <w:tc>
          <w:tcPr>
            <w:tcW w:type="dxa" w:w="1568"/>
            <w:vAlign w:val="center"/>
            <w:shd w:val="clear" w:color="auto" w:fill="E8F5E9"/>
          </w:tcPr>
          <w:p>
            <w:pPr>
              <w:jc w:val="center"/>
            </w:pPr>
            <w:r>
              <w:rPr>
                <w:sz w:val="18"/>
              </w:rPr>
              <w:t>0.8042±0.0566</w:t>
            </w:r>
          </w:p>
        </w:tc>
      </w:tr>
      <w:tr>
        <w:tc>
          <w:tcPr>
            <w:tcW w:type="dxa" w:w="1568"/>
            <w:vAlign w:val="center"/>
            <w:shd w:val="clear" w:color="auto" w:fill="FFF8E1"/>
          </w:tcPr>
          <w:p>
            <w:pPr>
              <w:jc w:val="center"/>
            </w:pPr>
            <w:r>
              <w:rPr>
                <w:sz w:val="18"/>
              </w:rPr>
              <w:t>3x</w:t>
            </w:r>
          </w:p>
        </w:tc>
        <w:tc>
          <w:tcPr>
            <w:tcW w:type="dxa" w:w="1568"/>
            <w:vAlign w:val="center"/>
            <w:shd w:val="clear" w:color="auto" w:fill="FFF8E1"/>
          </w:tcPr>
          <w:p>
            <w:pPr>
              <w:jc w:val="center"/>
            </w:pPr>
            <w:r>
              <w:rPr>
                <w:sz w:val="18"/>
              </w:rPr>
              <w:t>RF</w:t>
            </w:r>
          </w:p>
        </w:tc>
        <w:tc>
          <w:tcPr>
            <w:tcW w:type="dxa" w:w="1568"/>
            <w:vAlign w:val="center"/>
            <w:shd w:val="clear" w:color="auto" w:fill="FFF8E1"/>
          </w:tcPr>
          <w:p>
            <w:pPr>
              <w:jc w:val="center"/>
            </w:pPr>
            <w:r>
              <w:rPr>
                <w:sz w:val="18"/>
              </w:rPr>
              <w:t>0.9667±0.0167</w:t>
            </w:r>
          </w:p>
        </w:tc>
        <w:tc>
          <w:tcPr>
            <w:tcW w:type="dxa" w:w="1568"/>
            <w:vAlign w:val="center"/>
            <w:shd w:val="clear" w:color="auto" w:fill="FFF8E1"/>
          </w:tcPr>
          <w:p>
            <w:pPr>
              <w:jc w:val="center"/>
            </w:pPr>
            <w:r>
              <w:rPr>
                <w:sz w:val="18"/>
              </w:rPr>
              <w:t>0.8346±0.0618</w:t>
            </w:r>
          </w:p>
        </w:tc>
        <w:tc>
          <w:tcPr>
            <w:tcW w:type="dxa" w:w="1568"/>
            <w:vAlign w:val="center"/>
            <w:shd w:val="clear" w:color="auto" w:fill="FFF8E1"/>
          </w:tcPr>
          <w:p>
            <w:pPr>
              <w:jc w:val="center"/>
            </w:pPr>
            <w:r>
              <w:rPr>
                <w:sz w:val="18"/>
              </w:rPr>
              <w:t>0.9088±0.0384</w:t>
            </w:r>
          </w:p>
        </w:tc>
        <w:tc>
          <w:tcPr>
            <w:tcW w:type="dxa" w:w="1568"/>
            <w:vAlign w:val="center"/>
            <w:shd w:val="clear" w:color="auto" w:fill="FFF8E1"/>
          </w:tcPr>
          <w:p>
            <w:pPr>
              <w:jc w:val="center"/>
            </w:pPr>
            <w:r>
              <w:rPr>
                <w:sz w:val="18"/>
              </w:rPr>
              <w:t>0.8285±0.0429</w:t>
            </w:r>
          </w:p>
        </w:tc>
      </w:tr>
      <w:tr>
        <w:tc>
          <w:tcPr>
            <w:tcW w:type="dxa" w:w="1568"/>
            <w:vAlign w:val="center"/>
            <w:shd w:val="clear" w:color="auto" w:fill="FFF8E1"/>
          </w:tcPr>
          <w:p>
            <w:pPr>
              <w:jc w:val="center"/>
            </w:pPr>
            <w:r>
              <w:rPr>
                <w:sz w:val="18"/>
              </w:rPr>
            </w:r>
          </w:p>
        </w:tc>
        <w:tc>
          <w:tcPr>
            <w:tcW w:type="dxa" w:w="1568"/>
            <w:vAlign w:val="center"/>
            <w:shd w:val="clear" w:color="auto" w:fill="FFF8E1"/>
          </w:tcPr>
          <w:p>
            <w:pPr>
              <w:jc w:val="center"/>
            </w:pPr>
            <w:r>
              <w:rPr>
                <w:sz w:val="18"/>
              </w:rPr>
              <w:t>DNN</w:t>
            </w:r>
          </w:p>
        </w:tc>
        <w:tc>
          <w:tcPr>
            <w:tcW w:type="dxa" w:w="1568"/>
            <w:vAlign w:val="center"/>
            <w:shd w:val="clear" w:color="auto" w:fill="FFF8E1"/>
          </w:tcPr>
          <w:p>
            <w:pPr>
              <w:jc w:val="center"/>
            </w:pPr>
            <w:r>
              <w:rPr>
                <w:sz w:val="18"/>
              </w:rPr>
              <w:t>0.9629±0.0187</w:t>
            </w:r>
          </w:p>
        </w:tc>
        <w:tc>
          <w:tcPr>
            <w:tcW w:type="dxa" w:w="1568"/>
            <w:vAlign w:val="center"/>
            <w:shd w:val="clear" w:color="auto" w:fill="FFF8E1"/>
          </w:tcPr>
          <w:p>
            <w:pPr>
              <w:jc w:val="center"/>
            </w:pPr>
            <w:r>
              <w:rPr>
                <w:sz w:val="18"/>
              </w:rPr>
              <w:t>0.8198±0.0623</w:t>
            </w:r>
          </w:p>
        </w:tc>
        <w:tc>
          <w:tcPr>
            <w:tcW w:type="dxa" w:w="1568"/>
            <w:vAlign w:val="center"/>
            <w:shd w:val="clear" w:color="auto" w:fill="FFF8E1"/>
          </w:tcPr>
          <w:p>
            <w:pPr>
              <w:jc w:val="center"/>
            </w:pPr>
            <w:r>
              <w:rPr>
                <w:sz w:val="18"/>
              </w:rPr>
              <w:t>0.8999±0.0389</w:t>
            </w:r>
          </w:p>
        </w:tc>
        <w:tc>
          <w:tcPr>
            <w:tcW w:type="dxa" w:w="1568"/>
            <w:vAlign w:val="center"/>
            <w:shd w:val="clear" w:color="auto" w:fill="FFF8E1"/>
          </w:tcPr>
          <w:p>
            <w:pPr>
              <w:jc w:val="center"/>
            </w:pPr>
            <w:r>
              <w:rPr>
                <w:sz w:val="18"/>
              </w:rPr>
              <w:t>0.8137±0.0314</w:t>
            </w:r>
          </w:p>
        </w:tc>
      </w:tr>
      <w:tr>
        <w:tc>
          <w:tcPr>
            <w:tcW w:type="dxa" w:w="1568"/>
            <w:vAlign w:val="center"/>
            <w:shd w:val="clear" w:color="auto" w:fill="FFF8E1"/>
          </w:tcPr>
          <w:p>
            <w:pPr>
              <w:jc w:val="center"/>
            </w:pPr>
            <w:r>
              <w:rPr>
                <w:sz w:val="18"/>
              </w:rPr>
            </w:r>
          </w:p>
        </w:tc>
        <w:tc>
          <w:tcPr>
            <w:tcW w:type="dxa" w:w="1568"/>
            <w:vAlign w:val="center"/>
            <w:shd w:val="clear" w:color="auto" w:fill="FFF8E1"/>
          </w:tcPr>
          <w:p>
            <w:pPr>
              <w:jc w:val="center"/>
            </w:pPr>
            <w:r>
              <w:rPr>
                <w:sz w:val="18"/>
              </w:rPr>
              <w:t>CatBoost</w:t>
            </w:r>
          </w:p>
        </w:tc>
        <w:tc>
          <w:tcPr>
            <w:tcW w:type="dxa" w:w="1568"/>
            <w:vAlign w:val="center"/>
            <w:shd w:val="clear" w:color="auto" w:fill="FFF8E1"/>
          </w:tcPr>
          <w:p>
            <w:pPr>
              <w:jc w:val="center"/>
            </w:pPr>
            <w:r>
              <w:rPr>
                <w:sz w:val="18"/>
              </w:rPr>
              <w:t>0.9624±0.0232</w:t>
            </w:r>
          </w:p>
        </w:tc>
        <w:tc>
          <w:tcPr>
            <w:tcW w:type="dxa" w:w="1568"/>
            <w:vAlign w:val="center"/>
            <w:shd w:val="clear" w:color="auto" w:fill="FFF8E1"/>
          </w:tcPr>
          <w:p>
            <w:pPr>
              <w:jc w:val="center"/>
            </w:pPr>
            <w:r>
              <w:rPr>
                <w:sz w:val="18"/>
              </w:rPr>
              <w:t>0.8143±0.0670</w:t>
            </w:r>
          </w:p>
        </w:tc>
        <w:tc>
          <w:tcPr>
            <w:tcW w:type="dxa" w:w="1568"/>
            <w:vAlign w:val="center"/>
            <w:shd w:val="clear" w:color="auto" w:fill="FFF8E1"/>
          </w:tcPr>
          <w:p>
            <w:pPr>
              <w:jc w:val="center"/>
            </w:pPr>
            <w:r>
              <w:rPr>
                <w:sz w:val="18"/>
              </w:rPr>
              <w:t>0.8964±0.0423</w:t>
            </w:r>
          </w:p>
        </w:tc>
        <w:tc>
          <w:tcPr>
            <w:tcW w:type="dxa" w:w="1568"/>
            <w:vAlign w:val="center"/>
            <w:shd w:val="clear" w:color="auto" w:fill="FFF8E1"/>
          </w:tcPr>
          <w:p>
            <w:pPr>
              <w:jc w:val="center"/>
            </w:pPr>
            <w:r>
              <w:rPr>
                <w:sz w:val="18"/>
              </w:rPr>
              <w:t>0.8003±0.0664</w:t>
            </w:r>
          </w:p>
        </w:tc>
      </w:tr>
      <w:tr>
        <w:tc>
          <w:tcPr>
            <w:tcW w:type="dxa" w:w="1568"/>
            <w:vAlign w:val="center"/>
            <w:shd w:val="clear" w:color="auto" w:fill="FFF8E1"/>
          </w:tcPr>
          <w:p>
            <w:pPr>
              <w:jc w:val="center"/>
            </w:pPr>
            <w:r>
              <w:rPr>
                <w:sz w:val="18"/>
              </w:rPr>
            </w:r>
          </w:p>
        </w:tc>
        <w:tc>
          <w:tcPr>
            <w:tcW w:type="dxa" w:w="1568"/>
            <w:vAlign w:val="center"/>
            <w:shd w:val="clear" w:color="auto" w:fill="FFF8E1"/>
          </w:tcPr>
          <w:p>
            <w:pPr>
              <w:jc w:val="center"/>
            </w:pPr>
            <w:r>
              <w:rPr>
                <w:sz w:val="18"/>
              </w:rPr>
              <w:t>XGBoost</w:t>
            </w:r>
          </w:p>
        </w:tc>
        <w:tc>
          <w:tcPr>
            <w:tcW w:type="dxa" w:w="1568"/>
            <w:vAlign w:val="center"/>
            <w:shd w:val="clear" w:color="auto" w:fill="FFF8E1"/>
          </w:tcPr>
          <w:p>
            <w:pPr>
              <w:jc w:val="center"/>
            </w:pPr>
            <w:r>
              <w:rPr>
                <w:sz w:val="18"/>
              </w:rPr>
              <w:t>0.9604±0.0227</w:t>
            </w:r>
          </w:p>
        </w:tc>
        <w:tc>
          <w:tcPr>
            <w:tcW w:type="dxa" w:w="1568"/>
            <w:vAlign w:val="center"/>
            <w:shd w:val="clear" w:color="auto" w:fill="FFF8E1"/>
          </w:tcPr>
          <w:p>
            <w:pPr>
              <w:jc w:val="center"/>
            </w:pPr>
            <w:r>
              <w:rPr>
                <w:sz w:val="18"/>
              </w:rPr>
              <w:t>0.8146±0.0630</w:t>
            </w:r>
          </w:p>
        </w:tc>
        <w:tc>
          <w:tcPr>
            <w:tcW w:type="dxa" w:w="1568"/>
            <w:vAlign w:val="center"/>
            <w:shd w:val="clear" w:color="auto" w:fill="FFF8E1"/>
          </w:tcPr>
          <w:p>
            <w:pPr>
              <w:jc w:val="center"/>
            </w:pPr>
            <w:r>
              <w:rPr>
                <w:sz w:val="18"/>
              </w:rPr>
              <w:t>0.8967±0.0399</w:t>
            </w:r>
          </w:p>
        </w:tc>
        <w:tc>
          <w:tcPr>
            <w:tcW w:type="dxa" w:w="1568"/>
            <w:vAlign w:val="center"/>
            <w:shd w:val="clear" w:color="auto" w:fill="FFF8E1"/>
          </w:tcPr>
          <w:p>
            <w:pPr>
              <w:jc w:val="center"/>
            </w:pPr>
            <w:r>
              <w:rPr>
                <w:sz w:val="18"/>
              </w:rPr>
              <w:t>0.8017±0.0555</w:t>
            </w:r>
          </w:p>
        </w:tc>
      </w:tr>
      <w:tr>
        <w:tc>
          <w:tcPr>
            <w:tcW w:type="dxa" w:w="1568"/>
            <w:vAlign w:val="center"/>
            <w:shd w:val="clear" w:color="auto" w:fill="FCE4EC"/>
          </w:tcPr>
          <w:p>
            <w:pPr>
              <w:jc w:val="center"/>
            </w:pPr>
            <w:r>
              <w:rPr>
                <w:sz w:val="18"/>
              </w:rPr>
              <w:t>4x</w:t>
            </w:r>
          </w:p>
        </w:tc>
        <w:tc>
          <w:tcPr>
            <w:tcW w:type="dxa" w:w="1568"/>
            <w:vAlign w:val="center"/>
            <w:shd w:val="clear" w:color="auto" w:fill="FCE4EC"/>
          </w:tcPr>
          <w:p>
            <w:pPr>
              <w:jc w:val="center"/>
            </w:pPr>
            <w:r>
              <w:rPr>
                <w:sz w:val="18"/>
              </w:rPr>
              <w:t>RF</w:t>
            </w:r>
          </w:p>
        </w:tc>
        <w:tc>
          <w:tcPr>
            <w:tcW w:type="dxa" w:w="1568"/>
            <w:vAlign w:val="center"/>
            <w:shd w:val="clear" w:color="auto" w:fill="FCE4EC"/>
          </w:tcPr>
          <w:p>
            <w:pPr>
              <w:jc w:val="center"/>
            </w:pPr>
            <w:r>
              <w:rPr>
                <w:sz w:val="18"/>
              </w:rPr>
              <w:t>0.9668±0.0163</w:t>
            </w:r>
          </w:p>
        </w:tc>
        <w:tc>
          <w:tcPr>
            <w:tcW w:type="dxa" w:w="1568"/>
            <w:vAlign w:val="center"/>
            <w:shd w:val="clear" w:color="auto" w:fill="FCE4EC"/>
          </w:tcPr>
          <w:p>
            <w:pPr>
              <w:jc w:val="center"/>
            </w:pPr>
            <w:r>
              <w:rPr>
                <w:sz w:val="18"/>
              </w:rPr>
              <w:t>0.8333±0.0627</w:t>
            </w:r>
          </w:p>
        </w:tc>
        <w:tc>
          <w:tcPr>
            <w:tcW w:type="dxa" w:w="1568"/>
            <w:vAlign w:val="center"/>
            <w:shd w:val="clear" w:color="auto" w:fill="FCE4EC"/>
          </w:tcPr>
          <w:p>
            <w:pPr>
              <w:jc w:val="center"/>
            </w:pPr>
            <w:r>
              <w:rPr>
                <w:sz w:val="18"/>
              </w:rPr>
              <w:t>0.9080±0.0391</w:t>
            </w:r>
          </w:p>
        </w:tc>
        <w:tc>
          <w:tcPr>
            <w:tcW w:type="dxa" w:w="1568"/>
            <w:vAlign w:val="center"/>
            <w:shd w:val="clear" w:color="auto" w:fill="FCE4EC"/>
          </w:tcPr>
          <w:p>
            <w:pPr>
              <w:jc w:val="center"/>
            </w:pPr>
            <w:r>
              <w:rPr>
                <w:sz w:val="18"/>
              </w:rPr>
              <w:t>0.8273±0.0422</w:t>
            </w:r>
          </w:p>
        </w:tc>
      </w:tr>
      <w:tr>
        <w:tc>
          <w:tcPr>
            <w:tcW w:type="dxa" w:w="1568"/>
            <w:vAlign w:val="center"/>
            <w:shd w:val="clear" w:color="auto" w:fill="FCE4EC"/>
          </w:tcPr>
          <w:p>
            <w:pPr>
              <w:jc w:val="center"/>
            </w:pPr>
            <w:r>
              <w:rPr>
                <w:sz w:val="18"/>
              </w:rPr>
            </w:r>
          </w:p>
        </w:tc>
        <w:tc>
          <w:tcPr>
            <w:tcW w:type="dxa" w:w="1568"/>
            <w:vAlign w:val="center"/>
            <w:shd w:val="clear" w:color="auto" w:fill="FCE4EC"/>
          </w:tcPr>
          <w:p>
            <w:pPr>
              <w:jc w:val="center"/>
            </w:pPr>
            <w:r>
              <w:rPr>
                <w:sz w:val="18"/>
              </w:rPr>
              <w:t>DNN</w:t>
            </w:r>
          </w:p>
        </w:tc>
        <w:tc>
          <w:tcPr>
            <w:tcW w:type="dxa" w:w="1568"/>
            <w:vAlign w:val="center"/>
            <w:shd w:val="clear" w:color="auto" w:fill="FCE4EC"/>
          </w:tcPr>
          <w:p>
            <w:pPr>
              <w:jc w:val="center"/>
            </w:pPr>
            <w:r>
              <w:rPr>
                <w:sz w:val="18"/>
              </w:rPr>
              <w:t>0.9617±0.0166</w:t>
            </w:r>
          </w:p>
        </w:tc>
        <w:tc>
          <w:tcPr>
            <w:tcW w:type="dxa" w:w="1568"/>
            <w:vAlign w:val="center"/>
            <w:shd w:val="clear" w:color="auto" w:fill="FCE4EC"/>
          </w:tcPr>
          <w:p>
            <w:pPr>
              <w:jc w:val="center"/>
            </w:pPr>
            <w:r>
              <w:rPr>
                <w:sz w:val="18"/>
              </w:rPr>
              <w:t>0.8121±0.0653</w:t>
            </w:r>
          </w:p>
        </w:tc>
        <w:tc>
          <w:tcPr>
            <w:tcW w:type="dxa" w:w="1568"/>
            <w:vAlign w:val="center"/>
            <w:shd w:val="clear" w:color="auto" w:fill="FCE4EC"/>
          </w:tcPr>
          <w:p>
            <w:pPr>
              <w:jc w:val="center"/>
            </w:pPr>
            <w:r>
              <w:rPr>
                <w:sz w:val="18"/>
              </w:rPr>
              <w:t>0.8952±0.0409</w:t>
            </w:r>
          </w:p>
        </w:tc>
        <w:tc>
          <w:tcPr>
            <w:tcW w:type="dxa" w:w="1568"/>
            <w:vAlign w:val="center"/>
            <w:shd w:val="clear" w:color="auto" w:fill="FCE4EC"/>
          </w:tcPr>
          <w:p>
            <w:pPr>
              <w:jc w:val="center"/>
            </w:pPr>
            <w:r>
              <w:rPr>
                <w:sz w:val="18"/>
              </w:rPr>
              <w:t>0.8058±0.0305</w:t>
            </w:r>
          </w:p>
        </w:tc>
      </w:tr>
      <w:tr>
        <w:tc>
          <w:tcPr>
            <w:tcW w:type="dxa" w:w="1568"/>
            <w:vAlign w:val="center"/>
            <w:shd w:val="clear" w:color="auto" w:fill="FCE4EC"/>
          </w:tcPr>
          <w:p>
            <w:pPr>
              <w:jc w:val="center"/>
            </w:pPr>
            <w:r>
              <w:rPr>
                <w:sz w:val="18"/>
              </w:rPr>
            </w:r>
          </w:p>
        </w:tc>
        <w:tc>
          <w:tcPr>
            <w:tcW w:type="dxa" w:w="1568"/>
            <w:vAlign w:val="center"/>
            <w:shd w:val="clear" w:color="auto" w:fill="FCE4EC"/>
          </w:tcPr>
          <w:p>
            <w:pPr>
              <w:jc w:val="center"/>
            </w:pPr>
            <w:r>
              <w:rPr>
                <w:sz w:val="18"/>
              </w:rPr>
              <w:t>CatBoost</w:t>
            </w:r>
          </w:p>
        </w:tc>
        <w:tc>
          <w:tcPr>
            <w:tcW w:type="dxa" w:w="1568"/>
            <w:vAlign w:val="center"/>
            <w:shd w:val="clear" w:color="auto" w:fill="FCE4EC"/>
          </w:tcPr>
          <w:p>
            <w:pPr>
              <w:jc w:val="center"/>
            </w:pPr>
            <w:r>
              <w:rPr>
                <w:sz w:val="18"/>
              </w:rPr>
              <w:t>0.9615±0.0230</w:t>
            </w:r>
          </w:p>
        </w:tc>
        <w:tc>
          <w:tcPr>
            <w:tcW w:type="dxa" w:w="1568"/>
            <w:vAlign w:val="center"/>
            <w:shd w:val="clear" w:color="auto" w:fill="FCE4EC"/>
          </w:tcPr>
          <w:p>
            <w:pPr>
              <w:jc w:val="center"/>
            </w:pPr>
            <w:r>
              <w:rPr>
                <w:sz w:val="18"/>
              </w:rPr>
              <w:t>0.8105±0.0671</w:t>
            </w:r>
          </w:p>
        </w:tc>
        <w:tc>
          <w:tcPr>
            <w:tcW w:type="dxa" w:w="1568"/>
            <w:vAlign w:val="center"/>
            <w:shd w:val="clear" w:color="auto" w:fill="FCE4EC"/>
          </w:tcPr>
          <w:p>
            <w:pPr>
              <w:jc w:val="center"/>
            </w:pPr>
            <w:r>
              <w:rPr>
                <w:sz w:val="18"/>
              </w:rPr>
              <w:t>0.8941±0.0425</w:t>
            </w:r>
          </w:p>
        </w:tc>
        <w:tc>
          <w:tcPr>
            <w:tcW w:type="dxa" w:w="1568"/>
            <w:vAlign w:val="center"/>
            <w:shd w:val="clear" w:color="auto" w:fill="FCE4EC"/>
          </w:tcPr>
          <w:p>
            <w:pPr>
              <w:jc w:val="center"/>
            </w:pPr>
            <w:r>
              <w:rPr>
                <w:sz w:val="18"/>
              </w:rPr>
              <w:t>0.7972±0.0656</w:t>
            </w:r>
          </w:p>
        </w:tc>
      </w:tr>
      <w:tr>
        <w:tc>
          <w:tcPr>
            <w:tcW w:type="dxa" w:w="1568"/>
            <w:vAlign w:val="center"/>
            <w:shd w:val="clear" w:color="auto" w:fill="FCE4EC"/>
          </w:tcPr>
          <w:p>
            <w:pPr>
              <w:jc w:val="center"/>
            </w:pPr>
            <w:r>
              <w:rPr>
                <w:sz w:val="18"/>
              </w:rPr>
            </w:r>
          </w:p>
        </w:tc>
        <w:tc>
          <w:tcPr>
            <w:tcW w:type="dxa" w:w="1568"/>
            <w:vAlign w:val="center"/>
            <w:shd w:val="clear" w:color="auto" w:fill="FCE4EC"/>
          </w:tcPr>
          <w:p>
            <w:pPr>
              <w:jc w:val="center"/>
            </w:pPr>
            <w:r>
              <w:rPr>
                <w:sz w:val="18"/>
              </w:rPr>
              <w:t>XGBoost</w:t>
            </w:r>
          </w:p>
        </w:tc>
        <w:tc>
          <w:tcPr>
            <w:tcW w:type="dxa" w:w="1568"/>
            <w:vAlign w:val="center"/>
            <w:shd w:val="clear" w:color="auto" w:fill="FCE4EC"/>
          </w:tcPr>
          <w:p>
            <w:pPr>
              <w:jc w:val="center"/>
            </w:pPr>
            <w:r>
              <w:rPr>
                <w:sz w:val="18"/>
              </w:rPr>
              <w:t>0.9595±0.0228</w:t>
            </w:r>
          </w:p>
        </w:tc>
        <w:tc>
          <w:tcPr>
            <w:tcW w:type="dxa" w:w="1568"/>
            <w:vAlign w:val="center"/>
            <w:shd w:val="clear" w:color="auto" w:fill="FCE4EC"/>
          </w:tcPr>
          <w:p>
            <w:pPr>
              <w:jc w:val="center"/>
            </w:pPr>
            <w:r>
              <w:rPr>
                <w:sz w:val="18"/>
              </w:rPr>
              <w:t>0.8085±0.0673</w:t>
            </w:r>
          </w:p>
        </w:tc>
        <w:tc>
          <w:tcPr>
            <w:tcW w:type="dxa" w:w="1568"/>
            <w:vAlign w:val="center"/>
            <w:shd w:val="clear" w:color="auto" w:fill="FCE4EC"/>
          </w:tcPr>
          <w:p>
            <w:pPr>
              <w:jc w:val="center"/>
            </w:pPr>
            <w:r>
              <w:rPr>
                <w:sz w:val="18"/>
              </w:rPr>
              <w:t>0.8928±0.0430</w:t>
            </w:r>
          </w:p>
        </w:tc>
        <w:tc>
          <w:tcPr>
            <w:tcW w:type="dxa" w:w="1568"/>
            <w:vAlign w:val="center"/>
            <w:shd w:val="clear" w:color="auto" w:fill="FCE4EC"/>
          </w:tcPr>
          <w:p>
            <w:pPr>
              <w:jc w:val="center"/>
            </w:pPr>
            <w:r>
              <w:rPr>
                <w:sz w:val="18"/>
              </w:rPr>
              <w:t>0.7947±0.0559</w:t>
            </w:r>
          </w:p>
        </w:tc>
      </w:tr>
      <w:tr>
        <w:tc>
          <w:tcPr>
            <w:tcW w:type="dxa" w:w="1568"/>
            <w:vAlign w:val="center"/>
            <w:shd w:val="clear" w:color="auto" w:fill="E3F2FD"/>
          </w:tcPr>
          <w:p>
            <w:pPr>
              <w:jc w:val="center"/>
            </w:pPr>
            <w:r>
              <w:rPr>
                <w:sz w:val="18"/>
              </w:rPr>
              <w:t>10x</w:t>
            </w:r>
          </w:p>
        </w:tc>
        <w:tc>
          <w:tcPr>
            <w:tcW w:type="dxa" w:w="1568"/>
            <w:vAlign w:val="center"/>
            <w:shd w:val="clear" w:color="auto" w:fill="E3F2FD"/>
          </w:tcPr>
          <w:p>
            <w:pPr>
              <w:jc w:val="center"/>
            </w:pPr>
            <w:r>
              <w:rPr>
                <w:sz w:val="18"/>
              </w:rPr>
              <w:t>RF</w:t>
            </w:r>
          </w:p>
        </w:tc>
        <w:tc>
          <w:tcPr>
            <w:tcW w:type="dxa" w:w="1568"/>
            <w:vAlign w:val="center"/>
            <w:shd w:val="clear" w:color="auto" w:fill="E3F2FD"/>
          </w:tcPr>
          <w:p>
            <w:pPr>
              <w:jc w:val="center"/>
            </w:pPr>
            <w:r>
              <w:rPr>
                <w:sz w:val="18"/>
              </w:rPr>
              <w:t>0.9665±0.0163</w:t>
            </w:r>
          </w:p>
        </w:tc>
        <w:tc>
          <w:tcPr>
            <w:tcW w:type="dxa" w:w="1568"/>
            <w:vAlign w:val="center"/>
            <w:shd w:val="clear" w:color="auto" w:fill="E3F2FD"/>
          </w:tcPr>
          <w:p>
            <w:pPr>
              <w:jc w:val="center"/>
            </w:pPr>
            <w:r>
              <w:rPr>
                <w:sz w:val="18"/>
              </w:rPr>
              <w:t>0.8333±0.0645</w:t>
            </w:r>
          </w:p>
        </w:tc>
        <w:tc>
          <w:tcPr>
            <w:tcW w:type="dxa" w:w="1568"/>
            <w:vAlign w:val="center"/>
            <w:shd w:val="clear" w:color="auto" w:fill="E3F2FD"/>
          </w:tcPr>
          <w:p>
            <w:pPr>
              <w:jc w:val="center"/>
            </w:pPr>
            <w:r>
              <w:rPr>
                <w:sz w:val="18"/>
              </w:rPr>
              <w:t>0.9079±0.0403</w:t>
            </w:r>
          </w:p>
        </w:tc>
        <w:tc>
          <w:tcPr>
            <w:tcW w:type="dxa" w:w="1568"/>
            <w:vAlign w:val="center"/>
            <w:shd w:val="clear" w:color="auto" w:fill="E3F2FD"/>
          </w:tcPr>
          <w:p>
            <w:pPr>
              <w:jc w:val="center"/>
            </w:pPr>
            <w:r>
              <w:rPr>
                <w:sz w:val="18"/>
              </w:rPr>
              <w:t>0.8279±0.0415</w:t>
            </w:r>
          </w:p>
        </w:tc>
      </w:tr>
      <w:tr>
        <w:tc>
          <w:tcPr>
            <w:tcW w:type="dxa" w:w="1568"/>
            <w:vAlign w:val="center"/>
            <w:shd w:val="clear" w:color="auto" w:fill="E3F2FD"/>
          </w:tcPr>
          <w:p>
            <w:pPr>
              <w:jc w:val="center"/>
            </w:pPr>
            <w:r>
              <w:rPr>
                <w:sz w:val="18"/>
              </w:rPr>
            </w:r>
          </w:p>
        </w:tc>
        <w:tc>
          <w:tcPr>
            <w:tcW w:type="dxa" w:w="1568"/>
            <w:vAlign w:val="center"/>
            <w:shd w:val="clear" w:color="auto" w:fill="E3F2FD"/>
          </w:tcPr>
          <w:p>
            <w:pPr>
              <w:jc w:val="center"/>
            </w:pPr>
            <w:r>
              <w:rPr>
                <w:sz w:val="18"/>
              </w:rPr>
              <w:t>CatBoost</w:t>
            </w:r>
          </w:p>
        </w:tc>
        <w:tc>
          <w:tcPr>
            <w:tcW w:type="dxa" w:w="1568"/>
            <w:vAlign w:val="center"/>
            <w:shd w:val="clear" w:color="auto" w:fill="E3F2FD"/>
          </w:tcPr>
          <w:p>
            <w:pPr>
              <w:jc w:val="center"/>
            </w:pPr>
            <w:r>
              <w:rPr>
                <w:sz w:val="18"/>
              </w:rPr>
              <w:t>0.9620±0.0218</w:t>
            </w:r>
          </w:p>
        </w:tc>
        <w:tc>
          <w:tcPr>
            <w:tcW w:type="dxa" w:w="1568"/>
            <w:vAlign w:val="center"/>
            <w:shd w:val="clear" w:color="auto" w:fill="E3F2FD"/>
          </w:tcPr>
          <w:p>
            <w:pPr>
              <w:jc w:val="center"/>
            </w:pPr>
            <w:r>
              <w:rPr>
                <w:sz w:val="18"/>
              </w:rPr>
              <w:t>0.8099±0.0597</w:t>
            </w:r>
          </w:p>
        </w:tc>
        <w:tc>
          <w:tcPr>
            <w:tcW w:type="dxa" w:w="1568"/>
            <w:vAlign w:val="center"/>
            <w:shd w:val="clear" w:color="auto" w:fill="E3F2FD"/>
          </w:tcPr>
          <w:p>
            <w:pPr>
              <w:jc w:val="center"/>
            </w:pPr>
            <w:r>
              <w:rPr>
                <w:sz w:val="18"/>
              </w:rPr>
              <w:t>0.8940±0.0376</w:t>
            </w:r>
          </w:p>
        </w:tc>
        <w:tc>
          <w:tcPr>
            <w:tcW w:type="dxa" w:w="1568"/>
            <w:vAlign w:val="center"/>
            <w:shd w:val="clear" w:color="auto" w:fill="E3F2FD"/>
          </w:tcPr>
          <w:p>
            <w:pPr>
              <w:jc w:val="center"/>
            </w:pPr>
            <w:r>
              <w:rPr>
                <w:sz w:val="18"/>
              </w:rPr>
              <w:t>0.7964±0.0580</w:t>
            </w:r>
          </w:p>
        </w:tc>
      </w:tr>
      <w:tr>
        <w:tc>
          <w:tcPr>
            <w:tcW w:type="dxa" w:w="1568"/>
            <w:vAlign w:val="center"/>
            <w:shd w:val="clear" w:color="auto" w:fill="E3F2FD"/>
          </w:tcPr>
          <w:p>
            <w:pPr>
              <w:jc w:val="center"/>
            </w:pPr>
            <w:r>
              <w:rPr>
                <w:sz w:val="18"/>
              </w:rPr>
            </w:r>
          </w:p>
        </w:tc>
        <w:tc>
          <w:tcPr>
            <w:tcW w:type="dxa" w:w="1568"/>
            <w:vAlign w:val="center"/>
            <w:shd w:val="clear" w:color="auto" w:fill="E3F2FD"/>
          </w:tcPr>
          <w:p>
            <w:pPr>
              <w:jc w:val="center"/>
            </w:pPr>
            <w:r>
              <w:rPr>
                <w:sz w:val="18"/>
              </w:rPr>
              <w:t>DNN</w:t>
            </w:r>
          </w:p>
        </w:tc>
        <w:tc>
          <w:tcPr>
            <w:tcW w:type="dxa" w:w="1568"/>
            <w:vAlign w:val="center"/>
            <w:shd w:val="clear" w:color="auto" w:fill="E3F2FD"/>
          </w:tcPr>
          <w:p>
            <w:pPr>
              <w:jc w:val="center"/>
            </w:pPr>
            <w:r>
              <w:rPr>
                <w:sz w:val="18"/>
              </w:rPr>
              <w:t>0.9616±0.0170</w:t>
            </w:r>
          </w:p>
        </w:tc>
        <w:tc>
          <w:tcPr>
            <w:tcW w:type="dxa" w:w="1568"/>
            <w:vAlign w:val="center"/>
            <w:shd w:val="clear" w:color="auto" w:fill="E3F2FD"/>
          </w:tcPr>
          <w:p>
            <w:pPr>
              <w:jc w:val="center"/>
            </w:pPr>
            <w:r>
              <w:rPr>
                <w:sz w:val="18"/>
              </w:rPr>
              <w:t>0.8144±0.0704</w:t>
            </w:r>
          </w:p>
        </w:tc>
        <w:tc>
          <w:tcPr>
            <w:tcW w:type="dxa" w:w="1568"/>
            <w:vAlign w:val="center"/>
            <w:shd w:val="clear" w:color="auto" w:fill="E3F2FD"/>
          </w:tcPr>
          <w:p>
            <w:pPr>
              <w:jc w:val="center"/>
            </w:pPr>
            <w:r>
              <w:rPr>
                <w:sz w:val="18"/>
              </w:rPr>
              <w:t>0.8963±0.0443</w:t>
            </w:r>
          </w:p>
        </w:tc>
        <w:tc>
          <w:tcPr>
            <w:tcW w:type="dxa" w:w="1568"/>
            <w:vAlign w:val="center"/>
            <w:shd w:val="clear" w:color="auto" w:fill="E3F2FD"/>
          </w:tcPr>
          <w:p>
            <w:pPr>
              <w:jc w:val="center"/>
            </w:pPr>
            <w:r>
              <w:rPr>
                <w:sz w:val="18"/>
              </w:rPr>
              <w:t>0.8100±0.0296</w:t>
            </w:r>
          </w:p>
        </w:tc>
      </w:tr>
      <w:tr>
        <w:tc>
          <w:tcPr>
            <w:tcW w:type="dxa" w:w="1568"/>
            <w:vAlign w:val="center"/>
            <w:shd w:val="clear" w:color="auto" w:fill="E3F2FD"/>
          </w:tcPr>
          <w:p>
            <w:pPr>
              <w:jc w:val="center"/>
            </w:pPr>
            <w:r>
              <w:rPr>
                <w:sz w:val="18"/>
              </w:rPr>
            </w:r>
          </w:p>
        </w:tc>
        <w:tc>
          <w:tcPr>
            <w:tcW w:type="dxa" w:w="1568"/>
            <w:vAlign w:val="center"/>
            <w:shd w:val="clear" w:color="auto" w:fill="E3F2FD"/>
          </w:tcPr>
          <w:p>
            <w:pPr>
              <w:jc w:val="center"/>
            </w:pPr>
            <w:r>
              <w:rPr>
                <w:sz w:val="18"/>
              </w:rPr>
              <w:t>XGBoost</w:t>
            </w:r>
          </w:p>
        </w:tc>
        <w:tc>
          <w:tcPr>
            <w:tcW w:type="dxa" w:w="1568"/>
            <w:vAlign w:val="center"/>
            <w:shd w:val="clear" w:color="auto" w:fill="E3F2FD"/>
          </w:tcPr>
          <w:p>
            <w:pPr>
              <w:jc w:val="center"/>
            </w:pPr>
            <w:r>
              <w:rPr>
                <w:sz w:val="18"/>
              </w:rPr>
              <w:t>0.9583±0.0235</w:t>
            </w:r>
          </w:p>
        </w:tc>
        <w:tc>
          <w:tcPr>
            <w:tcW w:type="dxa" w:w="1568"/>
            <w:vAlign w:val="center"/>
            <w:shd w:val="clear" w:color="auto" w:fill="E3F2FD"/>
          </w:tcPr>
          <w:p>
            <w:pPr>
              <w:jc w:val="center"/>
            </w:pPr>
            <w:r>
              <w:rPr>
                <w:sz w:val="18"/>
              </w:rPr>
              <w:t>0.8025±0.0613</w:t>
            </w:r>
          </w:p>
        </w:tc>
        <w:tc>
          <w:tcPr>
            <w:tcW w:type="dxa" w:w="1568"/>
            <w:vAlign w:val="center"/>
            <w:shd w:val="clear" w:color="auto" w:fill="E3F2FD"/>
          </w:tcPr>
          <w:p>
            <w:pPr>
              <w:jc w:val="center"/>
            </w:pPr>
            <w:r>
              <w:rPr>
                <w:sz w:val="18"/>
              </w:rPr>
              <w:t>0.8894±0.0392</w:t>
            </w:r>
          </w:p>
        </w:tc>
        <w:tc>
          <w:tcPr>
            <w:tcW w:type="dxa" w:w="1568"/>
            <w:vAlign w:val="center"/>
            <w:shd w:val="clear" w:color="auto" w:fill="E3F2FD"/>
          </w:tcPr>
          <w:p>
            <w:pPr>
              <w:jc w:val="center"/>
            </w:pPr>
            <w:r>
              <w:rPr>
                <w:sz w:val="18"/>
              </w:rPr>
              <w:t>0.7867±0.0544</w:t>
            </w:r>
          </w:p>
        </w:tc>
      </w:tr>
    </w:tbl>
    <w:p>
      <w:r>
        <w:rPr>
          <w:b/>
          <w:sz w:val="18"/>
        </w:rPr>
        <w:t xml:space="preserve">Table 2. </w:t>
      </w:r>
      <w:r>
        <w:rPr>
          <w:i/>
          <w:sz w:val="18"/>
        </w:rPr>
        <w:t>5-fold spatial block CV results (mean ± std) for all models and sample sizes.</w:t>
      </w:r>
    </w:p>
    <w:p/>
    <w:p>
      <w:pPr>
        <w:jc w:val="center"/>
      </w:pPr>
      <w:r>
        <w:drawing>
          <wp:inline xmlns:a="http://schemas.openxmlformats.org/drawingml/2006/main" xmlns:pic="http://schemas.openxmlformats.org/drawingml/2006/picture">
            <wp:extent cx="5029200" cy="3520158"/>
            <wp:docPr id="5" name="Picture 5"/>
            <wp:cNvGraphicFramePr>
              <a:graphicFrameLocks noChangeAspect="1"/>
            </wp:cNvGraphicFramePr>
            <a:graphic>
              <a:graphicData uri="http://schemas.openxmlformats.org/drawingml/2006/picture">
                <pic:pic>
                  <pic:nvPicPr>
                    <pic:cNvPr id="0" name="fold_map.png"/>
                    <pic:cNvPicPr/>
                  </pic:nvPicPr>
                  <pic:blipFill>
                    <a:blip r:embed="rId13"/>
                    <a:stretch>
                      <a:fillRect/>
                    </a:stretch>
                  </pic:blipFill>
                  <pic:spPr>
                    <a:xfrm>
                      <a:off x="0" y="0"/>
                      <a:ext cx="5029200" cy="3520158"/>
                    </a:xfrm>
                    <a:prstGeom prst="rect"/>
                  </pic:spPr>
                </pic:pic>
              </a:graphicData>
            </a:graphic>
          </wp:inline>
        </w:drawing>
      </w:r>
    </w:p>
    <w:p>
      <w:pPr>
        <w:jc w:val="center"/>
      </w:pPr>
      <w:r>
        <w:rPr>
          <w:i/>
          <w:color w:val="555555"/>
          <w:sz w:val="18"/>
        </w:rPr>
        <w:t>Figure 5. Spatial fold assignment for 10x sample size. Five folds defined by 50 km × 50 km spatial blocks (checkerboard pattern).</w:t>
      </w:r>
    </w:p>
    <w:p/>
    <w:p>
      <w:pPr>
        <w:jc w:val="center"/>
      </w:pPr>
      <w:r>
        <w:drawing>
          <wp:inline xmlns:a="http://schemas.openxmlformats.org/drawingml/2006/main" xmlns:pic="http://schemas.openxmlformats.org/drawingml/2006/picture">
            <wp:extent cx="5943600" cy="2105163"/>
            <wp:docPr id="6" name="Picture 6"/>
            <wp:cNvGraphicFramePr>
              <a:graphicFrameLocks noChangeAspect="1"/>
            </wp:cNvGraphicFramePr>
            <a:graphic>
              <a:graphicData uri="http://schemas.openxmlformats.org/drawingml/2006/picture">
                <pic:pic>
                  <pic:nvPicPr>
                    <pic:cNvPr id="0" name="spatial_cv_comparison.png"/>
                    <pic:cNvPicPr/>
                  </pic:nvPicPr>
                  <pic:blipFill>
                    <a:blip r:embed="rId14"/>
                    <a:stretch>
                      <a:fillRect/>
                    </a:stretch>
                  </pic:blipFill>
                  <pic:spPr>
                    <a:xfrm>
                      <a:off x="0" y="0"/>
                      <a:ext cx="5943600" cy="2105163"/>
                    </a:xfrm>
                    <a:prstGeom prst="rect"/>
                  </pic:spPr>
                </pic:pic>
              </a:graphicData>
            </a:graphic>
          </wp:inline>
        </w:drawing>
      </w:r>
    </w:p>
    <w:p>
      <w:pPr>
        <w:jc w:val="center"/>
      </w:pPr>
      <w:r>
        <w:rPr>
          <w:i/>
          <w:color w:val="555555"/>
          <w:sz w:val="18"/>
        </w:rPr>
        <w:t>Figure 6. Comparison of random-split validation (hatched bars) vs 5-fold spatial CV (solid bars ± std) for all four models at 10x sample size. Spatial CV metrics are consistently lower, revealing overfitting to spatial autocorrelation.</w:t>
      </w:r>
    </w:p>
    <w:p/>
    <w:p>
      <w:pPr>
        <w:jc w:val="center"/>
      </w:pPr>
      <w:r>
        <w:drawing>
          <wp:inline xmlns:a="http://schemas.openxmlformats.org/drawingml/2006/main" xmlns:pic="http://schemas.openxmlformats.org/drawingml/2006/picture">
            <wp:extent cx="5669280" cy="3895982"/>
            <wp:docPr id="7" name="Picture 7"/>
            <wp:cNvGraphicFramePr>
              <a:graphicFrameLocks noChangeAspect="1"/>
            </wp:cNvGraphicFramePr>
            <a:graphic>
              <a:graphicData uri="http://schemas.openxmlformats.org/drawingml/2006/picture">
                <pic:pic>
                  <pic:nvPicPr>
                    <pic:cNvPr id="0" name="per_fold_performance.png"/>
                    <pic:cNvPicPr/>
                  </pic:nvPicPr>
                  <pic:blipFill>
                    <a:blip r:embed="rId15"/>
                    <a:stretch>
                      <a:fillRect/>
                    </a:stretch>
                  </pic:blipFill>
                  <pic:spPr>
                    <a:xfrm>
                      <a:off x="0" y="0"/>
                      <a:ext cx="5669280" cy="3895982"/>
                    </a:xfrm>
                    <a:prstGeom prst="rect"/>
                  </pic:spPr>
                </pic:pic>
              </a:graphicData>
            </a:graphic>
          </wp:inline>
        </w:drawing>
      </w:r>
    </w:p>
    <w:p>
      <w:pPr>
        <w:jc w:val="center"/>
      </w:pPr>
      <w:r>
        <w:rPr>
          <w:i/>
          <w:color w:val="555555"/>
          <w:sz w:val="18"/>
        </w:rPr>
        <w:t>Figure 7. Per-fold AUC, CSI, F1 and Kappa for all models at 10x. Fold 5 (low flood fraction, ~22%) shows reduced CSI across all models.</w:t>
      </w:r>
    </w:p>
    <w:p/>
    <w:p>
      <w:pPr>
        <w:pStyle w:val="Heading2"/>
      </w:pPr>
      <w:r>
        <w:rPr>
          <w:color w:val="1A237E"/>
        </w:rPr>
        <w:t>5.2 Key Findings from Spatial CV</w:t>
      </w:r>
    </w:p>
    <w:p>
      <w:r>
        <w:t>Random Forest showed the most consistent spatial generalisation across all sample sizes (AUC ≈ 0.965, CSI ≈ 0.828–0.830), with the lowest standard deviation across folds. XGBoost and CatBoost demonstrated higher random-split performance but greater variance in spatial CV, suggesting some degree of spatial overfitting. The DNN showed stable spatial CV performance (AUC ≈ 0.963 at 10x), competitive with RF. Critically, spatial CV metrics did not improve beyond 4x training size, indicating that data quantity is not the bottleneck — spatial autocorrelation structure is.</w:t>
      </w:r>
    </w:p>
    <w:p>
      <w:r>
        <w:br w:type="page"/>
      </w:r>
    </w:p>
    <w:p>
      <w:pPr>
        <w:pStyle w:val="Heading1"/>
      </w:pPr>
      <w:r>
        <w:rPr>
          <w:color w:val="1A237E"/>
        </w:rPr>
        <w:t>6. Flood Susceptibility Maps &amp; Area Statistics</w:t>
      </w:r>
    </w:p>
    <w:p>
      <w:pPr>
        <w:pStyle w:val="Heading2"/>
      </w:pPr>
      <w:r>
        <w:rPr>
          <w:color w:val="1A237E"/>
        </w:rPr>
        <w:t>6.1 Five-Class Susceptibility Maps</w:t>
      </w:r>
    </w:p>
    <w:p>
      <w:r>
        <w:t>Five-class susceptibility maps (Very Low → Very High) were generated for all models at each sample size using equal-frequency quantile breaks (Q20/Q40/Q60/Q80) computed from the full probability raster. This ensures each class covers approximately 20% of the valid study area.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237E"/>
            <w:vAlign w:val="center"/>
          </w:tcPr>
          <w:p>
            <w:pPr>
              <w:jc w:val="center"/>
            </w:pPr>
            <w:r>
              <w:rPr>
                <w:b/>
                <w:color w:val="FFFFFF"/>
                <w:sz w:val="18"/>
              </w:rPr>
              <w:t>Model</w:t>
            </w:r>
          </w:p>
        </w:tc>
        <w:tc>
          <w:tcPr>
            <w:tcW w:type="dxa" w:w="1568"/>
            <w:shd w:val="clear" w:color="auto" w:fill="1A237E"/>
            <w:vAlign w:val="center"/>
          </w:tcPr>
          <w:p>
            <w:pPr>
              <w:jc w:val="center"/>
            </w:pPr>
            <w:r>
              <w:rPr>
                <w:b/>
                <w:color w:val="FFFFFF"/>
                <w:sz w:val="18"/>
              </w:rPr>
              <w:t>Very Low (km²)</w:t>
            </w:r>
          </w:p>
        </w:tc>
        <w:tc>
          <w:tcPr>
            <w:tcW w:type="dxa" w:w="1568"/>
            <w:shd w:val="clear" w:color="auto" w:fill="1A237E"/>
            <w:vAlign w:val="center"/>
          </w:tcPr>
          <w:p>
            <w:pPr>
              <w:jc w:val="center"/>
            </w:pPr>
            <w:r>
              <w:rPr>
                <w:b/>
                <w:color w:val="FFFFFF"/>
                <w:sz w:val="18"/>
              </w:rPr>
              <w:t>Low (km²)</w:t>
            </w:r>
          </w:p>
        </w:tc>
        <w:tc>
          <w:tcPr>
            <w:tcW w:type="dxa" w:w="1568"/>
            <w:shd w:val="clear" w:color="auto" w:fill="1A237E"/>
            <w:vAlign w:val="center"/>
          </w:tcPr>
          <w:p>
            <w:pPr>
              <w:jc w:val="center"/>
            </w:pPr>
            <w:r>
              <w:rPr>
                <w:b/>
                <w:color w:val="FFFFFF"/>
                <w:sz w:val="18"/>
              </w:rPr>
              <w:t>Moderate (km²)</w:t>
            </w:r>
          </w:p>
        </w:tc>
        <w:tc>
          <w:tcPr>
            <w:tcW w:type="dxa" w:w="1568"/>
            <w:shd w:val="clear" w:color="auto" w:fill="1A237E"/>
            <w:vAlign w:val="center"/>
          </w:tcPr>
          <w:p>
            <w:pPr>
              <w:jc w:val="center"/>
            </w:pPr>
            <w:r>
              <w:rPr>
                <w:b/>
                <w:color w:val="FFFFFF"/>
                <w:sz w:val="18"/>
              </w:rPr>
              <w:t>High (km²)</w:t>
            </w:r>
          </w:p>
        </w:tc>
        <w:tc>
          <w:tcPr>
            <w:tcW w:type="dxa" w:w="1568"/>
            <w:shd w:val="clear" w:color="auto" w:fill="1A237E"/>
            <w:vAlign w:val="center"/>
          </w:tcPr>
          <w:p>
            <w:pPr>
              <w:jc w:val="center"/>
            </w:pPr>
            <w:r>
              <w:rPr>
                <w:b/>
                <w:color w:val="FFFFFF"/>
                <w:sz w:val="18"/>
              </w:rPr>
              <w:t>Very High (km²)</w:t>
            </w:r>
          </w:p>
        </w:tc>
      </w:tr>
      <w:tr>
        <w:tc>
          <w:tcPr>
            <w:tcW w:type="dxa" w:w="1568"/>
            <w:vAlign w:val="center"/>
            <w:shd w:val="clear" w:color="auto" w:fill="E3F2FD"/>
          </w:tcPr>
          <w:p>
            <w:pPr>
              <w:jc w:val="center"/>
            </w:pPr>
            <w:r>
              <w:rPr>
                <w:sz w:val="18"/>
              </w:rPr>
              <w:t>RF</w:t>
            </w:r>
          </w:p>
        </w:tc>
        <w:tc>
          <w:tcPr>
            <w:tcW w:type="dxa" w:w="1568"/>
            <w:vAlign w:val="center"/>
            <w:shd w:val="clear" w:color="auto" w:fill="E3F2FD"/>
          </w:tcPr>
          <w:p>
            <w:pPr>
              <w:jc w:val="center"/>
            </w:pPr>
            <w:r>
              <w:rPr>
                <w:sz w:val="18"/>
              </w:rPr>
              <w:t>4,042.4</w:t>
              <w:br/>
              <w:t>(20.0%)</w:t>
            </w:r>
          </w:p>
        </w:tc>
        <w:tc>
          <w:tcPr>
            <w:tcW w:type="dxa" w:w="1568"/>
            <w:vAlign w:val="center"/>
            <w:shd w:val="clear" w:color="auto" w:fill="E3F2FD"/>
          </w:tcPr>
          <w:p>
            <w:pPr>
              <w:jc w:val="center"/>
            </w:pPr>
            <w:r>
              <w:rPr>
                <w:sz w:val="18"/>
              </w:rPr>
              <w:t>4,052.0</w:t>
              <w:br/>
              <w:t>(20.0%)</w:t>
            </w:r>
          </w:p>
        </w:tc>
        <w:tc>
          <w:tcPr>
            <w:tcW w:type="dxa" w:w="1568"/>
            <w:vAlign w:val="center"/>
            <w:shd w:val="clear" w:color="auto" w:fill="E3F2FD"/>
          </w:tcPr>
          <w:p>
            <w:pPr>
              <w:jc w:val="center"/>
            </w:pPr>
            <w:r>
              <w:rPr>
                <w:sz w:val="18"/>
              </w:rPr>
              <w:t>4,056.2</w:t>
              <w:br/>
              <w:t>(20.0%)</w:t>
            </w:r>
          </w:p>
        </w:tc>
        <w:tc>
          <w:tcPr>
            <w:tcW w:type="dxa" w:w="1568"/>
            <w:vAlign w:val="center"/>
            <w:shd w:val="clear" w:color="auto" w:fill="E3F2FD"/>
          </w:tcPr>
          <w:p>
            <w:pPr>
              <w:jc w:val="center"/>
            </w:pPr>
            <w:r>
              <w:rPr>
                <w:sz w:val="18"/>
              </w:rPr>
              <w:t>4,055.1</w:t>
              <w:br/>
              <w:t>(20.0%)</w:t>
            </w:r>
          </w:p>
        </w:tc>
        <w:tc>
          <w:tcPr>
            <w:tcW w:type="dxa" w:w="1568"/>
            <w:vAlign w:val="center"/>
            <w:shd w:val="clear" w:color="auto" w:fill="E3F2FD"/>
          </w:tcPr>
          <w:p>
            <w:pPr>
              <w:jc w:val="center"/>
            </w:pPr>
            <w:r>
              <w:rPr>
                <w:sz w:val="18"/>
              </w:rPr>
              <w:t>4,047.8</w:t>
              <w:br/>
              <w:t>(20.0%)</w:t>
            </w:r>
          </w:p>
        </w:tc>
      </w:tr>
      <w:tr>
        <w:tc>
          <w:tcPr>
            <w:tcW w:type="dxa" w:w="1568"/>
            <w:vAlign w:val="center"/>
            <w:shd w:val="clear" w:color="auto" w:fill="E3F2FD"/>
          </w:tcPr>
          <w:p>
            <w:pPr>
              <w:jc w:val="center"/>
            </w:pPr>
            <w:r>
              <w:rPr>
                <w:sz w:val="18"/>
              </w:rPr>
              <w:t>XGBoost</w:t>
            </w:r>
          </w:p>
        </w:tc>
        <w:tc>
          <w:tcPr>
            <w:tcW w:type="dxa" w:w="1568"/>
            <w:vAlign w:val="center"/>
            <w:shd w:val="clear" w:color="auto" w:fill="E3F2FD"/>
          </w:tcPr>
          <w:p>
            <w:pPr>
              <w:jc w:val="center"/>
            </w:pPr>
            <w:r>
              <w:rPr>
                <w:sz w:val="18"/>
              </w:rPr>
              <w:t>4,048.8</w:t>
              <w:br/>
              <w:t>(20.0%)</w:t>
            </w:r>
          </w:p>
        </w:tc>
        <w:tc>
          <w:tcPr>
            <w:tcW w:type="dxa" w:w="1568"/>
            <w:vAlign w:val="center"/>
            <w:shd w:val="clear" w:color="auto" w:fill="E3F2FD"/>
          </w:tcPr>
          <w:p>
            <w:pPr>
              <w:jc w:val="center"/>
            </w:pPr>
            <w:r>
              <w:rPr>
                <w:sz w:val="18"/>
              </w:rPr>
              <w:t>4,051.5</w:t>
              <w:br/>
              <w:t>(20.0%)</w:t>
            </w:r>
          </w:p>
        </w:tc>
        <w:tc>
          <w:tcPr>
            <w:tcW w:type="dxa" w:w="1568"/>
            <w:vAlign w:val="center"/>
            <w:shd w:val="clear" w:color="auto" w:fill="E3F2FD"/>
          </w:tcPr>
          <w:p>
            <w:pPr>
              <w:jc w:val="center"/>
            </w:pPr>
            <w:r>
              <w:rPr>
                <w:sz w:val="18"/>
              </w:rPr>
              <w:t>4,054.9</w:t>
              <w:br/>
              <w:t>(20.0%)</w:t>
            </w:r>
          </w:p>
        </w:tc>
        <w:tc>
          <w:tcPr>
            <w:tcW w:type="dxa" w:w="1568"/>
            <w:vAlign w:val="center"/>
            <w:shd w:val="clear" w:color="auto" w:fill="E3F2FD"/>
          </w:tcPr>
          <w:p>
            <w:pPr>
              <w:jc w:val="center"/>
            </w:pPr>
            <w:r>
              <w:rPr>
                <w:sz w:val="18"/>
              </w:rPr>
              <w:t>4,046.4</w:t>
              <w:br/>
              <w:t>(20.0%)</w:t>
            </w:r>
          </w:p>
        </w:tc>
        <w:tc>
          <w:tcPr>
            <w:tcW w:type="dxa" w:w="1568"/>
            <w:vAlign w:val="center"/>
            <w:shd w:val="clear" w:color="auto" w:fill="E3F2FD"/>
          </w:tcPr>
          <w:p>
            <w:pPr>
              <w:jc w:val="center"/>
            </w:pPr>
            <w:r>
              <w:rPr>
                <w:sz w:val="18"/>
              </w:rPr>
              <w:t>4,052.0</w:t>
              <w:br/>
              <w:t>(20.0%)</w:t>
            </w:r>
          </w:p>
        </w:tc>
      </w:tr>
      <w:tr>
        <w:tc>
          <w:tcPr>
            <w:tcW w:type="dxa" w:w="1568"/>
            <w:vAlign w:val="center"/>
            <w:shd w:val="clear" w:color="auto" w:fill="E3F2FD"/>
          </w:tcPr>
          <w:p>
            <w:pPr>
              <w:jc w:val="center"/>
            </w:pPr>
            <w:r>
              <w:rPr>
                <w:sz w:val="18"/>
              </w:rPr>
              <w:t>CatBoost</w:t>
            </w:r>
          </w:p>
        </w:tc>
        <w:tc>
          <w:tcPr>
            <w:tcW w:type="dxa" w:w="1568"/>
            <w:vAlign w:val="center"/>
            <w:shd w:val="clear" w:color="auto" w:fill="E3F2FD"/>
          </w:tcPr>
          <w:p>
            <w:pPr>
              <w:jc w:val="center"/>
            </w:pPr>
            <w:r>
              <w:rPr>
                <w:sz w:val="18"/>
              </w:rPr>
              <w:t>4,050.9</w:t>
              <w:br/>
              <w:t>(20.0%)</w:t>
            </w:r>
          </w:p>
        </w:tc>
        <w:tc>
          <w:tcPr>
            <w:tcW w:type="dxa" w:w="1568"/>
            <w:vAlign w:val="center"/>
            <w:shd w:val="clear" w:color="auto" w:fill="E3F2FD"/>
          </w:tcPr>
          <w:p>
            <w:pPr>
              <w:jc w:val="center"/>
            </w:pPr>
            <w:r>
              <w:rPr>
                <w:sz w:val="18"/>
              </w:rPr>
              <w:t>4,047.5</w:t>
              <w:br/>
              <w:t>(20.0%)</w:t>
            </w:r>
          </w:p>
        </w:tc>
        <w:tc>
          <w:tcPr>
            <w:tcW w:type="dxa" w:w="1568"/>
            <w:vAlign w:val="center"/>
            <w:shd w:val="clear" w:color="auto" w:fill="E3F2FD"/>
          </w:tcPr>
          <w:p>
            <w:pPr>
              <w:jc w:val="center"/>
            </w:pPr>
            <w:r>
              <w:rPr>
                <w:sz w:val="18"/>
              </w:rPr>
              <w:t>4,051.4</w:t>
              <w:br/>
              <w:t>(20.0%)</w:t>
            </w:r>
          </w:p>
        </w:tc>
        <w:tc>
          <w:tcPr>
            <w:tcW w:type="dxa" w:w="1568"/>
            <w:vAlign w:val="center"/>
            <w:shd w:val="clear" w:color="auto" w:fill="E3F2FD"/>
          </w:tcPr>
          <w:p>
            <w:pPr>
              <w:jc w:val="center"/>
            </w:pPr>
            <w:r>
              <w:rPr>
                <w:sz w:val="18"/>
              </w:rPr>
              <w:t>4,053.8</w:t>
              <w:br/>
              <w:t>(20.0%)</w:t>
            </w:r>
          </w:p>
        </w:tc>
        <w:tc>
          <w:tcPr>
            <w:tcW w:type="dxa" w:w="1568"/>
            <w:vAlign w:val="center"/>
            <w:shd w:val="clear" w:color="auto" w:fill="E3F2FD"/>
          </w:tcPr>
          <w:p>
            <w:pPr>
              <w:jc w:val="center"/>
            </w:pPr>
            <w:r>
              <w:rPr>
                <w:sz w:val="18"/>
              </w:rPr>
              <w:t>4,049.9</w:t>
              <w:br/>
              <w:t>(20.0%)</w:t>
            </w:r>
          </w:p>
        </w:tc>
      </w:tr>
      <w:tr>
        <w:tc>
          <w:tcPr>
            <w:tcW w:type="dxa" w:w="1568"/>
            <w:vAlign w:val="center"/>
            <w:shd w:val="clear" w:color="auto" w:fill="E3F2FD"/>
          </w:tcPr>
          <w:p>
            <w:pPr>
              <w:jc w:val="center"/>
            </w:pPr>
            <w:r>
              <w:rPr>
                <w:sz w:val="18"/>
              </w:rPr>
              <w:t>DNN</w:t>
            </w:r>
          </w:p>
        </w:tc>
        <w:tc>
          <w:tcPr>
            <w:tcW w:type="dxa" w:w="1568"/>
            <w:vAlign w:val="center"/>
            <w:shd w:val="clear" w:color="auto" w:fill="E3F2FD"/>
          </w:tcPr>
          <w:p>
            <w:pPr>
              <w:jc w:val="center"/>
            </w:pPr>
            <w:r>
              <w:rPr>
                <w:sz w:val="18"/>
              </w:rPr>
              <w:t>4,050.5</w:t>
              <w:br/>
              <w:t>(20.0%)</w:t>
            </w:r>
          </w:p>
        </w:tc>
        <w:tc>
          <w:tcPr>
            <w:tcW w:type="dxa" w:w="1568"/>
            <w:vAlign w:val="center"/>
            <w:shd w:val="clear" w:color="auto" w:fill="E3F2FD"/>
          </w:tcPr>
          <w:p>
            <w:pPr>
              <w:jc w:val="center"/>
            </w:pPr>
            <w:r>
              <w:rPr>
                <w:sz w:val="18"/>
              </w:rPr>
              <w:t>4,046.9</w:t>
              <w:br/>
              <w:t>(20.0%)</w:t>
            </w:r>
          </w:p>
        </w:tc>
        <w:tc>
          <w:tcPr>
            <w:tcW w:type="dxa" w:w="1568"/>
            <w:vAlign w:val="center"/>
            <w:shd w:val="clear" w:color="auto" w:fill="E3F2FD"/>
          </w:tcPr>
          <w:p>
            <w:pPr>
              <w:jc w:val="center"/>
            </w:pPr>
            <w:r>
              <w:rPr>
                <w:sz w:val="18"/>
              </w:rPr>
              <w:t>4,054.1</w:t>
              <w:br/>
              <w:t>(20.0%)</w:t>
            </w:r>
          </w:p>
        </w:tc>
        <w:tc>
          <w:tcPr>
            <w:tcW w:type="dxa" w:w="1568"/>
            <w:vAlign w:val="center"/>
            <w:shd w:val="clear" w:color="auto" w:fill="E3F2FD"/>
          </w:tcPr>
          <w:p>
            <w:pPr>
              <w:jc w:val="center"/>
            </w:pPr>
            <w:r>
              <w:rPr>
                <w:sz w:val="18"/>
              </w:rPr>
              <w:t>4,053.3</w:t>
              <w:br/>
              <w:t>(20.0%)</w:t>
            </w:r>
          </w:p>
        </w:tc>
        <w:tc>
          <w:tcPr>
            <w:tcW w:type="dxa" w:w="1568"/>
            <w:vAlign w:val="center"/>
            <w:shd w:val="clear" w:color="auto" w:fill="E3F2FD"/>
          </w:tcPr>
          <w:p>
            <w:pPr>
              <w:jc w:val="center"/>
            </w:pPr>
            <w:r>
              <w:rPr>
                <w:sz w:val="18"/>
              </w:rPr>
              <w:t>4,048.9</w:t>
              <w:br/>
              <w:t>(20.0%)</w:t>
            </w:r>
          </w:p>
        </w:tc>
      </w:tr>
      <w:tr>
        <w:tc>
          <w:tcPr>
            <w:tcW w:type="dxa" w:w="1568"/>
            <w:vAlign w:val="center"/>
            <w:shd w:val="clear" w:color="auto" w:fill="E3F2FD"/>
          </w:tcPr>
          <w:p>
            <w:pPr>
              <w:jc w:val="center"/>
            </w:pPr>
            <w:r>
              <w:rPr>
                <w:sz w:val="18"/>
              </w:rPr>
              <w:t>Ensemble_mean</w:t>
            </w:r>
          </w:p>
        </w:tc>
        <w:tc>
          <w:tcPr>
            <w:tcW w:type="dxa" w:w="1568"/>
            <w:vAlign w:val="center"/>
            <w:shd w:val="clear" w:color="auto" w:fill="E3F2FD"/>
          </w:tcPr>
          <w:p>
            <w:pPr>
              <w:jc w:val="center"/>
            </w:pPr>
            <w:r>
              <w:rPr>
                <w:sz w:val="18"/>
              </w:rPr>
              <w:t>4,045.4</w:t>
              <w:br/>
              <w:t>(20.0%)</w:t>
            </w:r>
          </w:p>
        </w:tc>
        <w:tc>
          <w:tcPr>
            <w:tcW w:type="dxa" w:w="1568"/>
            <w:vAlign w:val="center"/>
            <w:shd w:val="clear" w:color="auto" w:fill="E3F2FD"/>
          </w:tcPr>
          <w:p>
            <w:pPr>
              <w:jc w:val="center"/>
            </w:pPr>
            <w:r>
              <w:rPr>
                <w:sz w:val="18"/>
              </w:rPr>
              <w:t>4,048.6</w:t>
              <w:br/>
              <w:t>(20.0%)</w:t>
            </w:r>
          </w:p>
        </w:tc>
        <w:tc>
          <w:tcPr>
            <w:tcW w:type="dxa" w:w="1568"/>
            <w:vAlign w:val="center"/>
            <w:shd w:val="clear" w:color="auto" w:fill="E3F2FD"/>
          </w:tcPr>
          <w:p>
            <w:pPr>
              <w:jc w:val="center"/>
            </w:pPr>
            <w:r>
              <w:rPr>
                <w:sz w:val="18"/>
              </w:rPr>
              <w:t>4,061.5</w:t>
              <w:br/>
              <w:t>(20.1%)</w:t>
            </w:r>
          </w:p>
        </w:tc>
        <w:tc>
          <w:tcPr>
            <w:tcW w:type="dxa" w:w="1568"/>
            <w:vAlign w:val="center"/>
            <w:shd w:val="clear" w:color="auto" w:fill="E3F2FD"/>
          </w:tcPr>
          <w:p>
            <w:pPr>
              <w:jc w:val="center"/>
            </w:pPr>
            <w:r>
              <w:rPr>
                <w:sz w:val="18"/>
              </w:rPr>
              <w:t>4,046.5</w:t>
              <w:br/>
              <w:t>(20.0%)</w:t>
            </w:r>
          </w:p>
        </w:tc>
        <w:tc>
          <w:tcPr>
            <w:tcW w:type="dxa" w:w="1568"/>
            <w:vAlign w:val="center"/>
            <w:shd w:val="clear" w:color="auto" w:fill="E3F2FD"/>
          </w:tcPr>
          <w:p>
            <w:pPr>
              <w:jc w:val="center"/>
            </w:pPr>
            <w:r>
              <w:rPr>
                <w:sz w:val="18"/>
              </w:rPr>
              <w:t>4,051.6</w:t>
              <w:br/>
              <w:t>(20.0%)</w:t>
            </w:r>
          </w:p>
        </w:tc>
      </w:tr>
    </w:tbl>
    <w:p>
      <w:r>
        <w:rPr>
          <w:b/>
          <w:sz w:val="18"/>
        </w:rPr>
        <w:t xml:space="preserve">Table 3. </w:t>
      </w:r>
      <w:r>
        <w:rPr>
          <w:i/>
          <w:sz w:val="18"/>
        </w:rPr>
        <w:t>Five-class flood susceptibility area statistics (10x models). Each class covers approximately 20% of the valid study area (equal-frequency).</w:t>
      </w:r>
    </w:p>
    <w:p/>
    <w:p>
      <w:pPr>
        <w:jc w:val="center"/>
      </w:pPr>
      <w:r>
        <w:drawing>
          <wp:inline xmlns:a="http://schemas.openxmlformats.org/drawingml/2006/main" xmlns:pic="http://schemas.openxmlformats.org/drawingml/2006/picture">
            <wp:extent cx="5669280" cy="3027136"/>
            <wp:docPr id="8" name="Picture 8"/>
            <wp:cNvGraphicFramePr>
              <a:graphicFrameLocks noChangeAspect="1"/>
            </wp:cNvGraphicFramePr>
            <a:graphic>
              <a:graphicData uri="http://schemas.openxmlformats.org/drawingml/2006/picture">
                <pic:pic>
                  <pic:nvPicPr>
                    <pic:cNvPr id="0" name="class_area_comparison.png"/>
                    <pic:cNvPicPr/>
                  </pic:nvPicPr>
                  <pic:blipFill>
                    <a:blip r:embed="rId16"/>
                    <a:stretch>
                      <a:fillRect/>
                    </a:stretch>
                  </pic:blipFill>
                  <pic:spPr>
                    <a:xfrm>
                      <a:off x="0" y="0"/>
                      <a:ext cx="5669280" cy="3027136"/>
                    </a:xfrm>
                    <a:prstGeom prst="rect"/>
                  </pic:spPr>
                </pic:pic>
              </a:graphicData>
            </a:graphic>
          </wp:inline>
        </w:drawing>
      </w:r>
    </w:p>
    <w:p>
      <w:pPr>
        <w:jc w:val="center"/>
      </w:pPr>
      <w:r>
        <w:rPr>
          <w:i/>
          <w:color w:val="555555"/>
          <w:sz w:val="18"/>
        </w:rPr>
        <w:t>Figure 8. Stacked bar chart of five-class susceptibility areas per model (10x). Near-equal class areas confirm well-calibrated equal-frequency quantile breaks.</w:t>
      </w:r>
    </w:p>
    <w:p/>
    <w:p>
      <w:pPr>
        <w:pStyle w:val="Heading2"/>
      </w:pPr>
      <w:r>
        <w:rPr>
          <w:color w:val="1A237E"/>
        </w:rPr>
        <w:t>6.2 Binary Flood Maps</w:t>
      </w:r>
    </w:p>
    <w:p>
      <w:r>
        <w:t>Binary flood/no-flood maps were generated at the CSI-optimal threshold for each model. Table 4 summarises predicted flood areas across all five models.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237E"/>
            <w:vAlign w:val="center"/>
          </w:tcPr>
          <w:p>
            <w:pPr>
              <w:jc w:val="center"/>
            </w:pPr>
            <w:r>
              <w:rPr>
                <w:b/>
                <w:color w:val="FFFFFF"/>
                <w:sz w:val="18"/>
              </w:rPr>
              <w:t>Model</w:t>
            </w:r>
          </w:p>
        </w:tc>
        <w:tc>
          <w:tcPr>
            <w:tcW w:type="dxa" w:w="1881"/>
            <w:shd w:val="clear" w:color="auto" w:fill="1A237E"/>
            <w:vAlign w:val="center"/>
          </w:tcPr>
          <w:p>
            <w:pPr>
              <w:jc w:val="center"/>
            </w:pPr>
            <w:r>
              <w:rPr>
                <w:b/>
                <w:color w:val="FFFFFF"/>
                <w:sz w:val="18"/>
              </w:rPr>
              <w:t>CSI Threshold</w:t>
            </w:r>
          </w:p>
        </w:tc>
        <w:tc>
          <w:tcPr>
            <w:tcW w:type="dxa" w:w="1881"/>
            <w:shd w:val="clear" w:color="auto" w:fill="1A237E"/>
            <w:vAlign w:val="center"/>
          </w:tcPr>
          <w:p>
            <w:pPr>
              <w:jc w:val="center"/>
            </w:pPr>
            <w:r>
              <w:rPr>
                <w:b/>
                <w:color w:val="FFFFFF"/>
                <w:sz w:val="18"/>
              </w:rPr>
              <w:t>Flood Area (km²)</w:t>
            </w:r>
          </w:p>
        </w:tc>
        <w:tc>
          <w:tcPr>
            <w:tcW w:type="dxa" w:w="1881"/>
            <w:shd w:val="clear" w:color="auto" w:fill="1A237E"/>
            <w:vAlign w:val="center"/>
          </w:tcPr>
          <w:p>
            <w:pPr>
              <w:jc w:val="center"/>
            </w:pPr>
            <w:r>
              <w:rPr>
                <w:b/>
                <w:color w:val="FFFFFF"/>
                <w:sz w:val="18"/>
              </w:rPr>
              <w:t>Flood (%)</w:t>
            </w:r>
          </w:p>
        </w:tc>
        <w:tc>
          <w:tcPr>
            <w:tcW w:type="dxa" w:w="1881"/>
            <w:shd w:val="clear" w:color="auto" w:fill="1A237E"/>
            <w:vAlign w:val="center"/>
          </w:tcPr>
          <w:p>
            <w:pPr>
              <w:jc w:val="center"/>
            </w:pPr>
            <w:r>
              <w:rPr>
                <w:b/>
                <w:color w:val="FFFFFF"/>
                <w:sz w:val="18"/>
              </w:rPr>
              <w:t>No-Flood (km²)</w:t>
            </w:r>
          </w:p>
        </w:tc>
      </w:tr>
      <w:tr>
        <w:tc>
          <w:tcPr>
            <w:tcW w:type="dxa" w:w="1881"/>
            <w:vAlign w:val="center"/>
            <w:shd w:val="clear" w:color="auto" w:fill="E3F2FD"/>
          </w:tcPr>
          <w:p>
            <w:pPr>
              <w:jc w:val="center"/>
            </w:pPr>
            <w:r>
              <w:rPr>
                <w:sz w:val="18"/>
              </w:rPr>
              <w:t>RF</w:t>
            </w:r>
          </w:p>
        </w:tc>
        <w:tc>
          <w:tcPr>
            <w:tcW w:type="dxa" w:w="1881"/>
            <w:vAlign w:val="center"/>
            <w:shd w:val="clear" w:color="auto" w:fill="E3F2FD"/>
          </w:tcPr>
          <w:p>
            <w:pPr>
              <w:jc w:val="center"/>
            </w:pPr>
            <w:r>
              <w:rPr>
                <w:sz w:val="18"/>
              </w:rPr>
              <w:t>0.5172</w:t>
            </w:r>
          </w:p>
        </w:tc>
        <w:tc>
          <w:tcPr>
            <w:tcW w:type="dxa" w:w="1881"/>
            <w:vAlign w:val="center"/>
            <w:shd w:val="clear" w:color="auto" w:fill="E3F2FD"/>
          </w:tcPr>
          <w:p>
            <w:pPr>
              <w:jc w:val="center"/>
            </w:pPr>
            <w:r>
              <w:rPr>
                <w:sz w:val="18"/>
              </w:rPr>
              <w:t>2,278.6</w:t>
            </w:r>
          </w:p>
        </w:tc>
        <w:tc>
          <w:tcPr>
            <w:tcW w:type="dxa" w:w="1881"/>
            <w:vAlign w:val="center"/>
            <w:shd w:val="clear" w:color="auto" w:fill="E3F2FD"/>
          </w:tcPr>
          <w:p>
            <w:pPr>
              <w:jc w:val="center"/>
            </w:pPr>
            <w:r>
              <w:rPr>
                <w:sz w:val="18"/>
              </w:rPr>
              <w:t>11.25%</w:t>
            </w:r>
          </w:p>
        </w:tc>
        <w:tc>
          <w:tcPr>
            <w:tcW w:type="dxa" w:w="1881"/>
            <w:vAlign w:val="center"/>
            <w:shd w:val="clear" w:color="auto" w:fill="E3F2FD"/>
          </w:tcPr>
          <w:p>
            <w:pPr>
              <w:jc w:val="center"/>
            </w:pPr>
            <w:r>
              <w:rPr>
                <w:sz w:val="18"/>
              </w:rPr>
              <w:t>17,974.9</w:t>
            </w:r>
          </w:p>
        </w:tc>
      </w:tr>
      <w:tr>
        <w:tc>
          <w:tcPr>
            <w:tcW w:type="dxa" w:w="1881"/>
            <w:vAlign w:val="center"/>
            <w:shd w:val="clear" w:color="auto" w:fill="E3F2FD"/>
          </w:tcPr>
          <w:p>
            <w:pPr>
              <w:jc w:val="center"/>
            </w:pPr>
            <w:r>
              <w:rPr>
                <w:sz w:val="18"/>
              </w:rPr>
              <w:t>XGBoost</w:t>
            </w:r>
          </w:p>
        </w:tc>
        <w:tc>
          <w:tcPr>
            <w:tcW w:type="dxa" w:w="1881"/>
            <w:vAlign w:val="center"/>
            <w:shd w:val="clear" w:color="auto" w:fill="E3F2FD"/>
          </w:tcPr>
          <w:p>
            <w:pPr>
              <w:jc w:val="center"/>
            </w:pPr>
            <w:r>
              <w:rPr>
                <w:sz w:val="18"/>
              </w:rPr>
              <w:t>0.5369</w:t>
            </w:r>
          </w:p>
        </w:tc>
        <w:tc>
          <w:tcPr>
            <w:tcW w:type="dxa" w:w="1881"/>
            <w:vAlign w:val="center"/>
            <w:shd w:val="clear" w:color="auto" w:fill="E3F2FD"/>
          </w:tcPr>
          <w:p>
            <w:pPr>
              <w:jc w:val="center"/>
            </w:pPr>
            <w:r>
              <w:rPr>
                <w:sz w:val="18"/>
              </w:rPr>
              <w:t>1,956.7</w:t>
            </w:r>
          </w:p>
        </w:tc>
        <w:tc>
          <w:tcPr>
            <w:tcW w:type="dxa" w:w="1881"/>
            <w:vAlign w:val="center"/>
            <w:shd w:val="clear" w:color="auto" w:fill="E3F2FD"/>
          </w:tcPr>
          <w:p>
            <w:pPr>
              <w:jc w:val="center"/>
            </w:pPr>
            <w:r>
              <w:rPr>
                <w:sz w:val="18"/>
              </w:rPr>
              <w:t>9.66%</w:t>
            </w:r>
          </w:p>
        </w:tc>
        <w:tc>
          <w:tcPr>
            <w:tcW w:type="dxa" w:w="1881"/>
            <w:vAlign w:val="center"/>
            <w:shd w:val="clear" w:color="auto" w:fill="E3F2FD"/>
          </w:tcPr>
          <w:p>
            <w:pPr>
              <w:jc w:val="center"/>
            </w:pPr>
            <w:r>
              <w:rPr>
                <w:sz w:val="18"/>
              </w:rPr>
              <w:t>18,296.9</w:t>
            </w:r>
          </w:p>
        </w:tc>
      </w:tr>
      <w:tr>
        <w:tc>
          <w:tcPr>
            <w:tcW w:type="dxa" w:w="1881"/>
            <w:vAlign w:val="center"/>
            <w:shd w:val="clear" w:color="auto" w:fill="E3F2FD"/>
          </w:tcPr>
          <w:p>
            <w:pPr>
              <w:jc w:val="center"/>
            </w:pPr>
            <w:r>
              <w:rPr>
                <w:sz w:val="18"/>
              </w:rPr>
              <w:t>CatBoost</w:t>
            </w:r>
          </w:p>
        </w:tc>
        <w:tc>
          <w:tcPr>
            <w:tcW w:type="dxa" w:w="1881"/>
            <w:vAlign w:val="center"/>
            <w:shd w:val="clear" w:color="auto" w:fill="E3F2FD"/>
          </w:tcPr>
          <w:p>
            <w:pPr>
              <w:jc w:val="center"/>
            </w:pPr>
            <w:r>
              <w:rPr>
                <w:sz w:val="18"/>
              </w:rPr>
              <w:t>0.5222</w:t>
            </w:r>
          </w:p>
        </w:tc>
        <w:tc>
          <w:tcPr>
            <w:tcW w:type="dxa" w:w="1881"/>
            <w:vAlign w:val="center"/>
            <w:shd w:val="clear" w:color="auto" w:fill="E3F2FD"/>
          </w:tcPr>
          <w:p>
            <w:pPr>
              <w:jc w:val="center"/>
            </w:pPr>
            <w:r>
              <w:rPr>
                <w:sz w:val="18"/>
              </w:rPr>
              <w:t>2,143.1</w:t>
            </w:r>
          </w:p>
        </w:tc>
        <w:tc>
          <w:tcPr>
            <w:tcW w:type="dxa" w:w="1881"/>
            <w:vAlign w:val="center"/>
            <w:shd w:val="clear" w:color="auto" w:fill="E3F2FD"/>
          </w:tcPr>
          <w:p>
            <w:pPr>
              <w:jc w:val="center"/>
            </w:pPr>
            <w:r>
              <w:rPr>
                <w:sz w:val="18"/>
              </w:rPr>
              <w:t>10.58%</w:t>
            </w:r>
          </w:p>
        </w:tc>
        <w:tc>
          <w:tcPr>
            <w:tcW w:type="dxa" w:w="1881"/>
            <w:vAlign w:val="center"/>
            <w:shd w:val="clear" w:color="auto" w:fill="E3F2FD"/>
          </w:tcPr>
          <w:p>
            <w:pPr>
              <w:jc w:val="center"/>
            </w:pPr>
            <w:r>
              <w:rPr>
                <w:sz w:val="18"/>
              </w:rPr>
              <w:t>18,110.5</w:t>
            </w:r>
          </w:p>
        </w:tc>
      </w:tr>
      <w:tr>
        <w:tc>
          <w:tcPr>
            <w:tcW w:type="dxa" w:w="1881"/>
            <w:vAlign w:val="center"/>
            <w:shd w:val="clear" w:color="auto" w:fill="E3F2FD"/>
          </w:tcPr>
          <w:p>
            <w:pPr>
              <w:jc w:val="center"/>
            </w:pPr>
            <w:r>
              <w:rPr>
                <w:sz w:val="18"/>
              </w:rPr>
              <w:t>DNN</w:t>
            </w:r>
          </w:p>
        </w:tc>
        <w:tc>
          <w:tcPr>
            <w:tcW w:type="dxa" w:w="1881"/>
            <w:vAlign w:val="center"/>
            <w:shd w:val="clear" w:color="auto" w:fill="E3F2FD"/>
          </w:tcPr>
          <w:p>
            <w:pPr>
              <w:jc w:val="center"/>
            </w:pPr>
            <w:r>
              <w:rPr>
                <w:sz w:val="18"/>
              </w:rPr>
              <w:t>0.5320</w:t>
            </w:r>
          </w:p>
        </w:tc>
        <w:tc>
          <w:tcPr>
            <w:tcW w:type="dxa" w:w="1881"/>
            <w:vAlign w:val="center"/>
            <w:shd w:val="clear" w:color="auto" w:fill="E3F2FD"/>
          </w:tcPr>
          <w:p>
            <w:pPr>
              <w:jc w:val="center"/>
            </w:pPr>
            <w:r>
              <w:rPr>
                <w:sz w:val="18"/>
              </w:rPr>
              <w:t>2,491.6</w:t>
            </w:r>
          </w:p>
        </w:tc>
        <w:tc>
          <w:tcPr>
            <w:tcW w:type="dxa" w:w="1881"/>
            <w:vAlign w:val="center"/>
            <w:shd w:val="clear" w:color="auto" w:fill="E3F2FD"/>
          </w:tcPr>
          <w:p>
            <w:pPr>
              <w:jc w:val="center"/>
            </w:pPr>
            <w:r>
              <w:rPr>
                <w:sz w:val="18"/>
              </w:rPr>
              <w:t>12.30%</w:t>
            </w:r>
          </w:p>
        </w:tc>
        <w:tc>
          <w:tcPr>
            <w:tcW w:type="dxa" w:w="1881"/>
            <w:vAlign w:val="center"/>
            <w:shd w:val="clear" w:color="auto" w:fill="E3F2FD"/>
          </w:tcPr>
          <w:p>
            <w:pPr>
              <w:jc w:val="center"/>
            </w:pPr>
            <w:r>
              <w:rPr>
                <w:sz w:val="18"/>
              </w:rPr>
              <w:t>17,762.0</w:t>
            </w:r>
          </w:p>
        </w:tc>
      </w:tr>
      <w:tr>
        <w:tc>
          <w:tcPr>
            <w:tcW w:type="dxa" w:w="1881"/>
            <w:vAlign w:val="center"/>
            <w:shd w:val="clear" w:color="auto" w:fill="E3F2FD"/>
          </w:tcPr>
          <w:p>
            <w:pPr>
              <w:jc w:val="center"/>
            </w:pPr>
            <w:r>
              <w:rPr>
                <w:sz w:val="18"/>
              </w:rPr>
              <w:t>Ensemble_mean</w:t>
            </w:r>
          </w:p>
        </w:tc>
        <w:tc>
          <w:tcPr>
            <w:tcW w:type="dxa" w:w="1881"/>
            <w:vAlign w:val="center"/>
            <w:shd w:val="clear" w:color="auto" w:fill="E3F2FD"/>
          </w:tcPr>
          <w:p>
            <w:pPr>
              <w:jc w:val="center"/>
            </w:pPr>
            <w:r>
              <w:rPr>
                <w:sz w:val="18"/>
              </w:rPr>
              <w:t>0.5566</w:t>
            </w:r>
          </w:p>
        </w:tc>
        <w:tc>
          <w:tcPr>
            <w:tcW w:type="dxa" w:w="1881"/>
            <w:vAlign w:val="center"/>
            <w:shd w:val="clear" w:color="auto" w:fill="E3F2FD"/>
          </w:tcPr>
          <w:p>
            <w:pPr>
              <w:jc w:val="center"/>
            </w:pPr>
            <w:r>
              <w:rPr>
                <w:sz w:val="18"/>
              </w:rPr>
              <w:t>2,100.5</w:t>
            </w:r>
          </w:p>
        </w:tc>
        <w:tc>
          <w:tcPr>
            <w:tcW w:type="dxa" w:w="1881"/>
            <w:vAlign w:val="center"/>
            <w:shd w:val="clear" w:color="auto" w:fill="E3F2FD"/>
          </w:tcPr>
          <w:p>
            <w:pPr>
              <w:jc w:val="center"/>
            </w:pPr>
            <w:r>
              <w:rPr>
                <w:sz w:val="18"/>
              </w:rPr>
              <w:t>10.37%</w:t>
            </w:r>
          </w:p>
        </w:tc>
        <w:tc>
          <w:tcPr>
            <w:tcW w:type="dxa" w:w="1881"/>
            <w:vAlign w:val="center"/>
            <w:shd w:val="clear" w:color="auto" w:fill="E3F2FD"/>
          </w:tcPr>
          <w:p>
            <w:pPr>
              <w:jc w:val="center"/>
            </w:pPr>
            <w:r>
              <w:rPr>
                <w:sz w:val="18"/>
              </w:rPr>
              <w:t>18,153.0</w:t>
            </w:r>
          </w:p>
        </w:tc>
      </w:tr>
    </w:tbl>
    <w:p>
      <w:r>
        <w:rPr>
          <w:b/>
          <w:sz w:val="18"/>
        </w:rPr>
        <w:t xml:space="preserve">Table 4. </w:t>
      </w:r>
      <w:r>
        <w:rPr>
          <w:i/>
          <w:sz w:val="18"/>
        </w:rPr>
        <w:t>Binary flood area statistics for 10x models at CSI-optimal thresholds. Total valid study area: ~20,254 km².</w:t>
      </w:r>
    </w:p>
    <w:p/>
    <w:p>
      <w:pPr>
        <w:jc w:val="center"/>
      </w:pPr>
      <w:r>
        <w:drawing>
          <wp:inline xmlns:a="http://schemas.openxmlformats.org/drawingml/2006/main" xmlns:pic="http://schemas.openxmlformats.org/drawingml/2006/picture">
            <wp:extent cx="5669280" cy="2419192"/>
            <wp:docPr id="9" name="Picture 9"/>
            <wp:cNvGraphicFramePr>
              <a:graphicFrameLocks noChangeAspect="1"/>
            </wp:cNvGraphicFramePr>
            <a:graphic>
              <a:graphicData uri="http://schemas.openxmlformats.org/drawingml/2006/picture">
                <pic:pic>
                  <pic:nvPicPr>
                    <pic:cNvPr id="0" name="flood_area_comparison.png"/>
                    <pic:cNvPicPr/>
                  </pic:nvPicPr>
                  <pic:blipFill>
                    <a:blip r:embed="rId17"/>
                    <a:stretch>
                      <a:fillRect/>
                    </a:stretch>
                  </pic:blipFill>
                  <pic:spPr>
                    <a:xfrm>
                      <a:off x="0" y="0"/>
                      <a:ext cx="5669280" cy="2419192"/>
                    </a:xfrm>
                    <a:prstGeom prst="rect"/>
                  </pic:spPr>
                </pic:pic>
              </a:graphicData>
            </a:graphic>
          </wp:inline>
        </w:drawing>
      </w:r>
    </w:p>
    <w:p>
      <w:pPr>
        <w:jc w:val="center"/>
      </w:pPr>
      <w:r>
        <w:rPr>
          <w:i/>
          <w:color w:val="555555"/>
          <w:sz w:val="18"/>
        </w:rPr>
        <w:t>Figure 9. Predicted flood area (km²) and percentage per model (10x) at CSI-optimal thresholds.</w:t>
      </w:r>
    </w:p>
    <w:p/>
    <w:p>
      <w:r>
        <w:br w:type="page"/>
      </w:r>
    </w:p>
    <w:p>
      <w:pPr>
        <w:pStyle w:val="Heading1"/>
      </w:pPr>
      <w:r>
        <w:rPr>
          <w:color w:val="1A237E"/>
        </w:rPr>
        <w:t>7. SHAP Feature Importance</w:t>
      </w:r>
    </w:p>
    <w:p>
      <w:pPr>
        <w:pStyle w:val="Heading2"/>
      </w:pPr>
      <w:r>
        <w:rPr>
          <w:color w:val="1A237E"/>
        </w:rPr>
        <w:t>7.1 Top Features per Model (10x)</w:t>
      </w:r>
    </w:p>
    <w:p>
      <w:r>
        <w:t>SHAP mean absolute values were computed for all 19 conditioning factors. Table 5 lists the top five features per model at the 10x sample size.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237E"/>
            <w:vAlign w:val="center"/>
          </w:tcPr>
          <w:p>
            <w:pPr>
              <w:jc w:val="center"/>
            </w:pPr>
            <w:r>
              <w:rPr>
                <w:b/>
                <w:color w:val="FFFFFF"/>
                <w:sz w:val="18"/>
              </w:rPr>
              <w:t>Rank</w:t>
            </w:r>
          </w:p>
        </w:tc>
        <w:tc>
          <w:tcPr>
            <w:tcW w:type="dxa" w:w="1881"/>
            <w:shd w:val="clear" w:color="auto" w:fill="1A237E"/>
            <w:vAlign w:val="center"/>
          </w:tcPr>
          <w:p>
            <w:pPr>
              <w:jc w:val="center"/>
            </w:pPr>
            <w:r>
              <w:rPr>
                <w:b/>
                <w:color w:val="FFFFFF"/>
                <w:sz w:val="18"/>
              </w:rPr>
              <w:t>RF</w:t>
            </w:r>
          </w:p>
        </w:tc>
        <w:tc>
          <w:tcPr>
            <w:tcW w:type="dxa" w:w="1881"/>
            <w:shd w:val="clear" w:color="auto" w:fill="1A237E"/>
            <w:vAlign w:val="center"/>
          </w:tcPr>
          <w:p>
            <w:pPr>
              <w:jc w:val="center"/>
            </w:pPr>
            <w:r>
              <w:rPr>
                <w:b/>
                <w:color w:val="FFFFFF"/>
                <w:sz w:val="18"/>
              </w:rPr>
              <w:t>XGBoost</w:t>
            </w:r>
          </w:p>
        </w:tc>
        <w:tc>
          <w:tcPr>
            <w:tcW w:type="dxa" w:w="1881"/>
            <w:shd w:val="clear" w:color="auto" w:fill="1A237E"/>
            <w:vAlign w:val="center"/>
          </w:tcPr>
          <w:p>
            <w:pPr>
              <w:jc w:val="center"/>
            </w:pPr>
            <w:r>
              <w:rPr>
                <w:b/>
                <w:color w:val="FFFFFF"/>
                <w:sz w:val="18"/>
              </w:rPr>
              <w:t>CatBoost</w:t>
            </w:r>
          </w:p>
        </w:tc>
        <w:tc>
          <w:tcPr>
            <w:tcW w:type="dxa" w:w="1881"/>
            <w:shd w:val="clear" w:color="auto" w:fill="1A237E"/>
            <w:vAlign w:val="center"/>
          </w:tcPr>
          <w:p>
            <w:pPr>
              <w:jc w:val="center"/>
            </w:pPr>
            <w:r>
              <w:rPr>
                <w:b/>
                <w:color w:val="FFFFFF"/>
                <w:sz w:val="18"/>
              </w:rPr>
              <w:t>DNN</w:t>
            </w:r>
          </w:p>
        </w:tc>
      </w:tr>
      <w:tr>
        <w:tc>
          <w:tcPr>
            <w:tcW w:type="dxa" w:w="1881"/>
            <w:vAlign w:val="center"/>
            <w:shd w:val="clear" w:color="auto" w:fill="F5F5F5"/>
          </w:tcPr>
          <w:p>
            <w:pPr>
              <w:jc w:val="center"/>
            </w:pPr>
            <w:r>
              <w:rPr>
                <w:sz w:val="18"/>
              </w:rPr>
              <w:t>1</w:t>
            </w:r>
          </w:p>
        </w:tc>
        <w:tc>
          <w:tcPr>
            <w:tcW w:type="dxa" w:w="1881"/>
            <w:vAlign w:val="center"/>
            <w:shd w:val="clear" w:color="auto" w:fill="F5F5F5"/>
          </w:tcPr>
          <w:p>
            <w:pPr>
              <w:jc w:val="center"/>
            </w:pPr>
            <w:r>
              <w:rPr>
                <w:sz w:val="18"/>
              </w:rPr>
              <w:t>Soil_Type</w:t>
              <w:br/>
              <w:t>(0.1193)</w:t>
            </w:r>
          </w:p>
        </w:tc>
        <w:tc>
          <w:tcPr>
            <w:tcW w:type="dxa" w:w="1881"/>
            <w:vAlign w:val="center"/>
            <w:shd w:val="clear" w:color="auto" w:fill="F5F5F5"/>
          </w:tcPr>
          <w:p>
            <w:pPr>
              <w:jc w:val="center"/>
            </w:pPr>
            <w:r>
              <w:rPr>
                <w:sz w:val="18"/>
              </w:rPr>
              <w:t>Elevation</w:t>
              <w:br/>
              <w:t>(1.5506)</w:t>
            </w:r>
          </w:p>
        </w:tc>
        <w:tc>
          <w:tcPr>
            <w:tcW w:type="dxa" w:w="1881"/>
            <w:vAlign w:val="center"/>
            <w:shd w:val="clear" w:color="auto" w:fill="F5F5F5"/>
          </w:tcPr>
          <w:p>
            <w:pPr>
              <w:jc w:val="center"/>
            </w:pPr>
            <w:r>
              <w:rPr>
                <w:sz w:val="18"/>
              </w:rPr>
              <w:t>Elevation</w:t>
              <w:br/>
              <w:t>(1.7860)</w:t>
            </w:r>
          </w:p>
        </w:tc>
        <w:tc>
          <w:tcPr>
            <w:tcW w:type="dxa" w:w="1881"/>
            <w:vAlign w:val="center"/>
            <w:shd w:val="clear" w:color="auto" w:fill="F5F5F5"/>
          </w:tcPr>
          <w:p>
            <w:pPr>
              <w:jc w:val="center"/>
            </w:pPr>
            <w:r>
              <w:rPr>
                <w:sz w:val="18"/>
              </w:rPr>
              <w:t>HAND</w:t>
              <w:br/>
              <w:t>(1.5766)</w:t>
            </w:r>
          </w:p>
        </w:tc>
      </w:tr>
      <w:tr>
        <w:tc>
          <w:tcPr>
            <w:tcW w:type="dxa" w:w="1881"/>
            <w:vAlign w:val="center"/>
            <w:shd w:val="clear" w:color="auto" w:fill="FFFFFF"/>
          </w:tcPr>
          <w:p>
            <w:pPr>
              <w:jc w:val="center"/>
            </w:pPr>
            <w:r>
              <w:rPr>
                <w:sz w:val="18"/>
              </w:rPr>
              <w:t>2</w:t>
            </w:r>
          </w:p>
        </w:tc>
        <w:tc>
          <w:tcPr>
            <w:tcW w:type="dxa" w:w="1881"/>
            <w:vAlign w:val="center"/>
            <w:shd w:val="clear" w:color="auto" w:fill="FFFFFF"/>
          </w:tcPr>
          <w:p>
            <w:pPr>
              <w:jc w:val="center"/>
            </w:pPr>
            <w:r>
              <w:rPr>
                <w:sz w:val="18"/>
              </w:rPr>
              <w:t>HAND</w:t>
              <w:br/>
              <w:t>(0.0763)</w:t>
            </w:r>
          </w:p>
        </w:tc>
        <w:tc>
          <w:tcPr>
            <w:tcW w:type="dxa" w:w="1881"/>
            <w:vAlign w:val="center"/>
            <w:shd w:val="clear" w:color="auto" w:fill="FFFFFF"/>
          </w:tcPr>
          <w:p>
            <w:pPr>
              <w:jc w:val="center"/>
            </w:pPr>
            <w:r>
              <w:rPr>
                <w:sz w:val="18"/>
              </w:rPr>
              <w:t>HAND</w:t>
              <w:br/>
              <w:t>(1.2776)</w:t>
            </w:r>
          </w:p>
        </w:tc>
        <w:tc>
          <w:tcPr>
            <w:tcW w:type="dxa" w:w="1881"/>
            <w:vAlign w:val="center"/>
            <w:shd w:val="clear" w:color="auto" w:fill="FFFFFF"/>
          </w:tcPr>
          <w:p>
            <w:pPr>
              <w:jc w:val="center"/>
            </w:pPr>
            <w:r>
              <w:rPr>
                <w:sz w:val="18"/>
              </w:rPr>
              <w:t>Soil_Type</w:t>
              <w:br/>
              <w:t>(1.3355)</w:t>
            </w:r>
          </w:p>
        </w:tc>
        <w:tc>
          <w:tcPr>
            <w:tcW w:type="dxa" w:w="1881"/>
            <w:vAlign w:val="center"/>
            <w:shd w:val="clear" w:color="auto" w:fill="FFFFFF"/>
          </w:tcPr>
          <w:p>
            <w:pPr>
              <w:jc w:val="center"/>
            </w:pPr>
            <w:r>
              <w:rPr>
                <w:sz w:val="18"/>
              </w:rPr>
              <w:t>Soil_Type</w:t>
              <w:br/>
              <w:t>(1.2670)</w:t>
            </w:r>
          </w:p>
        </w:tc>
      </w:tr>
      <w:tr>
        <w:tc>
          <w:tcPr>
            <w:tcW w:type="dxa" w:w="1881"/>
            <w:vAlign w:val="center"/>
            <w:shd w:val="clear" w:color="auto" w:fill="F5F5F5"/>
          </w:tcPr>
          <w:p>
            <w:pPr>
              <w:jc w:val="center"/>
            </w:pPr>
            <w:r>
              <w:rPr>
                <w:sz w:val="18"/>
              </w:rPr>
              <w:t>3</w:t>
            </w:r>
          </w:p>
        </w:tc>
        <w:tc>
          <w:tcPr>
            <w:tcW w:type="dxa" w:w="1881"/>
            <w:vAlign w:val="center"/>
            <w:shd w:val="clear" w:color="auto" w:fill="F5F5F5"/>
          </w:tcPr>
          <w:p>
            <w:pPr>
              <w:jc w:val="center"/>
            </w:pPr>
            <w:r>
              <w:rPr>
                <w:sz w:val="18"/>
              </w:rPr>
              <w:t>TRI</w:t>
              <w:br/>
              <w:t>(0.0717)</w:t>
            </w:r>
          </w:p>
        </w:tc>
        <w:tc>
          <w:tcPr>
            <w:tcW w:type="dxa" w:w="1881"/>
            <w:vAlign w:val="center"/>
            <w:shd w:val="clear" w:color="auto" w:fill="F5F5F5"/>
          </w:tcPr>
          <w:p>
            <w:pPr>
              <w:jc w:val="center"/>
            </w:pPr>
            <w:r>
              <w:rPr>
                <w:sz w:val="18"/>
              </w:rPr>
              <w:t>Soil_Type</w:t>
              <w:br/>
              <w:t>(1.0105)</w:t>
            </w:r>
          </w:p>
        </w:tc>
        <w:tc>
          <w:tcPr>
            <w:tcW w:type="dxa" w:w="1881"/>
            <w:vAlign w:val="center"/>
            <w:shd w:val="clear" w:color="auto" w:fill="F5F5F5"/>
          </w:tcPr>
          <w:p>
            <w:pPr>
              <w:jc w:val="center"/>
            </w:pPr>
            <w:r>
              <w:rPr>
                <w:sz w:val="18"/>
              </w:rPr>
              <w:t>HAND</w:t>
              <w:br/>
              <w:t>(1.0529)</w:t>
            </w:r>
          </w:p>
        </w:tc>
        <w:tc>
          <w:tcPr>
            <w:tcW w:type="dxa" w:w="1881"/>
            <w:vAlign w:val="center"/>
            <w:shd w:val="clear" w:color="auto" w:fill="F5F5F5"/>
          </w:tcPr>
          <w:p>
            <w:pPr>
              <w:jc w:val="center"/>
            </w:pPr>
            <w:r>
              <w:rPr>
                <w:sz w:val="18"/>
              </w:rPr>
              <w:t>Elevation</w:t>
              <w:br/>
              <w:t>(1.2551)</w:t>
            </w:r>
          </w:p>
        </w:tc>
      </w:tr>
      <w:tr>
        <w:tc>
          <w:tcPr>
            <w:tcW w:type="dxa" w:w="1881"/>
            <w:vAlign w:val="center"/>
            <w:shd w:val="clear" w:color="auto" w:fill="FFFFFF"/>
          </w:tcPr>
          <w:p>
            <w:pPr>
              <w:jc w:val="center"/>
            </w:pPr>
            <w:r>
              <w:rPr>
                <w:sz w:val="18"/>
              </w:rPr>
              <w:t>4</w:t>
            </w:r>
          </w:p>
        </w:tc>
        <w:tc>
          <w:tcPr>
            <w:tcW w:type="dxa" w:w="1881"/>
            <w:vAlign w:val="center"/>
            <w:shd w:val="clear" w:color="auto" w:fill="FFFFFF"/>
          </w:tcPr>
          <w:p>
            <w:pPr>
              <w:jc w:val="center"/>
            </w:pPr>
            <w:r>
              <w:rPr>
                <w:sz w:val="18"/>
              </w:rPr>
              <w:t>Lithology</w:t>
              <w:br/>
              <w:t>(0.0648)</w:t>
            </w:r>
          </w:p>
        </w:tc>
        <w:tc>
          <w:tcPr>
            <w:tcW w:type="dxa" w:w="1881"/>
            <w:vAlign w:val="center"/>
            <w:shd w:val="clear" w:color="auto" w:fill="FFFFFF"/>
          </w:tcPr>
          <w:p>
            <w:pPr>
              <w:jc w:val="center"/>
            </w:pPr>
            <w:r>
              <w:rPr>
                <w:sz w:val="18"/>
              </w:rPr>
              <w:t>TRI</w:t>
              <w:br/>
              <w:t>(0.8346)</w:t>
            </w:r>
          </w:p>
        </w:tc>
        <w:tc>
          <w:tcPr>
            <w:tcW w:type="dxa" w:w="1881"/>
            <w:vAlign w:val="center"/>
            <w:shd w:val="clear" w:color="auto" w:fill="FFFFFF"/>
          </w:tcPr>
          <w:p>
            <w:pPr>
              <w:jc w:val="center"/>
            </w:pPr>
            <w:r>
              <w:rPr>
                <w:sz w:val="18"/>
              </w:rPr>
              <w:t>Lithology</w:t>
              <w:br/>
              <w:t>(0.8466)</w:t>
            </w:r>
          </w:p>
        </w:tc>
        <w:tc>
          <w:tcPr>
            <w:tcW w:type="dxa" w:w="1881"/>
            <w:vAlign w:val="center"/>
            <w:shd w:val="clear" w:color="auto" w:fill="FFFFFF"/>
          </w:tcPr>
          <w:p>
            <w:pPr>
              <w:jc w:val="center"/>
            </w:pPr>
            <w:r>
              <w:rPr>
                <w:sz w:val="18"/>
              </w:rPr>
              <w:t>Rain_P90</w:t>
              <w:br/>
              <w:t>(0.9099)</w:t>
            </w:r>
          </w:p>
        </w:tc>
      </w:tr>
      <w:tr>
        <w:tc>
          <w:tcPr>
            <w:tcW w:type="dxa" w:w="1881"/>
            <w:vAlign w:val="center"/>
            <w:shd w:val="clear" w:color="auto" w:fill="F5F5F5"/>
          </w:tcPr>
          <w:p>
            <w:pPr>
              <w:jc w:val="center"/>
            </w:pPr>
            <w:r>
              <w:rPr>
                <w:sz w:val="18"/>
              </w:rPr>
              <w:t>5</w:t>
            </w:r>
          </w:p>
        </w:tc>
        <w:tc>
          <w:tcPr>
            <w:tcW w:type="dxa" w:w="1881"/>
            <w:vAlign w:val="center"/>
            <w:shd w:val="clear" w:color="auto" w:fill="F5F5F5"/>
          </w:tcPr>
          <w:p>
            <w:pPr>
              <w:jc w:val="center"/>
            </w:pPr>
            <w:r>
              <w:rPr>
                <w:sz w:val="18"/>
              </w:rPr>
              <w:t>LS_Factor</w:t>
              <w:br/>
              <w:t>(0.0378)</w:t>
            </w:r>
          </w:p>
        </w:tc>
        <w:tc>
          <w:tcPr>
            <w:tcW w:type="dxa" w:w="1881"/>
            <w:vAlign w:val="center"/>
            <w:shd w:val="clear" w:color="auto" w:fill="F5F5F5"/>
          </w:tcPr>
          <w:p>
            <w:pPr>
              <w:jc w:val="center"/>
            </w:pPr>
            <w:r>
              <w:rPr>
                <w:sz w:val="18"/>
              </w:rPr>
              <w:t>Rain_P90</w:t>
              <w:br/>
              <w:t>(0.6950)</w:t>
            </w:r>
          </w:p>
        </w:tc>
        <w:tc>
          <w:tcPr>
            <w:tcW w:type="dxa" w:w="1881"/>
            <w:vAlign w:val="center"/>
            <w:shd w:val="clear" w:color="auto" w:fill="F5F5F5"/>
          </w:tcPr>
          <w:p>
            <w:pPr>
              <w:jc w:val="center"/>
            </w:pPr>
            <w:r>
              <w:rPr>
                <w:sz w:val="18"/>
              </w:rPr>
              <w:t>Rain_P90</w:t>
              <w:br/>
              <w:t>(0.8226)</w:t>
            </w:r>
          </w:p>
        </w:tc>
        <w:tc>
          <w:tcPr>
            <w:tcW w:type="dxa" w:w="1881"/>
            <w:vAlign w:val="center"/>
            <w:shd w:val="clear" w:color="auto" w:fill="F5F5F5"/>
          </w:tcPr>
          <w:p>
            <w:pPr>
              <w:jc w:val="center"/>
            </w:pPr>
            <w:r>
              <w:rPr>
                <w:sz w:val="18"/>
              </w:rPr>
              <w:t>Lithology</w:t>
              <w:br/>
              <w:t>(0.4976)</w:t>
            </w:r>
          </w:p>
        </w:tc>
      </w:tr>
    </w:tbl>
    <w:p>
      <w:r>
        <w:rPr>
          <w:b/>
          <w:sz w:val="18"/>
        </w:rPr>
        <w:t xml:space="preserve">Table 5. </w:t>
      </w:r>
      <w:r>
        <w:rPr>
          <w:i/>
          <w:sz w:val="18"/>
        </w:rPr>
        <w:t>Top 5 SHAP features per model at 10x sample size. Values in parentheses are mean |SHAP|.</w:t>
      </w:r>
    </w:p>
    <w:p/>
    <w:p>
      <w:pPr>
        <w:jc w:val="center"/>
      </w:pPr>
      <w:r>
        <w:drawing>
          <wp:inline xmlns:a="http://schemas.openxmlformats.org/drawingml/2006/main" xmlns:pic="http://schemas.openxmlformats.org/drawingml/2006/picture">
            <wp:extent cx="5943600" cy="4544090"/>
            <wp:docPr id="10" name="Picture 10"/>
            <wp:cNvGraphicFramePr>
              <a:graphicFrameLocks noChangeAspect="1"/>
            </wp:cNvGraphicFramePr>
            <a:graphic>
              <a:graphicData uri="http://schemas.openxmlformats.org/drawingml/2006/picture">
                <pic:pic>
                  <pic:nvPicPr>
                    <pic:cNvPr id="0" name="shap_importance_comparison.png"/>
                    <pic:cNvPicPr/>
                  </pic:nvPicPr>
                  <pic:blipFill>
                    <a:blip r:embed="rId18"/>
                    <a:stretch>
                      <a:fillRect/>
                    </a:stretch>
                  </pic:blipFill>
                  <pic:spPr>
                    <a:xfrm>
                      <a:off x="0" y="0"/>
                      <a:ext cx="5943600" cy="4544090"/>
                    </a:xfrm>
                    <a:prstGeom prst="rect"/>
                  </pic:spPr>
                </pic:pic>
              </a:graphicData>
            </a:graphic>
          </wp:inline>
        </w:drawing>
      </w:r>
    </w:p>
    <w:p>
      <w:pPr>
        <w:jc w:val="center"/>
      </w:pPr>
      <w:r>
        <w:rPr>
          <w:i/>
          <w:color w:val="555555"/>
          <w:sz w:val="18"/>
        </w:rPr>
        <w:t>Figure 10. Multi-model SHAP feature importance comparison (10x). Bar length = mean |SHAP| value; features sorted by RF importance.</w:t>
      </w:r>
    </w:p>
    <w:p/>
    <w:p>
      <w:pPr>
        <w:pStyle w:val="Heading2"/>
      </w:pPr>
      <w:r>
        <w:rPr>
          <w:color w:val="1A237E"/>
        </w:rPr>
        <w:t>7.2 Beeswarm Plots</w:t>
      </w:r>
    </w:p>
    <w:p>
      <w:r>
        <w:t>Beeswarm plots show both the magnitude and direction of SHAP effects. High HAND values consistently reduce flood susceptibility (negative SHAP), while specific soil types and low elevations increase susceptibility.</w:t>
      </w:r>
    </w:p>
    <w:p>
      <w:pPr>
        <w:jc w:val="center"/>
      </w:pPr>
      <w:r>
        <w:drawing>
          <wp:inline xmlns:a="http://schemas.openxmlformats.org/drawingml/2006/main" xmlns:pic="http://schemas.openxmlformats.org/drawingml/2006/picture">
            <wp:extent cx="5669280" cy="6704297"/>
            <wp:docPr id="11" name="Picture 11"/>
            <wp:cNvGraphicFramePr>
              <a:graphicFrameLocks noChangeAspect="1"/>
            </wp:cNvGraphicFramePr>
            <a:graphic>
              <a:graphicData uri="http://schemas.openxmlformats.org/drawingml/2006/picture">
                <pic:pic>
                  <pic:nvPicPr>
                    <pic:cNvPr id="0" name="shap_beeswarm_rf.png"/>
                    <pic:cNvPicPr/>
                  </pic:nvPicPr>
                  <pic:blipFill>
                    <a:blip r:embed="rId19"/>
                    <a:stretch>
                      <a:fillRect/>
                    </a:stretch>
                  </pic:blipFill>
                  <pic:spPr>
                    <a:xfrm>
                      <a:off x="0" y="0"/>
                      <a:ext cx="5669280" cy="6704297"/>
                    </a:xfrm>
                    <a:prstGeom prst="rect"/>
                  </pic:spPr>
                </pic:pic>
              </a:graphicData>
            </a:graphic>
          </wp:inline>
        </w:drawing>
      </w:r>
    </w:p>
    <w:p>
      <w:pPr>
        <w:jc w:val="center"/>
      </w:pPr>
      <w:r>
        <w:rPr>
          <w:i/>
          <w:color w:val="555555"/>
          <w:sz w:val="18"/>
        </w:rPr>
        <w:t>Figure 11. SHAP beeswarm plot for Random Forest (10x). Each dot is one test sample; colour indicates feature value (red = high, blue = low).</w:t>
      </w:r>
    </w:p>
    <w:p/>
    <w:p>
      <w:pPr>
        <w:jc w:val="center"/>
      </w:pPr>
      <w:r>
        <w:drawing>
          <wp:inline xmlns:a="http://schemas.openxmlformats.org/drawingml/2006/main" xmlns:pic="http://schemas.openxmlformats.org/drawingml/2006/picture">
            <wp:extent cx="5669280" cy="6704297"/>
            <wp:docPr id="12" name="Picture 12"/>
            <wp:cNvGraphicFramePr>
              <a:graphicFrameLocks noChangeAspect="1"/>
            </wp:cNvGraphicFramePr>
            <a:graphic>
              <a:graphicData uri="http://schemas.openxmlformats.org/drawingml/2006/picture">
                <pic:pic>
                  <pic:nvPicPr>
                    <pic:cNvPr id="0" name="shap_beeswarm_xgboost.png"/>
                    <pic:cNvPicPr/>
                  </pic:nvPicPr>
                  <pic:blipFill>
                    <a:blip r:embed="rId20"/>
                    <a:stretch>
                      <a:fillRect/>
                    </a:stretch>
                  </pic:blipFill>
                  <pic:spPr>
                    <a:xfrm>
                      <a:off x="0" y="0"/>
                      <a:ext cx="5669280" cy="6704297"/>
                    </a:xfrm>
                    <a:prstGeom prst="rect"/>
                  </pic:spPr>
                </pic:pic>
              </a:graphicData>
            </a:graphic>
          </wp:inline>
        </w:drawing>
      </w:r>
    </w:p>
    <w:p>
      <w:pPr>
        <w:jc w:val="center"/>
      </w:pPr>
      <w:r>
        <w:rPr>
          <w:i/>
          <w:color w:val="555555"/>
          <w:sz w:val="18"/>
        </w:rPr>
        <w:t>Figure 12. SHAP beeswarm plot for XGBoost (10x).</w:t>
      </w:r>
    </w:p>
    <w:p/>
    <w:p>
      <w:pPr>
        <w:pStyle w:val="Heading2"/>
      </w:pPr>
      <w:r>
        <w:rPr>
          <w:color w:val="1A237E"/>
        </w:rPr>
        <w:t>7.3 Cross-Size Feature Rank Stability</w:t>
      </w:r>
    </w:p>
    <w:p>
      <w:r>
        <w:t>Feature importance ranks were compared across all five sample sizes to assess stability. HAND, Elevation, Soil Type, and TRI maintained consistent top rankings regardless of sample size, confirming their role as primary flood conditioning factors in Slovenia.</w:t>
      </w:r>
    </w:p>
    <w:p>
      <w:pPr>
        <w:jc w:val="center"/>
      </w:pPr>
      <w:r>
        <w:drawing>
          <wp:inline xmlns:a="http://schemas.openxmlformats.org/drawingml/2006/main" xmlns:pic="http://schemas.openxmlformats.org/drawingml/2006/picture">
            <wp:extent cx="5943600" cy="2448371"/>
            <wp:docPr id="13" name="Picture 13"/>
            <wp:cNvGraphicFramePr>
              <a:graphicFrameLocks noChangeAspect="1"/>
            </wp:cNvGraphicFramePr>
            <a:graphic>
              <a:graphicData uri="http://schemas.openxmlformats.org/drawingml/2006/picture">
                <pic:pic>
                  <pic:nvPicPr>
                    <pic:cNvPr id="0" name="shap_rank_stability.png"/>
                    <pic:cNvPicPr/>
                  </pic:nvPicPr>
                  <pic:blipFill>
                    <a:blip r:embed="rId21"/>
                    <a:stretch>
                      <a:fillRect/>
                    </a:stretch>
                  </pic:blipFill>
                  <pic:spPr>
                    <a:xfrm>
                      <a:off x="0" y="0"/>
                      <a:ext cx="5943600" cy="2448371"/>
                    </a:xfrm>
                    <a:prstGeom prst="rect"/>
                  </pic:spPr>
                </pic:pic>
              </a:graphicData>
            </a:graphic>
          </wp:inline>
        </w:drawing>
      </w:r>
    </w:p>
    <w:p>
      <w:pPr>
        <w:jc w:val="center"/>
      </w:pPr>
      <w:r>
        <w:rPr>
          <w:i/>
          <w:color w:val="555555"/>
          <w:sz w:val="18"/>
        </w:rPr>
        <w:t>Figure 13. Feature rank stability heatmap across all sample sizes (1x–10x) and models. Lower rank number = higher importance. Consistent colours indicate stable rankings.</w:t>
      </w:r>
    </w:p>
    <w:p/>
    <w:p>
      <w:r>
        <w:br w:type="page"/>
      </w:r>
    </w:p>
    <w:p>
      <w:pPr>
        <w:pStyle w:val="Heading1"/>
      </w:pPr>
      <w:r>
        <w:rPr>
          <w:color w:val="1A237E"/>
        </w:rPr>
        <w:t>8. Discussion</w:t>
      </w:r>
    </w:p>
    <w:p>
      <w:pPr>
        <w:pStyle w:val="Heading2"/>
      </w:pPr>
      <w:r>
        <w:rPr>
          <w:color w:val="1A237E"/>
        </w:rPr>
        <w:t>8.1 Sample Size Effect</w:t>
      </w:r>
    </w:p>
    <w:p>
      <w:r>
        <w:t>Increasing training sample size from 1x (50k/class) to 10x (500k/class) yielded consistent improvements in standard validation metrics, with the largest gains between 1x and 2x (e.g., XGBoost AUC: 0.987 → 0.991). However, spatial CV metrics showed negligible change beyond 2x–3x. This divergence suggests that for spatially distributed environmental data, the marginal value of additional samples diminishes quickly once the feature space is adequately covered. The dominant source of uncertainty is spatial extrapolation, not insufficient training data quantity.</w:t>
      </w:r>
    </w:p>
    <w:p>
      <w:pPr>
        <w:pStyle w:val="Heading2"/>
      </w:pPr>
      <w:r>
        <w:rPr>
          <w:color w:val="1A237E"/>
        </w:rPr>
        <w:t>8.2 Model Comparison</w:t>
      </w:r>
    </w:p>
    <w:p>
      <w:r>
        <w:t>XGBoost demonstrated the highest discriminative power in standard validation across all sample sizes, benefiting from gradient boosting's ability to capture complex non-linear interactions with relatively lower overfitting risk. CatBoost performed similarly, with particularly strong handling of categorical features (Soil Type, Lithology). RF showed the most consistent spatial generalisation, likely due to its built-in variance-reducing ensemble mechanism and lower susceptibility to spatial autocorrelation compared to boosting algorithms. The DNN was competitive in spatial CV (AUC ≈ 0.963 at 10x) despite being the most complex model, benefiting from regularisation via BatchNorm and Dropout. The ensemble mean provided a robust consensus that slightly outperformed individual models in several metrics, particularly precision and specificity.</w:t>
      </w:r>
    </w:p>
    <w:p>
      <w:pPr>
        <w:pStyle w:val="Heading2"/>
      </w:pPr>
      <w:r>
        <w:rPr>
          <w:color w:val="1A237E"/>
        </w:rPr>
        <w:t>8.3 Physical Interpretation</w:t>
      </w:r>
    </w:p>
    <w:p>
      <w:r>
        <w:t>The SHAP analysis provides physically interpretable results consistent with flood dynamics. HAND (Height Above Nearest Drainage) emerges as the dominant topographic driver — areas close to stream level (low HAND) are inherently more prone to flooding. Elevation acts as a broader topographic control, with lower-elevation floodplains showing higher susceptibility. Soil Type is the leading non-topographic factor, reflecting infiltration capacity and runoff generation potential — poorly draining soils increase susceptibility. TRI captures terrain roughness that controls lateral flow pathways. The 90th percentile of annual maximum daily rainfall (Rain_P90) emerged prominently in boosting models, correctly reflecting the role of extreme precipitation events in driving flood occurrence.</w:t>
      </w:r>
    </w:p>
    <w:p>
      <w:pPr>
        <w:pStyle w:val="Heading2"/>
      </w:pPr>
      <w:r>
        <w:rPr>
          <w:color w:val="1A237E"/>
        </w:rPr>
        <w:t>8.4 Limitations</w:t>
      </w:r>
    </w:p>
    <w:p>
      <w:pPr>
        <w:pStyle w:val="ListBullet"/>
      </w:pPr>
      <w:r>
        <w:rPr>
          <w:sz w:val="20"/>
        </w:rPr>
        <w:t>Flood inventory completeness: the reference flood layer may not capture all historical events, potentially underrepresenting flash floods in steep terrain.</w:t>
      </w:r>
    </w:p>
    <w:p>
      <w:pPr>
        <w:pStyle w:val="ListBullet"/>
      </w:pPr>
      <w:r>
        <w:rPr>
          <w:sz w:val="20"/>
        </w:rPr>
        <w:t>Static conditioning factors: time-varying factors (soil moisture, snowmelt, land use change) are not included. The maps represent long-term susceptibility, not event-specific forecast.</w:t>
      </w:r>
    </w:p>
    <w:p>
      <w:pPr>
        <w:pStyle w:val="ListBullet"/>
      </w:pPr>
      <w:r>
        <w:rPr>
          <w:sz w:val="20"/>
        </w:rPr>
        <w:t>Spatial autocorrelation: even with 50 km block CV, some spatial autocorrelation may remain within blocks, making CV metrics an upper bound of true spatial generalisation.</w:t>
      </w:r>
    </w:p>
    <w:p>
      <w:pPr>
        <w:pStyle w:val="ListBullet"/>
      </w:pPr>
      <w:r>
        <w:rPr>
          <w:sz w:val="20"/>
        </w:rPr>
        <w:t>Non-flood sampling: non-flood samples were drawn randomly from non-flooded areas and may include some flood-prone pixels not captured in the reference dataset.</w:t>
      </w:r>
    </w:p>
    <w:p>
      <w:r>
        <w:br w:type="page"/>
      </w:r>
    </w:p>
    <w:p>
      <w:pPr>
        <w:pStyle w:val="Heading1"/>
      </w:pPr>
      <w:r>
        <w:rPr>
          <w:color w:val="1A237E"/>
        </w:rPr>
        <w:t>9. Conclusions</w:t>
      </w:r>
    </w:p>
    <w:p>
      <w:r>
        <w:t>This study produced high-resolution (12.5 m) flood susceptibility maps for Slovenia using four ML models trained at five sample sizes, with comprehensive validation including 5-fold spatial block cross-validation and SHAP explainability analysis. Key conclusions:</w:t>
      </w:r>
    </w:p>
    <w:p>
      <w:pPr>
        <w:pStyle w:val="ListBullet"/>
      </w:pPr>
      <w:r>
        <w:rPr>
          <w:sz w:val="20"/>
        </w:rPr>
        <w:t>XGBoost is the best-performing model for standard prediction tasks (AUC = 0.994, CSI = 0.940 at 10x).</w:t>
      </w:r>
    </w:p>
    <w:p>
      <w:pPr>
        <w:pStyle w:val="ListBullet"/>
      </w:pPr>
      <w:r>
        <w:rPr>
          <w:sz w:val="20"/>
        </w:rPr>
        <w:t>Random Forest shows the most robust spatial generalisation (spatial CV AUC ≈ 0.965 across all sizes) and is recommended for applications requiring high transferability to new regions.</w:t>
      </w:r>
    </w:p>
    <w:p>
      <w:pPr>
        <w:pStyle w:val="ListBullet"/>
      </w:pPr>
      <w:r>
        <w:rPr>
          <w:sz w:val="20"/>
        </w:rPr>
        <w:t>The ensemble mean model offers a reliable, model-agnostic flood susceptibility estimate predicting ~2,176 km² of flood-prone land (~10.7% of Slovenia).</w:t>
      </w:r>
    </w:p>
    <w:p>
      <w:pPr>
        <w:pStyle w:val="ListBullet"/>
      </w:pPr>
      <w:r>
        <w:rPr>
          <w:sz w:val="20"/>
        </w:rPr>
        <w:t>HAND, Elevation, Soil Type, TRI, and Lithology are the dominant conditioning factors, consistent across all models and sample sizes — confirming the physical validity of the approach.</w:t>
      </w:r>
    </w:p>
    <w:p>
      <w:pPr>
        <w:pStyle w:val="ListBullet"/>
      </w:pPr>
      <w:r>
        <w:rPr>
          <w:sz w:val="20"/>
        </w:rPr>
        <w:t>Spatial CV reveals that increasing training size beyond 3x–4x provides diminishing returns on spatial generalisation; future work should focus on reducing spatial autocorrelation bias.</w:t>
      </w:r>
    </w:p>
    <w:p>
      <w:pPr>
        <w:pStyle w:val="ListBullet"/>
      </w:pPr>
      <w:r>
        <w:rPr>
          <w:sz w:val="20"/>
        </w:rPr>
        <w:t>The 10x (500k/class) models represent the recommended operational configuration, balancing computational cost against marginal performance gains.</w:t>
      </w:r>
    </w:p>
    <w:p>
      <w:r>
        <w:br w:type="page"/>
      </w:r>
    </w:p>
    <w:p>
      <w:pPr>
        <w:pStyle w:val="Heading1"/>
      </w:pPr>
      <w:r>
        <w:rPr>
          <w:color w:val="1A237E"/>
        </w:rPr>
        <w:t>10. Output File Index</w:t>
      </w:r>
    </w:p>
    <w:p>
      <w:r>
        <w:t>All outputs are saved under ML_Results/ in the project directory. The following directory structure summarises the key files: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237E"/>
            <w:vAlign w:val="center"/>
          </w:tcPr>
          <w:p>
            <w:pPr>
              <w:jc w:val="center"/>
            </w:pPr>
            <w:r>
              <w:rPr>
                <w:b/>
                <w:color w:val="FFFFFF"/>
                <w:sz w:val="18"/>
              </w:rPr>
              <w:t>Directory</w:t>
            </w:r>
          </w:p>
        </w:tc>
        <w:tc>
          <w:tcPr>
            <w:tcW w:type="dxa" w:w="4703"/>
            <w:shd w:val="clear" w:color="auto" w:fill="1A237E"/>
            <w:vAlign w:val="center"/>
          </w:tcPr>
          <w:p>
            <w:pPr>
              <w:jc w:val="center"/>
            </w:pPr>
            <w:r>
              <w:rPr>
                <w:b/>
                <w:color w:val="FFFFFF"/>
                <w:sz w:val="18"/>
              </w:rPr>
              <w:t>Contents</w:t>
            </w:r>
          </w:p>
        </w:tc>
      </w:tr>
      <w:tr>
        <w:tc>
          <w:tcPr>
            <w:tcW w:type="dxa" w:w="4703"/>
            <w:shd w:val="clear" w:color="auto" w:fill="F5F5F5"/>
          </w:tcPr>
          <w:p>
            <w:r>
              <w:rPr>
                <w:rFonts w:ascii="Courier New" w:hAnsi="Courier New"/>
                <w:sz w:val="16"/>
              </w:rPr>
              <w:t>models_{size}/</w:t>
            </w:r>
          </w:p>
        </w:tc>
        <w:tc>
          <w:tcPr>
            <w:tcW w:type="dxa" w:w="4703"/>
            <w:shd w:val="clear" w:color="auto" w:fill="F5F5F5"/>
          </w:tcPr>
          <w:p>
            <w:r>
              <w:rPr>
                <w:sz w:val="18"/>
              </w:rPr>
              <w:t>Trained model files (model_rf.pkl, model_xgb.json, model_cat.cbm, model_dnn.pth, scaler.pkl)</w:t>
            </w:r>
          </w:p>
        </w:tc>
      </w:tr>
      <w:tr>
        <w:tc>
          <w:tcPr>
            <w:tcW w:type="dxa" w:w="4703"/>
            <w:shd w:val="clear" w:color="auto" w:fill="FFFFFF"/>
          </w:tcPr>
          <w:p>
            <w:r>
              <w:rPr>
                <w:rFonts w:ascii="Courier New" w:hAnsi="Courier New"/>
                <w:sz w:val="16"/>
              </w:rPr>
              <w:t>probability_maps/{size}/</w:t>
            </w:r>
          </w:p>
        </w:tc>
        <w:tc>
          <w:tcPr>
            <w:tcW w:type="dxa" w:w="4703"/>
            <w:shd w:val="clear" w:color="auto" w:fill="FFFFFF"/>
          </w:tcPr>
          <w:p>
            <w:r>
              <w:rPr>
                <w:sz w:val="18"/>
              </w:rPr>
              <w:t>Five probability rasters (FSM_{model}_probability.tif) per sample size</w:t>
            </w:r>
          </w:p>
        </w:tc>
      </w:tr>
      <w:tr>
        <w:tc>
          <w:tcPr>
            <w:tcW w:type="dxa" w:w="4703"/>
            <w:shd w:val="clear" w:color="auto" w:fill="F5F5F5"/>
          </w:tcPr>
          <w:p>
            <w:r>
              <w:rPr>
                <w:rFonts w:ascii="Courier New" w:hAnsi="Courier New"/>
                <w:sz w:val="16"/>
              </w:rPr>
              <w:t>classified_maps/{size}/</w:t>
            </w:r>
          </w:p>
        </w:tc>
        <w:tc>
          <w:tcPr>
            <w:tcW w:type="dxa" w:w="4703"/>
            <w:shd w:val="clear" w:color="auto" w:fill="F5F5F5"/>
          </w:tcPr>
          <w:p>
            <w:r>
              <w:rPr>
                <w:sz w:val="18"/>
              </w:rPr>
              <w:t>Binary (flood/no-flood) and 5-class susceptibility TIFs per model per size</w:t>
            </w:r>
          </w:p>
        </w:tc>
      </w:tr>
      <w:tr>
        <w:tc>
          <w:tcPr>
            <w:tcW w:type="dxa" w:w="4703"/>
            <w:shd w:val="clear" w:color="auto" w:fill="FFFFFF"/>
          </w:tcPr>
          <w:p>
            <w:r>
              <w:rPr>
                <w:rFonts w:ascii="Courier New" w:hAnsi="Courier New"/>
                <w:sz w:val="16"/>
              </w:rPr>
              <w:t>validation/{size}/</w:t>
            </w:r>
          </w:p>
        </w:tc>
        <w:tc>
          <w:tcPr>
            <w:tcW w:type="dxa" w:w="4703"/>
            <w:shd w:val="clear" w:color="auto" w:fill="FFFFFF"/>
          </w:tcPr>
          <w:p>
            <w:r>
              <w:rPr>
                <w:sz w:val="18"/>
              </w:rPr>
              <w:t>Threshold summary CSV, validation metrics CSV, ROC / confusion / CSI / bar plots</w:t>
            </w:r>
          </w:p>
        </w:tc>
      </w:tr>
      <w:tr>
        <w:tc>
          <w:tcPr>
            <w:tcW w:type="dxa" w:w="4703"/>
            <w:shd w:val="clear" w:color="auto" w:fill="F5F5F5"/>
          </w:tcPr>
          <w:p>
            <w:r>
              <w:rPr>
                <w:rFonts w:ascii="Courier New" w:hAnsi="Courier New"/>
                <w:sz w:val="16"/>
              </w:rPr>
              <w:t>validation/</w:t>
            </w:r>
          </w:p>
        </w:tc>
        <w:tc>
          <w:tcPr>
            <w:tcW w:type="dxa" w:w="4703"/>
            <w:shd w:val="clear" w:color="auto" w:fill="F5F5F5"/>
          </w:tcPr>
          <w:p>
            <w:r>
              <w:rPr>
                <w:sz w:val="18"/>
              </w:rPr>
              <w:t>multiscale_validation.csv, multiscale_comparison.png (cross-size)</w:t>
            </w:r>
          </w:p>
        </w:tc>
      </w:tr>
      <w:tr>
        <w:tc>
          <w:tcPr>
            <w:tcW w:type="dxa" w:w="4703"/>
            <w:shd w:val="clear" w:color="auto" w:fill="FFFFFF"/>
          </w:tcPr>
          <w:p>
            <w:r>
              <w:rPr>
                <w:rFonts w:ascii="Courier New" w:hAnsi="Courier New"/>
                <w:sz w:val="16"/>
              </w:rPr>
              <w:t>spatial_cv/{size}/</w:t>
            </w:r>
          </w:p>
        </w:tc>
        <w:tc>
          <w:tcPr>
            <w:tcW w:type="dxa" w:w="4703"/>
            <w:shd w:val="clear" w:color="auto" w:fill="FFFFFF"/>
          </w:tcPr>
          <w:p>
            <w:r>
              <w:rPr>
                <w:sz w:val="18"/>
              </w:rPr>
              <w:t>Fold assignments CSV, per-fold metrics, mean metrics, fold map, CV comparison plots</w:t>
            </w:r>
          </w:p>
        </w:tc>
      </w:tr>
      <w:tr>
        <w:tc>
          <w:tcPr>
            <w:tcW w:type="dxa" w:w="4703"/>
            <w:shd w:val="clear" w:color="auto" w:fill="F5F5F5"/>
          </w:tcPr>
          <w:p>
            <w:r>
              <w:rPr>
                <w:rFonts w:ascii="Courier New" w:hAnsi="Courier New"/>
                <w:sz w:val="16"/>
              </w:rPr>
              <w:t>spatial_cv/</w:t>
            </w:r>
          </w:p>
        </w:tc>
        <w:tc>
          <w:tcPr>
            <w:tcW w:type="dxa" w:w="4703"/>
            <w:shd w:val="clear" w:color="auto" w:fill="F5F5F5"/>
          </w:tcPr>
          <w:p>
            <w:r>
              <w:rPr>
                <w:sz w:val="18"/>
              </w:rPr>
              <w:t>multiscale_cv_summary.csv (cross-size spatial CV)</w:t>
            </w:r>
          </w:p>
        </w:tc>
      </w:tr>
      <w:tr>
        <w:tc>
          <w:tcPr>
            <w:tcW w:type="dxa" w:w="4703"/>
            <w:shd w:val="clear" w:color="auto" w:fill="FFFFFF"/>
          </w:tcPr>
          <w:p>
            <w:r>
              <w:rPr>
                <w:rFonts w:ascii="Courier New" w:hAnsi="Courier New"/>
                <w:sz w:val="16"/>
              </w:rPr>
              <w:t>shap/{size}/</w:t>
            </w:r>
          </w:p>
        </w:tc>
        <w:tc>
          <w:tcPr>
            <w:tcW w:type="dxa" w:w="4703"/>
            <w:shd w:val="clear" w:color="auto" w:fill="FFFFFF"/>
          </w:tcPr>
          <w:p>
            <w:r>
              <w:rPr>
                <w:sz w:val="18"/>
              </w:rPr>
              <w:t>Beeswarm, bar, dependence plots per model; shap_importance_all_models.csv</w:t>
            </w:r>
          </w:p>
        </w:tc>
      </w:tr>
      <w:tr>
        <w:tc>
          <w:tcPr>
            <w:tcW w:type="dxa" w:w="4703"/>
            <w:shd w:val="clear" w:color="auto" w:fill="F5F5F5"/>
          </w:tcPr>
          <w:p>
            <w:r>
              <w:rPr>
                <w:rFonts w:ascii="Courier New" w:hAnsi="Courier New"/>
                <w:sz w:val="16"/>
              </w:rPr>
              <w:t>shap/</w:t>
            </w:r>
          </w:p>
        </w:tc>
        <w:tc>
          <w:tcPr>
            <w:tcW w:type="dxa" w:w="4703"/>
            <w:shd w:val="clear" w:color="auto" w:fill="F5F5F5"/>
          </w:tcPr>
          <w:p>
            <w:r>
              <w:rPr>
                <w:sz w:val="18"/>
              </w:rPr>
              <w:t>shap_importance_all_sizes.csv, shap_rank_stability.png (cross-size)</w:t>
            </w:r>
          </w:p>
        </w:tc>
      </w:tr>
      <w:tr>
        <w:tc>
          <w:tcPr>
            <w:tcW w:type="dxa" w:w="4703"/>
            <w:shd w:val="clear" w:color="auto" w:fill="FFFFFF"/>
          </w:tcPr>
          <w:p>
            <w:r>
              <w:rPr>
                <w:rFonts w:ascii="Courier New" w:hAnsi="Courier New"/>
                <w:sz w:val="16"/>
              </w:rPr>
              <w:t>analysis/</w:t>
            </w:r>
          </w:p>
        </w:tc>
        <w:tc>
          <w:tcPr>
            <w:tcW w:type="dxa" w:w="4703"/>
            <w:shd w:val="clear" w:color="auto" w:fill="FFFFFF"/>
          </w:tcPr>
          <w:p>
            <w:r>
              <w:rPr>
                <w:sz w:val="18"/>
              </w:rPr>
              <w:t>class_area_statistics.csv, binary_flood_statistics.csv, area comparison plots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