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06A1" w14:textId="77777777" w:rsidR="00627C7F" w:rsidRDefault="00000000">
      <w:pPr>
        <w:spacing w:before="80" w:after="40"/>
      </w:pPr>
      <w:r>
        <w:rPr>
          <w:rFonts w:ascii="Arial" w:eastAsia="Arial" w:hAnsi="Arial" w:cs="Arial"/>
          <w:b/>
          <w:bCs/>
          <w:color w:val="1F3864"/>
          <w:sz w:val="40"/>
          <w:szCs w:val="40"/>
        </w:rPr>
        <w:t>Worker Job Security Index (WJSI)</w:t>
      </w:r>
    </w:p>
    <w:p w14:paraId="54203C8F" w14:textId="77777777" w:rsidR="00627C7F" w:rsidRDefault="00000000">
      <w:pPr>
        <w:spacing w:after="60"/>
      </w:pPr>
      <w:r>
        <w:rPr>
          <w:rFonts w:ascii="Arial" w:eastAsia="Arial" w:hAnsi="Arial" w:cs="Arial"/>
          <w:i/>
          <w:iCs/>
          <w:color w:val="44546A"/>
          <w:sz w:val="26"/>
          <w:szCs w:val="26"/>
        </w:rPr>
        <w:t>A New Composite Measure of Structural Job Security</w:t>
      </w:r>
    </w:p>
    <w:p w14:paraId="73C00D44" w14:textId="77777777" w:rsidR="00627C7F" w:rsidRDefault="00627C7F">
      <w:pPr>
        <w:pBdr>
          <w:bottom w:val="single" w:sz="6" w:space="1" w:color="BDD0E9"/>
        </w:pBdr>
        <w:spacing w:after="160"/>
      </w:pPr>
    </w:p>
    <w:p w14:paraId="29C9E94F" w14:textId="77777777" w:rsidR="00627C7F" w:rsidRDefault="00000000">
      <w:pPr>
        <w:spacing w:before="280" w:after="80"/>
      </w:pPr>
      <w:r>
        <w:rPr>
          <w:rFonts w:ascii="Arial" w:eastAsia="Arial" w:hAnsi="Arial" w:cs="Arial"/>
          <w:b/>
          <w:bCs/>
          <w:color w:val="1F3864"/>
          <w:spacing w:val="40"/>
        </w:rPr>
        <w:t>1.  BACKGROUND &amp; MOTIVATION</w:t>
      </w:r>
    </w:p>
    <w:p w14:paraId="4DC4C049" w14:textId="77777777" w:rsidR="00D154F9" w:rsidRDefault="006C6B9A" w:rsidP="00D154F9">
      <w:pPr>
        <w:spacing w:after="140"/>
        <w:jc w:val="both"/>
        <w:rPr>
          <w:rFonts w:ascii="Arial" w:eastAsia="Arial" w:hAnsi="Arial" w:cs="Arial"/>
          <w:color w:val="222222"/>
          <w:sz w:val="22"/>
          <w:szCs w:val="22"/>
        </w:rPr>
      </w:pPr>
      <w:r>
        <w:rPr>
          <w:rFonts w:ascii="Arial" w:eastAsia="Arial" w:hAnsi="Arial" w:cs="Arial"/>
          <w:color w:val="222222"/>
          <w:sz w:val="22"/>
          <w:szCs w:val="22"/>
        </w:rPr>
        <w:br/>
        <w:t xml:space="preserve">How strong is the U.S. economy? </w:t>
      </w:r>
      <w:r w:rsidR="00D154F9">
        <w:rPr>
          <w:rFonts w:ascii="Arial" w:eastAsia="Arial" w:hAnsi="Arial" w:cs="Arial"/>
          <w:color w:val="222222"/>
          <w:sz w:val="22"/>
          <w:szCs w:val="22"/>
        </w:rPr>
        <w:t xml:space="preserve">This is the central macroeconomic puzzle of our time.  </w:t>
      </w:r>
    </w:p>
    <w:p w14:paraId="14EE210A" w14:textId="3C03B002" w:rsidR="006C6B9A" w:rsidRDefault="00D154F9">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Macro statistics have consistently indicated an economy that is nearly as strong as it has ever been, while consumer surveys suggest an economy that is deep in crisis.   Macroeconomic analysis can’t seem to avoid partisanship and there is a clear partisan bias in the survey data that flips when the President’s party has changed, but </w:t>
      </w:r>
      <w:hyperlink r:id="rId7" w:history="1">
        <w:r w:rsidRPr="00D154F9">
          <w:rPr>
            <w:rStyle w:val="Hyperlink"/>
            <w:rFonts w:ascii="Arial" w:eastAsia="Arial" w:hAnsi="Arial" w:cs="Arial"/>
            <w:sz w:val="22"/>
            <w:szCs w:val="22"/>
          </w:rPr>
          <w:t>the pattern is not fully explained by partisan sentiment.</w:t>
        </w:r>
      </w:hyperlink>
      <w:r>
        <w:rPr>
          <w:rFonts w:ascii="Arial" w:eastAsia="Arial" w:hAnsi="Arial" w:cs="Arial"/>
          <w:color w:val="222222"/>
          <w:sz w:val="22"/>
          <w:szCs w:val="22"/>
        </w:rPr>
        <w:t xml:space="preserve"> E</w:t>
      </w:r>
      <w:r>
        <w:rPr>
          <w:rFonts w:ascii="Arial" w:eastAsia="Arial" w:hAnsi="Arial" w:cs="Arial"/>
          <w:color w:val="222222"/>
          <w:sz w:val="22"/>
          <w:szCs w:val="22"/>
        </w:rPr>
        <w:t xml:space="preserve">ven with inflation, real wage growth was positive under Biden; even with net private sector job growth flat for the last year, unemployment is near </w:t>
      </w:r>
      <w:proofErr w:type="spellStart"/>
      <w:r>
        <w:rPr>
          <w:rFonts w:ascii="Arial" w:eastAsia="Arial" w:hAnsi="Arial" w:cs="Arial"/>
          <w:color w:val="222222"/>
          <w:sz w:val="22"/>
          <w:szCs w:val="22"/>
        </w:rPr>
        <w:t>all time</w:t>
      </w:r>
      <w:proofErr w:type="spellEnd"/>
      <w:r>
        <w:rPr>
          <w:rFonts w:ascii="Arial" w:eastAsia="Arial" w:hAnsi="Arial" w:cs="Arial"/>
          <w:color w:val="222222"/>
          <w:sz w:val="22"/>
          <w:szCs w:val="22"/>
        </w:rPr>
        <w:t xml:space="preserve"> lows</w:t>
      </w:r>
      <w:r>
        <w:rPr>
          <w:rFonts w:ascii="Arial" w:eastAsia="Arial" w:hAnsi="Arial" w:cs="Arial"/>
          <w:color w:val="222222"/>
          <w:sz w:val="22"/>
          <w:szCs w:val="22"/>
        </w:rPr>
        <w:t xml:space="preserve">.  </w:t>
      </w:r>
    </w:p>
    <w:p w14:paraId="24FAC41A" w14:textId="67852D18" w:rsidR="00D154F9" w:rsidRDefault="00D154F9">
      <w:pPr>
        <w:spacing w:after="140"/>
        <w:jc w:val="both"/>
        <w:rPr>
          <w:rFonts w:ascii="Arial" w:eastAsia="Arial" w:hAnsi="Arial" w:cs="Arial"/>
          <w:color w:val="222222"/>
          <w:sz w:val="22"/>
          <w:szCs w:val="22"/>
        </w:rPr>
      </w:pPr>
      <w:r>
        <w:rPr>
          <w:rFonts w:ascii="Arial" w:eastAsia="Arial" w:hAnsi="Arial" w:cs="Arial"/>
          <w:color w:val="222222"/>
          <w:sz w:val="22"/>
          <w:szCs w:val="22"/>
        </w:rPr>
        <w:t>This paper explores whether there is a deeper structural shift</w:t>
      </w:r>
      <w:r w:rsidR="002257B1">
        <w:rPr>
          <w:rFonts w:ascii="Arial" w:eastAsia="Arial" w:hAnsi="Arial" w:cs="Arial"/>
          <w:color w:val="222222"/>
          <w:sz w:val="22"/>
          <w:szCs w:val="22"/>
        </w:rPr>
        <w:t xml:space="preserve"> in the labor market that can account for this gap between consumer sentiment and </w:t>
      </w:r>
      <w:proofErr w:type="spellStart"/>
      <w:r w:rsidR="002257B1">
        <w:rPr>
          <w:rFonts w:ascii="Arial" w:eastAsia="Arial" w:hAnsi="Arial" w:cs="Arial"/>
          <w:color w:val="222222"/>
          <w:sz w:val="22"/>
          <w:szCs w:val="22"/>
        </w:rPr>
        <w:t>macro</w:t>
      </w:r>
      <w:proofErr w:type="spellEnd"/>
      <w:r w:rsidR="002257B1">
        <w:rPr>
          <w:rFonts w:ascii="Arial" w:eastAsia="Arial" w:hAnsi="Arial" w:cs="Arial"/>
          <w:color w:val="222222"/>
          <w:sz w:val="22"/>
          <w:szCs w:val="22"/>
        </w:rPr>
        <w:t xml:space="preserve"> statistics.  It proposes a composite measure of worker job security that may help explain this divergence. </w:t>
      </w:r>
    </w:p>
    <w:p w14:paraId="42083C10" w14:textId="14BBAA0B" w:rsidR="00627C7F" w:rsidRPr="002257B1" w:rsidRDefault="002257B1">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There is a lively debate about whether our economic statistics – whether unemployment, inflation, or GDP accurately capture what </w:t>
      </w:r>
      <w:proofErr w:type="gramStart"/>
      <w:r>
        <w:rPr>
          <w:rFonts w:ascii="Arial" w:eastAsia="Arial" w:hAnsi="Arial" w:cs="Arial"/>
          <w:color w:val="222222"/>
          <w:sz w:val="22"/>
          <w:szCs w:val="22"/>
        </w:rPr>
        <w:t>we as a society</w:t>
      </w:r>
      <w:proofErr w:type="gramEnd"/>
      <w:r>
        <w:rPr>
          <w:rFonts w:ascii="Arial" w:eastAsia="Arial" w:hAnsi="Arial" w:cs="Arial"/>
          <w:color w:val="222222"/>
          <w:sz w:val="22"/>
          <w:szCs w:val="22"/>
        </w:rPr>
        <w:t xml:space="preserve"> care about in the economy.  This paper aims to add to that debate by noting that whether you have a job, while important, may be less important to your perception of the economy than whether you feel SECURE in that job.  </w:t>
      </w:r>
    </w:p>
    <w:p w14:paraId="50F50CC6" w14:textId="0B100C66" w:rsidR="00627C7F" w:rsidRDefault="00000000">
      <w:pPr>
        <w:spacing w:after="140"/>
        <w:jc w:val="both"/>
      </w:pPr>
      <w:r>
        <w:rPr>
          <w:rFonts w:ascii="Arial" w:eastAsia="Arial" w:hAnsi="Arial" w:cs="Arial"/>
          <w:color w:val="222222"/>
          <w:sz w:val="22"/>
          <w:szCs w:val="22"/>
        </w:rPr>
        <w:t>Between 2022 and 202</w:t>
      </w:r>
      <w:r w:rsidR="006D1264">
        <w:rPr>
          <w:rFonts w:ascii="Arial" w:eastAsia="Arial" w:hAnsi="Arial" w:cs="Arial"/>
          <w:color w:val="222222"/>
          <w:sz w:val="22"/>
          <w:szCs w:val="22"/>
        </w:rPr>
        <w:t>5</w:t>
      </w:r>
      <w:r>
        <w:rPr>
          <w:rFonts w:ascii="Arial" w:eastAsia="Arial" w:hAnsi="Arial" w:cs="Arial"/>
          <w:color w:val="222222"/>
          <w:sz w:val="22"/>
          <w:szCs w:val="22"/>
        </w:rPr>
        <w:t xml:space="preserve">, the U-3 unemployment rate remained </w:t>
      </w:r>
      <w:r w:rsidR="006D1264">
        <w:rPr>
          <w:rFonts w:ascii="Arial" w:eastAsia="Arial" w:hAnsi="Arial" w:cs="Arial"/>
          <w:color w:val="222222"/>
          <w:sz w:val="22"/>
          <w:szCs w:val="22"/>
        </w:rPr>
        <w:t>near or even below 4%</w:t>
      </w:r>
      <w:r>
        <w:rPr>
          <w:rFonts w:ascii="Arial" w:eastAsia="Arial" w:hAnsi="Arial" w:cs="Arial"/>
          <w:color w:val="222222"/>
          <w:sz w:val="22"/>
          <w:szCs w:val="22"/>
        </w:rPr>
        <w:t xml:space="preserve">— a level historically associated with a strong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Yet over the same period, the voluntary quit rate fell from 2.76% to 2.0</w:t>
      </w:r>
      <w:r w:rsidR="006D1264">
        <w:rPr>
          <w:rFonts w:ascii="Arial" w:eastAsia="Arial" w:hAnsi="Arial" w:cs="Arial"/>
          <w:color w:val="222222"/>
          <w:sz w:val="22"/>
          <w:szCs w:val="22"/>
        </w:rPr>
        <w:t>2</w:t>
      </w:r>
      <w:r>
        <w:rPr>
          <w:rFonts w:ascii="Arial" w:eastAsia="Arial" w:hAnsi="Arial" w:cs="Arial"/>
          <w:color w:val="222222"/>
          <w:sz w:val="22"/>
          <w:szCs w:val="22"/>
        </w:rPr>
        <w:t>% (</w:t>
      </w:r>
      <w:r w:rsidR="006D1264">
        <w:rPr>
          <w:rFonts w:ascii="Arial" w:eastAsia="Arial" w:hAnsi="Arial" w:cs="Arial"/>
          <w:color w:val="222222"/>
          <w:sz w:val="22"/>
          <w:szCs w:val="22"/>
        </w:rPr>
        <w:t xml:space="preserve">more than </w:t>
      </w:r>
      <w:r>
        <w:rPr>
          <w:rFonts w:ascii="Arial" w:eastAsia="Arial" w:hAnsi="Arial" w:cs="Arial"/>
          <w:color w:val="222222"/>
          <w:sz w:val="22"/>
          <w:szCs w:val="22"/>
        </w:rPr>
        <w:t>25% decline), union membership hit a post-war low of 9.9%</w:t>
      </w:r>
      <w:r w:rsidR="006D1264">
        <w:rPr>
          <w:rFonts w:ascii="Arial" w:eastAsia="Arial" w:hAnsi="Arial" w:cs="Arial"/>
          <w:color w:val="222222"/>
          <w:sz w:val="22"/>
          <w:szCs w:val="22"/>
        </w:rPr>
        <w:t xml:space="preserve"> in 2024 (10.0% in 2025)</w:t>
      </w:r>
      <w:r>
        <w:rPr>
          <w:rFonts w:ascii="Arial" w:eastAsia="Arial" w:hAnsi="Arial" w:cs="Arial"/>
          <w:color w:val="222222"/>
          <w:sz w:val="22"/>
          <w:szCs w:val="22"/>
        </w:rPr>
        <w:t>, and median job tenure began declining. Workers were employed, but increasingly stuck rather than secure.</w:t>
      </w:r>
    </w:p>
    <w:p w14:paraId="63F7F566" w14:textId="77777777" w:rsidR="00627C7F" w:rsidRDefault="00000000">
      <w:pPr>
        <w:spacing w:after="140"/>
        <w:jc w:val="both"/>
      </w:pPr>
      <w:r>
        <w:rPr>
          <w:rFonts w:ascii="Arial" w:eastAsia="Arial" w:hAnsi="Arial" w:cs="Arial"/>
          <w:color w:val="222222"/>
          <w:sz w:val="22"/>
          <w:szCs w:val="22"/>
        </w:rPr>
        <w:t>The Worker Job Security Index (WJSI) is designed to capture this distinction. It is a composite annual index that measures the structural conditions governing job security — not just employment status — for American wage and salary workers, benchmarked to 2005 = 100 and currently available from 2001 to present.</w:t>
      </w:r>
    </w:p>
    <w:p w14:paraId="3A8E325B" w14:textId="77777777" w:rsidR="00627C7F" w:rsidRDefault="00627C7F">
      <w:pPr>
        <w:pBdr>
          <w:bottom w:val="single" w:sz="6" w:space="1" w:color="BDD0E9"/>
        </w:pBdr>
        <w:spacing w:after="160"/>
      </w:pPr>
    </w:p>
    <w:p w14:paraId="7C2EA0E6" w14:textId="77777777" w:rsidR="00627C7F" w:rsidRDefault="00000000">
      <w:pPr>
        <w:spacing w:before="280" w:after="80"/>
      </w:pPr>
      <w:r>
        <w:rPr>
          <w:rFonts w:ascii="Arial" w:eastAsia="Arial" w:hAnsi="Arial" w:cs="Arial"/>
          <w:b/>
          <w:bCs/>
          <w:color w:val="1F3864"/>
          <w:spacing w:val="40"/>
        </w:rPr>
        <w:t>2.  HYPOTHESIS</w:t>
      </w:r>
    </w:p>
    <w:p w14:paraId="23DFA193" w14:textId="0B974A48" w:rsidR="00627C7F" w:rsidRDefault="00000000">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 WJSI rests on a straightforward premise: job security is </w:t>
      </w:r>
      <w:r w:rsidR="006D1264">
        <w:rPr>
          <w:rFonts w:ascii="Arial" w:eastAsia="Arial" w:hAnsi="Arial" w:cs="Arial"/>
          <w:color w:val="222222"/>
          <w:sz w:val="22"/>
          <w:szCs w:val="22"/>
        </w:rPr>
        <w:t xml:space="preserve">core feature of a strong economy. </w:t>
      </w:r>
      <w:proofErr w:type="spellStart"/>
      <w:r>
        <w:rPr>
          <w:rFonts w:ascii="Arial" w:eastAsia="Arial" w:hAnsi="Arial" w:cs="Arial"/>
          <w:color w:val="222222"/>
          <w:sz w:val="22"/>
          <w:szCs w:val="22"/>
        </w:rPr>
        <w:t>A</w:t>
      </w:r>
      <w:proofErr w:type="spellEnd"/>
      <w:r>
        <w:rPr>
          <w:rFonts w:ascii="Arial" w:eastAsia="Arial" w:hAnsi="Arial" w:cs="Arial"/>
          <w:color w:val="222222"/>
          <w:sz w:val="22"/>
          <w:szCs w:val="22"/>
        </w:rPr>
        <w:t xml:space="preserve"> worker is more secure when they have the structural protection of collective bargaining; the confidence and ability to voluntarily leave a job; a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where employers are not actively reducing headcount; reasonable stability of tenure; and an openings environment that does not generate excessive churn.</w:t>
      </w:r>
    </w:p>
    <w:p w14:paraId="63E40078" w14:textId="44DBC8B1" w:rsidR="00CE79BD" w:rsidRDefault="00CE79BD" w:rsidP="00CE79BD">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 hypothesis is that this composite, while indirect, can track </w:t>
      </w:r>
      <w:r w:rsidR="006D1264">
        <w:rPr>
          <w:rFonts w:ascii="Arial" w:eastAsia="Arial" w:hAnsi="Arial" w:cs="Arial"/>
          <w:color w:val="222222"/>
          <w:sz w:val="22"/>
          <w:szCs w:val="22"/>
        </w:rPr>
        <w:t xml:space="preserve">concrete, </w:t>
      </w:r>
      <w:r>
        <w:rPr>
          <w:rFonts w:ascii="Arial" w:eastAsia="Arial" w:hAnsi="Arial" w:cs="Arial"/>
          <w:color w:val="222222"/>
          <w:sz w:val="22"/>
          <w:szCs w:val="22"/>
        </w:rPr>
        <w:t>structural features that may help us look through consumer opinion surveys</w:t>
      </w:r>
      <w:r w:rsidR="006D1264">
        <w:rPr>
          <w:rFonts w:ascii="Arial" w:eastAsia="Arial" w:hAnsi="Arial" w:cs="Arial"/>
          <w:color w:val="222222"/>
          <w:sz w:val="22"/>
          <w:szCs w:val="22"/>
        </w:rPr>
        <w:t>.</w:t>
      </w:r>
      <w:r>
        <w:rPr>
          <w:rFonts w:ascii="Arial" w:eastAsia="Arial" w:hAnsi="Arial" w:cs="Arial"/>
          <w:color w:val="222222"/>
          <w:sz w:val="22"/>
          <w:szCs w:val="22"/>
        </w:rPr>
        <w:t xml:space="preserve"> </w:t>
      </w:r>
      <w:r w:rsidR="006D1264">
        <w:rPr>
          <w:rFonts w:ascii="Arial" w:eastAsia="Arial" w:hAnsi="Arial" w:cs="Arial"/>
          <w:color w:val="222222"/>
          <w:sz w:val="22"/>
          <w:szCs w:val="22"/>
        </w:rPr>
        <w:t>B</w:t>
      </w:r>
      <w:r>
        <w:rPr>
          <w:rFonts w:ascii="Arial" w:eastAsia="Arial" w:hAnsi="Arial" w:cs="Arial"/>
          <w:color w:val="222222"/>
          <w:sz w:val="22"/>
          <w:szCs w:val="22"/>
        </w:rPr>
        <w:t xml:space="preserve">ecause its components are already tracked in official statistics, avoid the costly maintenance of even more direct measures that have characterized </w:t>
      </w:r>
      <w:r w:rsidR="006D1264">
        <w:rPr>
          <w:rFonts w:ascii="Arial" w:eastAsia="Arial" w:hAnsi="Arial" w:cs="Arial"/>
          <w:color w:val="222222"/>
          <w:sz w:val="22"/>
          <w:szCs w:val="22"/>
        </w:rPr>
        <w:t xml:space="preserve">some of the best </w:t>
      </w:r>
      <w:r>
        <w:rPr>
          <w:rFonts w:ascii="Arial" w:eastAsia="Arial" w:hAnsi="Arial" w:cs="Arial"/>
          <w:color w:val="222222"/>
          <w:sz w:val="22"/>
          <w:szCs w:val="22"/>
        </w:rPr>
        <w:t>previous efforts</w:t>
      </w:r>
      <w:r w:rsidR="006D1264">
        <w:rPr>
          <w:rFonts w:ascii="Arial" w:eastAsia="Arial" w:hAnsi="Arial" w:cs="Arial"/>
          <w:color w:val="222222"/>
          <w:sz w:val="22"/>
          <w:szCs w:val="22"/>
        </w:rPr>
        <w:t xml:space="preserve">, such as Jacob Hacker’s Economic Security Index. </w:t>
      </w:r>
      <w:r>
        <w:rPr>
          <w:rFonts w:ascii="Arial" w:eastAsia="Arial" w:hAnsi="Arial" w:cs="Arial"/>
          <w:color w:val="222222"/>
          <w:sz w:val="22"/>
          <w:szCs w:val="22"/>
        </w:rPr>
        <w:t xml:space="preserve"> </w:t>
      </w:r>
    </w:p>
    <w:p w14:paraId="55464E35" w14:textId="112D9123" w:rsidR="00627C7F" w:rsidRDefault="00CE79BD">
      <w:pPr>
        <w:spacing w:after="140"/>
        <w:jc w:val="both"/>
        <w:rPr>
          <w:rFonts w:ascii="Arial" w:eastAsia="Arial" w:hAnsi="Arial" w:cs="Arial"/>
          <w:color w:val="222222"/>
          <w:sz w:val="22"/>
          <w:szCs w:val="22"/>
        </w:rPr>
      </w:pPr>
      <w:r>
        <w:rPr>
          <w:rFonts w:ascii="Arial" w:eastAsia="Arial" w:hAnsi="Arial" w:cs="Arial"/>
          <w:color w:val="222222"/>
          <w:sz w:val="22"/>
          <w:szCs w:val="22"/>
        </w:rPr>
        <w:t>To determine whether this composite approach,</w:t>
      </w:r>
      <w:r w:rsidR="006D1264">
        <w:rPr>
          <w:rFonts w:ascii="Arial" w:eastAsia="Arial" w:hAnsi="Arial" w:cs="Arial"/>
          <w:color w:val="222222"/>
          <w:sz w:val="22"/>
          <w:szCs w:val="22"/>
        </w:rPr>
        <w:t xml:space="preserve"> can add value over time.</w:t>
      </w:r>
      <w:r>
        <w:rPr>
          <w:rFonts w:ascii="Arial" w:eastAsia="Arial" w:hAnsi="Arial" w:cs="Arial"/>
          <w:color w:val="222222"/>
          <w:sz w:val="22"/>
          <w:szCs w:val="22"/>
        </w:rPr>
        <w:t xml:space="preserve"> </w:t>
      </w:r>
      <w:r w:rsidR="006D1264">
        <w:rPr>
          <w:rFonts w:ascii="Arial" w:eastAsia="Arial" w:hAnsi="Arial" w:cs="Arial"/>
          <w:color w:val="222222"/>
          <w:sz w:val="22"/>
          <w:szCs w:val="22"/>
        </w:rPr>
        <w:t>W</w:t>
      </w:r>
      <w:r>
        <w:rPr>
          <w:rFonts w:ascii="Arial" w:eastAsia="Arial" w:hAnsi="Arial" w:cs="Arial"/>
          <w:color w:val="222222"/>
          <w:sz w:val="22"/>
          <w:szCs w:val="22"/>
        </w:rPr>
        <w:t xml:space="preserve">e tested a second hypothesis: </w:t>
      </w:r>
      <w:r w:rsidR="00000000">
        <w:rPr>
          <w:rFonts w:ascii="Arial" w:eastAsia="Arial" w:hAnsi="Arial" w:cs="Arial"/>
          <w:color w:val="222222"/>
          <w:sz w:val="22"/>
          <w:szCs w:val="22"/>
        </w:rPr>
        <w:t>that changes in structural job security precede changes in consumer confidence. Workers feel insecure before that insecurity registers in headline sentiment surveys.</w:t>
      </w:r>
      <w:r>
        <w:rPr>
          <w:rFonts w:ascii="Arial" w:eastAsia="Arial" w:hAnsi="Arial" w:cs="Arial"/>
          <w:color w:val="222222"/>
          <w:sz w:val="22"/>
          <w:szCs w:val="22"/>
        </w:rPr>
        <w:t xml:space="preserve"> This hypothesis is partly supported by the data, particularly in the post-crisis period.</w:t>
      </w:r>
      <w:r w:rsidR="00000000">
        <w:rPr>
          <w:rFonts w:ascii="Arial" w:eastAsia="Arial" w:hAnsi="Arial" w:cs="Arial"/>
          <w:color w:val="222222"/>
          <w:sz w:val="22"/>
          <w:szCs w:val="22"/>
        </w:rPr>
        <w:t xml:space="preserve"> If this lead relationship holds, the WJSI has potential value as an early-warning indicator, not merely a descriptive one.</w:t>
      </w:r>
    </w:p>
    <w:p w14:paraId="05331DE0" w14:textId="77777777" w:rsidR="00627C7F" w:rsidRDefault="00627C7F">
      <w:pPr>
        <w:pBdr>
          <w:bottom w:val="single" w:sz="6" w:space="1" w:color="BDD0E9"/>
        </w:pBdr>
        <w:spacing w:after="160"/>
      </w:pPr>
    </w:p>
    <w:p w14:paraId="150DCCF4" w14:textId="77777777" w:rsidR="00627C7F" w:rsidRDefault="00000000">
      <w:pPr>
        <w:spacing w:before="280" w:after="80"/>
      </w:pPr>
      <w:r>
        <w:rPr>
          <w:rFonts w:ascii="Arial" w:eastAsia="Arial" w:hAnsi="Arial" w:cs="Arial"/>
          <w:b/>
          <w:bCs/>
          <w:color w:val="1F3864"/>
          <w:spacing w:val="40"/>
        </w:rPr>
        <w:t>3.  LITERATURE CONTEXT</w:t>
      </w:r>
    </w:p>
    <w:p w14:paraId="4D7C776B" w14:textId="77777777" w:rsidR="00627C7F" w:rsidRDefault="00000000">
      <w:pPr>
        <w:spacing w:after="140"/>
        <w:jc w:val="both"/>
      </w:pPr>
      <w:r>
        <w:rPr>
          <w:rFonts w:ascii="Arial" w:eastAsia="Arial" w:hAnsi="Arial" w:cs="Arial"/>
          <w:color w:val="222222"/>
          <w:sz w:val="22"/>
          <w:szCs w:val="22"/>
        </w:rPr>
        <w:t xml:space="preserve">The inadequacy of headline unemployment as a welfare measure is well-established. Krueger et al. (2017) documented the significance of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force non-participation beyond the headline rate. Bernhardt et al. (2001) and Weil (2014, The Fissured Workplace) established that job quality — not just availability — has deteriorated structurally since the 1980s. Farber (2008, 2015) documented the long-run decline in job stability and tenure, particularly for male workers.</w:t>
      </w:r>
    </w:p>
    <w:p w14:paraId="3AFE285A" w14:textId="77777777" w:rsidR="00627C7F" w:rsidRDefault="00000000">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 quit rate as a proxy for worker bargaining power has been </w:t>
      </w:r>
      <w:proofErr w:type="spellStart"/>
      <w:r>
        <w:rPr>
          <w:rFonts w:ascii="Arial" w:eastAsia="Arial" w:hAnsi="Arial" w:cs="Arial"/>
          <w:color w:val="222222"/>
          <w:sz w:val="22"/>
          <w:szCs w:val="22"/>
        </w:rPr>
        <w:t>formalised</w:t>
      </w:r>
      <w:proofErr w:type="spellEnd"/>
      <w:r>
        <w:rPr>
          <w:rFonts w:ascii="Arial" w:eastAsia="Arial" w:hAnsi="Arial" w:cs="Arial"/>
          <w:color w:val="222222"/>
          <w:sz w:val="22"/>
          <w:szCs w:val="22"/>
        </w:rPr>
        <w:t xml:space="preserve"> by Daly, </w:t>
      </w:r>
      <w:proofErr w:type="spellStart"/>
      <w:r>
        <w:rPr>
          <w:rFonts w:ascii="Arial" w:eastAsia="Arial" w:hAnsi="Arial" w:cs="Arial"/>
          <w:color w:val="222222"/>
          <w:sz w:val="22"/>
          <w:szCs w:val="22"/>
        </w:rPr>
        <w:t>Hobijn</w:t>
      </w:r>
      <w:proofErr w:type="spellEnd"/>
      <w:r>
        <w:rPr>
          <w:rFonts w:ascii="Arial" w:eastAsia="Arial" w:hAnsi="Arial" w:cs="Arial"/>
          <w:color w:val="222222"/>
          <w:sz w:val="22"/>
          <w:szCs w:val="22"/>
        </w:rPr>
        <w:t xml:space="preserve">, and Wiles (2012, San Francisco Fed) and features in </w:t>
      </w:r>
      <w:proofErr w:type="spellStart"/>
      <w:r>
        <w:rPr>
          <w:rFonts w:ascii="Arial" w:eastAsia="Arial" w:hAnsi="Arial" w:cs="Arial"/>
          <w:color w:val="222222"/>
          <w:sz w:val="22"/>
          <w:szCs w:val="22"/>
        </w:rPr>
        <w:t>Moscarini</w:t>
      </w:r>
      <w:proofErr w:type="spellEnd"/>
      <w:r>
        <w:rPr>
          <w:rFonts w:ascii="Arial" w:eastAsia="Arial" w:hAnsi="Arial" w:cs="Arial"/>
          <w:color w:val="222222"/>
          <w:sz w:val="22"/>
          <w:szCs w:val="22"/>
        </w:rPr>
        <w:t xml:space="preserve"> and Postel-Vinay's (2012) work on employer-size wage cyclicality. The WJSI brings this alongside tenure and union coverage into a single composite.</w:t>
      </w:r>
    </w:p>
    <w:p w14:paraId="4D0545E0" w14:textId="77777777" w:rsidR="008E286E" w:rsidRDefault="006D1264">
      <w:pPr>
        <w:spacing w:after="140"/>
        <w:jc w:val="both"/>
        <w:rPr>
          <w:rFonts w:ascii="Arial" w:eastAsia="Arial" w:hAnsi="Arial" w:cs="Arial"/>
          <w:color w:val="222222"/>
          <w:sz w:val="22"/>
          <w:szCs w:val="22"/>
        </w:rPr>
      </w:pPr>
      <w:r>
        <w:rPr>
          <w:rFonts w:ascii="Arial" w:eastAsia="Arial" w:hAnsi="Arial" w:cs="Arial"/>
          <w:color w:val="222222"/>
          <w:sz w:val="22"/>
          <w:szCs w:val="22"/>
        </w:rPr>
        <w:t>WSJI was also inspired by the work of the Ludwig Institute for Shared Economic Prosperity, who have pioneered the combination of existing economic indicators to provide a more accurate picture of the economy.  While it may be possible to collect better data over time, their insight is that we can create a more acc</w:t>
      </w:r>
      <w:r w:rsidR="008E286E">
        <w:rPr>
          <w:rFonts w:ascii="Arial" w:eastAsia="Arial" w:hAnsi="Arial" w:cs="Arial"/>
          <w:color w:val="222222"/>
          <w:sz w:val="22"/>
          <w:szCs w:val="22"/>
        </w:rPr>
        <w:t xml:space="preserve">urate picture of the economy simply by reshaping our view of the data we have.  In other words, “headline” unemployment needn’t be the headline.  For example, </w:t>
      </w:r>
      <w:r w:rsidR="00000000">
        <w:rPr>
          <w:rFonts w:ascii="Arial" w:eastAsia="Arial" w:hAnsi="Arial" w:cs="Arial"/>
          <w:color w:val="222222"/>
          <w:sz w:val="22"/>
          <w:szCs w:val="22"/>
        </w:rPr>
        <w:t xml:space="preserve">LISEP's True Rate of Unemployment (TRU) is the closest institutional analogue. Where TRU expands the employment/unemployment boundary to capture those who want full-time work but cannot obtain it, the WJSI measures the security and structural quality of employment for those who have it. </w:t>
      </w:r>
    </w:p>
    <w:p w14:paraId="435ECE6D" w14:textId="6A0F1630" w:rsidR="00627C7F" w:rsidRDefault="008E286E">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WJSI can be seen as an additional contribution to this dialogue, using existing data to give us a view of the improvement or decline in economic security over time. </w:t>
      </w:r>
    </w:p>
    <w:p w14:paraId="6C077F12" w14:textId="2D652AED" w:rsidR="00C662FF" w:rsidRDefault="00C662FF">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There are </w:t>
      </w:r>
      <w:proofErr w:type="gramStart"/>
      <w:r>
        <w:rPr>
          <w:rFonts w:ascii="Arial" w:eastAsia="Arial" w:hAnsi="Arial" w:cs="Arial"/>
          <w:color w:val="222222"/>
          <w:sz w:val="22"/>
          <w:szCs w:val="22"/>
        </w:rPr>
        <w:t>a number of</w:t>
      </w:r>
      <w:proofErr w:type="gramEnd"/>
      <w:r>
        <w:rPr>
          <w:rFonts w:ascii="Arial" w:eastAsia="Arial" w:hAnsi="Arial" w:cs="Arial"/>
          <w:color w:val="222222"/>
          <w:sz w:val="22"/>
          <w:szCs w:val="22"/>
        </w:rPr>
        <w:t xml:space="preserve"> efforts to understand labor markets and economic security over time.  A few notable examples are the Economic Security Index (Hacker), which measured observed three types of economic shocks, medical expense, major income loss and inadequate assets.  However, because it measured outcomes rather than security it was less likely to have predictive power.  Moreover, because it relied on independent surveys it was costly and has been discontinued.  </w:t>
      </w:r>
    </w:p>
    <w:p w14:paraId="53BB8EF6" w14:textId="3D5938AD" w:rsidR="00C662FF" w:rsidRDefault="00C662FF">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 Federal Reserve Board tracked a Labor Markets Conditions Index through 2017, with an analogue that has continued by the Kansas City Fed.  But these indices </w:t>
      </w:r>
      <w:r w:rsidR="00DB3E82">
        <w:rPr>
          <w:rFonts w:ascii="Arial" w:eastAsia="Arial" w:hAnsi="Arial" w:cs="Arial"/>
          <w:color w:val="222222"/>
          <w:sz w:val="22"/>
          <w:szCs w:val="22"/>
        </w:rPr>
        <w:t xml:space="preserve">have 20+ elements so lack the focus we have here on job security.  The Conference Board’s Employment Trends Index also has similar composite characteristics, but mixes survey data (e.g. “jobs are hard to get”) with hard data on unemployment and is designed to predict job growth.  </w:t>
      </w:r>
    </w:p>
    <w:p w14:paraId="5EE28693" w14:textId="5A2E8650" w:rsidR="00DB3E82" w:rsidRDefault="00DB3E82">
      <w:pPr>
        <w:spacing w:after="140"/>
        <w:jc w:val="both"/>
      </w:pPr>
      <w:r>
        <w:rPr>
          <w:rFonts w:ascii="Arial" w:eastAsia="Arial" w:hAnsi="Arial" w:cs="Arial"/>
          <w:color w:val="222222"/>
          <w:sz w:val="22"/>
          <w:szCs w:val="22"/>
        </w:rPr>
        <w:t xml:space="preserve">The Atlanta Fed also publishes a spider chart of the JOLTS </w:t>
      </w:r>
      <w:proofErr w:type="gramStart"/>
      <w:r>
        <w:rPr>
          <w:rFonts w:ascii="Arial" w:eastAsia="Arial" w:hAnsi="Arial" w:cs="Arial"/>
          <w:color w:val="222222"/>
          <w:sz w:val="22"/>
          <w:szCs w:val="22"/>
        </w:rPr>
        <w:t>components, but</w:t>
      </w:r>
      <w:proofErr w:type="gramEnd"/>
      <w:r>
        <w:rPr>
          <w:rFonts w:ascii="Arial" w:eastAsia="Arial" w:hAnsi="Arial" w:cs="Arial"/>
          <w:color w:val="222222"/>
          <w:sz w:val="22"/>
          <w:szCs w:val="22"/>
        </w:rPr>
        <w:t xml:space="preserve"> explicitly disclaims reducing JOLTS into a single scalar “headline” number.  </w:t>
      </w:r>
    </w:p>
    <w:p w14:paraId="2721FB40" w14:textId="77777777" w:rsidR="00627C7F" w:rsidRDefault="00627C7F">
      <w:pPr>
        <w:pBdr>
          <w:bottom w:val="single" w:sz="6" w:space="1" w:color="BDD0E9"/>
        </w:pBdr>
        <w:spacing w:after="160"/>
      </w:pPr>
    </w:p>
    <w:p w14:paraId="5DB07CF2" w14:textId="77777777" w:rsidR="00627C7F" w:rsidRDefault="00000000">
      <w:pPr>
        <w:spacing w:before="280" w:after="80"/>
      </w:pPr>
      <w:r>
        <w:rPr>
          <w:rFonts w:ascii="Arial" w:eastAsia="Arial" w:hAnsi="Arial" w:cs="Arial"/>
          <w:b/>
          <w:bCs/>
          <w:color w:val="1F3864"/>
          <w:spacing w:val="40"/>
        </w:rPr>
        <w:t>4.  METHODOLOGY</w:t>
      </w:r>
    </w:p>
    <w:p w14:paraId="28DC3B37" w14:textId="45E3867A" w:rsidR="00627C7F" w:rsidRDefault="00000000" w:rsidP="00DB3E82">
      <w:pPr>
        <w:spacing w:after="140"/>
        <w:jc w:val="both"/>
      </w:pPr>
      <w:r>
        <w:rPr>
          <w:rFonts w:ascii="Arial" w:eastAsia="Arial" w:hAnsi="Arial" w:cs="Arial"/>
          <w:color w:val="222222"/>
          <w:sz w:val="22"/>
          <w:szCs w:val="22"/>
        </w:rPr>
        <w:t xml:space="preserve">The WJSI is an equal-weighted composite of five </w:t>
      </w:r>
      <w:proofErr w:type="gramStart"/>
      <w:r>
        <w:rPr>
          <w:rFonts w:ascii="Arial" w:eastAsia="Arial" w:hAnsi="Arial" w:cs="Arial"/>
          <w:color w:val="222222"/>
          <w:sz w:val="22"/>
          <w:szCs w:val="22"/>
        </w:rPr>
        <w:t>annually-averaged</w:t>
      </w:r>
      <w:proofErr w:type="gramEnd"/>
      <w:r>
        <w:rPr>
          <w:rFonts w:ascii="Arial" w:eastAsia="Arial" w:hAnsi="Arial" w:cs="Arial"/>
          <w:color w:val="222222"/>
          <w:sz w:val="22"/>
          <w:szCs w:val="22"/>
        </w:rPr>
        <w:t xml:space="preserve"> components sourced from public BLS data. Each component is z-scored over its full available history and directionally aligned so that a higher score always means greater security.</w:t>
      </w:r>
    </w:p>
    <w:p w14:paraId="23D864F4" w14:textId="77777777" w:rsidR="00627C7F" w:rsidRDefault="00000000">
      <w:pPr>
        <w:spacing w:before="60" w:after="60"/>
        <w:ind w:left="360"/>
      </w:pPr>
      <w:r>
        <w:rPr>
          <w:rFonts w:ascii="Arial" w:eastAsia="Arial" w:hAnsi="Arial" w:cs="Arial"/>
          <w:b/>
          <w:bCs/>
          <w:color w:val="1F3864"/>
          <w:sz w:val="22"/>
          <w:szCs w:val="22"/>
        </w:rPr>
        <w:t xml:space="preserve">1.  Union membership </w:t>
      </w:r>
      <w:proofErr w:type="gramStart"/>
      <w:r>
        <w:rPr>
          <w:rFonts w:ascii="Arial" w:eastAsia="Arial" w:hAnsi="Arial" w:cs="Arial"/>
          <w:b/>
          <w:bCs/>
          <w:color w:val="1F3864"/>
          <w:sz w:val="22"/>
          <w:szCs w:val="22"/>
        </w:rPr>
        <w:t xml:space="preserve">rate  </w:t>
      </w:r>
      <w:r>
        <w:rPr>
          <w:rFonts w:ascii="Arial" w:eastAsia="Arial" w:hAnsi="Arial" w:cs="Arial"/>
          <w:i/>
          <w:iCs/>
          <w:color w:val="44546A"/>
          <w:sz w:val="22"/>
          <w:szCs w:val="22"/>
        </w:rPr>
        <w:t>(</w:t>
      </w:r>
      <w:proofErr w:type="gramEnd"/>
      <w:r>
        <w:rPr>
          <w:rFonts w:ascii="Arial" w:eastAsia="Arial" w:hAnsi="Arial" w:cs="Arial"/>
          <w:i/>
          <w:iCs/>
          <w:color w:val="44546A"/>
          <w:sz w:val="22"/>
          <w:szCs w:val="22"/>
        </w:rPr>
        <w:t>BLS, 1983–</w:t>
      </w:r>
      <w:proofErr w:type="gramStart"/>
      <w:r>
        <w:rPr>
          <w:rFonts w:ascii="Arial" w:eastAsia="Arial" w:hAnsi="Arial" w:cs="Arial"/>
          <w:i/>
          <w:iCs/>
          <w:color w:val="44546A"/>
          <w:sz w:val="22"/>
          <w:szCs w:val="22"/>
        </w:rPr>
        <w:t xml:space="preserve">present)  </w:t>
      </w:r>
      <w:r>
        <w:rPr>
          <w:rFonts w:ascii="Arial" w:eastAsia="Arial" w:hAnsi="Arial" w:cs="Arial"/>
          <w:color w:val="222222"/>
          <w:sz w:val="22"/>
          <w:szCs w:val="22"/>
        </w:rPr>
        <w:t>Collective</w:t>
      </w:r>
      <w:proofErr w:type="gramEnd"/>
      <w:r>
        <w:rPr>
          <w:rFonts w:ascii="Arial" w:eastAsia="Arial" w:hAnsi="Arial" w:cs="Arial"/>
          <w:color w:val="222222"/>
          <w:sz w:val="22"/>
          <w:szCs w:val="22"/>
        </w:rPr>
        <w:t xml:space="preserve"> bargaining coverage as a proxy for structural worker protection.</w:t>
      </w:r>
    </w:p>
    <w:p w14:paraId="3FA5B26B" w14:textId="77777777" w:rsidR="00627C7F" w:rsidRDefault="00000000">
      <w:pPr>
        <w:spacing w:before="60" w:after="60"/>
        <w:ind w:left="360"/>
      </w:pPr>
      <w:r>
        <w:rPr>
          <w:rFonts w:ascii="Arial" w:eastAsia="Arial" w:hAnsi="Arial" w:cs="Arial"/>
          <w:b/>
          <w:bCs/>
          <w:color w:val="1F3864"/>
          <w:sz w:val="22"/>
          <w:szCs w:val="22"/>
        </w:rPr>
        <w:t xml:space="preserve">2.  JOLTS quits </w:t>
      </w:r>
      <w:proofErr w:type="gramStart"/>
      <w:r>
        <w:rPr>
          <w:rFonts w:ascii="Arial" w:eastAsia="Arial" w:hAnsi="Arial" w:cs="Arial"/>
          <w:b/>
          <w:bCs/>
          <w:color w:val="1F3864"/>
          <w:sz w:val="22"/>
          <w:szCs w:val="22"/>
        </w:rPr>
        <w:t xml:space="preserve">rate  </w:t>
      </w:r>
      <w:r>
        <w:rPr>
          <w:rFonts w:ascii="Arial" w:eastAsia="Arial" w:hAnsi="Arial" w:cs="Arial"/>
          <w:i/>
          <w:iCs/>
          <w:color w:val="44546A"/>
          <w:sz w:val="22"/>
          <w:szCs w:val="22"/>
        </w:rPr>
        <w:t>(</w:t>
      </w:r>
      <w:proofErr w:type="gramEnd"/>
      <w:r>
        <w:rPr>
          <w:rFonts w:ascii="Arial" w:eastAsia="Arial" w:hAnsi="Arial" w:cs="Arial"/>
          <w:i/>
          <w:iCs/>
          <w:color w:val="44546A"/>
          <w:sz w:val="22"/>
          <w:szCs w:val="22"/>
        </w:rPr>
        <w:t>BLS, 2001–</w:t>
      </w:r>
      <w:proofErr w:type="gramStart"/>
      <w:r>
        <w:rPr>
          <w:rFonts w:ascii="Arial" w:eastAsia="Arial" w:hAnsi="Arial" w:cs="Arial"/>
          <w:i/>
          <w:iCs/>
          <w:color w:val="44546A"/>
          <w:sz w:val="22"/>
          <w:szCs w:val="22"/>
        </w:rPr>
        <w:t xml:space="preserve">present)  </w:t>
      </w:r>
      <w:r>
        <w:rPr>
          <w:rFonts w:ascii="Arial" w:eastAsia="Arial" w:hAnsi="Arial" w:cs="Arial"/>
          <w:color w:val="222222"/>
          <w:sz w:val="22"/>
          <w:szCs w:val="22"/>
        </w:rPr>
        <w:t>Share</w:t>
      </w:r>
      <w:proofErr w:type="gramEnd"/>
      <w:r>
        <w:rPr>
          <w:rFonts w:ascii="Arial" w:eastAsia="Arial" w:hAnsi="Arial" w:cs="Arial"/>
          <w:color w:val="222222"/>
          <w:sz w:val="22"/>
          <w:szCs w:val="22"/>
        </w:rPr>
        <w:t xml:space="preserve"> of workers voluntarily leaving jobs — the standard proxy for worker bargaining power and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confidence.</w:t>
      </w:r>
    </w:p>
    <w:p w14:paraId="52BA7B2D" w14:textId="77777777" w:rsidR="00627C7F" w:rsidRDefault="00000000">
      <w:pPr>
        <w:spacing w:before="60" w:after="60"/>
        <w:ind w:left="360"/>
      </w:pPr>
      <w:r>
        <w:rPr>
          <w:rFonts w:ascii="Arial" w:eastAsia="Arial" w:hAnsi="Arial" w:cs="Arial"/>
          <w:b/>
          <w:bCs/>
          <w:color w:val="1F3864"/>
          <w:sz w:val="22"/>
          <w:szCs w:val="22"/>
        </w:rPr>
        <w:t xml:space="preserve">3.  JOLTS layoffs &amp; discharges </w:t>
      </w:r>
      <w:proofErr w:type="gramStart"/>
      <w:r>
        <w:rPr>
          <w:rFonts w:ascii="Arial" w:eastAsia="Arial" w:hAnsi="Arial" w:cs="Arial"/>
          <w:b/>
          <w:bCs/>
          <w:color w:val="1F3864"/>
          <w:sz w:val="22"/>
          <w:szCs w:val="22"/>
        </w:rPr>
        <w:t xml:space="preserve">rate  </w:t>
      </w:r>
      <w:r>
        <w:rPr>
          <w:rFonts w:ascii="Arial" w:eastAsia="Arial" w:hAnsi="Arial" w:cs="Arial"/>
          <w:i/>
          <w:iCs/>
          <w:color w:val="44546A"/>
          <w:sz w:val="22"/>
          <w:szCs w:val="22"/>
        </w:rPr>
        <w:t>(</w:t>
      </w:r>
      <w:proofErr w:type="gramEnd"/>
      <w:r>
        <w:rPr>
          <w:rFonts w:ascii="Arial" w:eastAsia="Arial" w:hAnsi="Arial" w:cs="Arial"/>
          <w:i/>
          <w:iCs/>
          <w:color w:val="44546A"/>
          <w:sz w:val="22"/>
          <w:szCs w:val="22"/>
        </w:rPr>
        <w:t xml:space="preserve">BLS, 2001–present, </w:t>
      </w:r>
      <w:proofErr w:type="gramStart"/>
      <w:r>
        <w:rPr>
          <w:rFonts w:ascii="Arial" w:eastAsia="Arial" w:hAnsi="Arial" w:cs="Arial"/>
          <w:i/>
          <w:iCs/>
          <w:color w:val="44546A"/>
          <w:sz w:val="22"/>
          <w:szCs w:val="22"/>
        </w:rPr>
        <w:t xml:space="preserve">inverted)  </w:t>
      </w:r>
      <w:r>
        <w:rPr>
          <w:rFonts w:ascii="Arial" w:eastAsia="Arial" w:hAnsi="Arial" w:cs="Arial"/>
          <w:color w:val="222222"/>
          <w:sz w:val="22"/>
          <w:szCs w:val="22"/>
        </w:rPr>
        <w:t>Employer</w:t>
      </w:r>
      <w:proofErr w:type="gramEnd"/>
      <w:r>
        <w:rPr>
          <w:rFonts w:ascii="Arial" w:eastAsia="Arial" w:hAnsi="Arial" w:cs="Arial"/>
          <w:color w:val="222222"/>
          <w:sz w:val="22"/>
          <w:szCs w:val="22"/>
        </w:rPr>
        <w:t>-initiated separations. Inverted so lower layoffs = higher security.</w:t>
      </w:r>
    </w:p>
    <w:p w14:paraId="5714520D" w14:textId="77777777" w:rsidR="00627C7F" w:rsidRDefault="00000000">
      <w:pPr>
        <w:spacing w:before="60" w:after="60"/>
        <w:ind w:left="360"/>
      </w:pPr>
      <w:r>
        <w:rPr>
          <w:rFonts w:ascii="Arial" w:eastAsia="Arial" w:hAnsi="Arial" w:cs="Arial"/>
          <w:b/>
          <w:bCs/>
          <w:color w:val="1F3864"/>
          <w:sz w:val="22"/>
          <w:szCs w:val="22"/>
        </w:rPr>
        <w:lastRenderedPageBreak/>
        <w:t xml:space="preserve">4.  Median job </w:t>
      </w:r>
      <w:proofErr w:type="gramStart"/>
      <w:r>
        <w:rPr>
          <w:rFonts w:ascii="Arial" w:eastAsia="Arial" w:hAnsi="Arial" w:cs="Arial"/>
          <w:b/>
          <w:bCs/>
          <w:color w:val="1F3864"/>
          <w:sz w:val="22"/>
          <w:szCs w:val="22"/>
        </w:rPr>
        <w:t xml:space="preserve">tenure  </w:t>
      </w:r>
      <w:r>
        <w:rPr>
          <w:rFonts w:ascii="Arial" w:eastAsia="Arial" w:hAnsi="Arial" w:cs="Arial"/>
          <w:i/>
          <w:iCs/>
          <w:color w:val="44546A"/>
          <w:sz w:val="22"/>
          <w:szCs w:val="22"/>
        </w:rPr>
        <w:t>(</w:t>
      </w:r>
      <w:proofErr w:type="gramEnd"/>
      <w:r>
        <w:rPr>
          <w:rFonts w:ascii="Arial" w:eastAsia="Arial" w:hAnsi="Arial" w:cs="Arial"/>
          <w:i/>
          <w:iCs/>
          <w:color w:val="44546A"/>
          <w:sz w:val="22"/>
          <w:szCs w:val="22"/>
        </w:rPr>
        <w:t xml:space="preserve">BLS tenure supplement, biennial, </w:t>
      </w:r>
      <w:proofErr w:type="gramStart"/>
      <w:r>
        <w:rPr>
          <w:rFonts w:ascii="Arial" w:eastAsia="Arial" w:hAnsi="Arial" w:cs="Arial"/>
          <w:i/>
          <w:iCs/>
          <w:color w:val="44546A"/>
          <w:sz w:val="22"/>
          <w:szCs w:val="22"/>
        </w:rPr>
        <w:t xml:space="preserve">interpolated)  </w:t>
      </w:r>
      <w:r>
        <w:rPr>
          <w:rFonts w:ascii="Arial" w:eastAsia="Arial" w:hAnsi="Arial" w:cs="Arial"/>
          <w:color w:val="222222"/>
          <w:sz w:val="22"/>
          <w:szCs w:val="22"/>
        </w:rPr>
        <w:t>Stability</w:t>
      </w:r>
      <w:proofErr w:type="gramEnd"/>
      <w:r>
        <w:rPr>
          <w:rFonts w:ascii="Arial" w:eastAsia="Arial" w:hAnsi="Arial" w:cs="Arial"/>
          <w:color w:val="222222"/>
          <w:sz w:val="22"/>
          <w:szCs w:val="22"/>
        </w:rPr>
        <w:t xml:space="preserve"> of the employment relationship over time.</w:t>
      </w:r>
    </w:p>
    <w:p w14:paraId="3000DBB5" w14:textId="44AAC0E0" w:rsidR="00627C7F" w:rsidRDefault="00000000" w:rsidP="00DB3E82">
      <w:pPr>
        <w:spacing w:before="60" w:after="60"/>
        <w:ind w:left="360"/>
      </w:pPr>
      <w:r>
        <w:rPr>
          <w:rFonts w:ascii="Arial" w:eastAsia="Arial" w:hAnsi="Arial" w:cs="Arial"/>
          <w:b/>
          <w:bCs/>
          <w:color w:val="1F3864"/>
          <w:sz w:val="22"/>
          <w:szCs w:val="22"/>
        </w:rPr>
        <w:t xml:space="preserve">5.  JOLTS job openings </w:t>
      </w:r>
      <w:proofErr w:type="gramStart"/>
      <w:r>
        <w:rPr>
          <w:rFonts w:ascii="Arial" w:eastAsia="Arial" w:hAnsi="Arial" w:cs="Arial"/>
          <w:b/>
          <w:bCs/>
          <w:color w:val="1F3864"/>
          <w:sz w:val="22"/>
          <w:szCs w:val="22"/>
        </w:rPr>
        <w:t xml:space="preserve">rate  </w:t>
      </w:r>
      <w:r>
        <w:rPr>
          <w:rFonts w:ascii="Arial" w:eastAsia="Arial" w:hAnsi="Arial" w:cs="Arial"/>
          <w:i/>
          <w:iCs/>
          <w:color w:val="44546A"/>
          <w:sz w:val="22"/>
          <w:szCs w:val="22"/>
        </w:rPr>
        <w:t>(</w:t>
      </w:r>
      <w:proofErr w:type="gramEnd"/>
      <w:r>
        <w:rPr>
          <w:rFonts w:ascii="Arial" w:eastAsia="Arial" w:hAnsi="Arial" w:cs="Arial"/>
          <w:i/>
          <w:iCs/>
          <w:color w:val="44546A"/>
          <w:sz w:val="22"/>
          <w:szCs w:val="22"/>
        </w:rPr>
        <w:t>BLS, 2001–</w:t>
      </w:r>
      <w:proofErr w:type="gramStart"/>
      <w:r>
        <w:rPr>
          <w:rFonts w:ascii="Arial" w:eastAsia="Arial" w:hAnsi="Arial" w:cs="Arial"/>
          <w:i/>
          <w:iCs/>
          <w:color w:val="44546A"/>
          <w:sz w:val="22"/>
          <w:szCs w:val="22"/>
        </w:rPr>
        <w:t xml:space="preserve">present)  </w:t>
      </w:r>
      <w:r>
        <w:rPr>
          <w:rFonts w:ascii="Arial" w:eastAsia="Arial" w:hAnsi="Arial" w:cs="Arial"/>
          <w:color w:val="222222"/>
          <w:sz w:val="22"/>
          <w:szCs w:val="22"/>
        </w:rPr>
        <w:t>High</w:t>
      </w:r>
      <w:proofErr w:type="gramEnd"/>
      <w:r>
        <w:rPr>
          <w:rFonts w:ascii="Arial" w:eastAsia="Arial" w:hAnsi="Arial" w:cs="Arial"/>
          <w:color w:val="222222"/>
          <w:sz w:val="22"/>
          <w:szCs w:val="22"/>
        </w:rPr>
        <w:t xml:space="preserve"> openings are treated as a mild negative in the primary specification, reflecting churn risk. Sensitivity analysis tests both sign conventions.</w:t>
      </w:r>
    </w:p>
    <w:p w14:paraId="171AE05F" w14:textId="77777777" w:rsidR="00DB3E82" w:rsidRDefault="00DB3E82" w:rsidP="00DB3E82">
      <w:pPr>
        <w:spacing w:before="60" w:after="60"/>
        <w:ind w:left="360"/>
      </w:pPr>
    </w:p>
    <w:p w14:paraId="2BF98CF1" w14:textId="77777777" w:rsidR="00627C7F" w:rsidRDefault="00000000">
      <w:pPr>
        <w:spacing w:after="140"/>
        <w:jc w:val="both"/>
        <w:rPr>
          <w:rFonts w:ascii="Arial" w:eastAsia="Arial" w:hAnsi="Arial" w:cs="Arial"/>
          <w:color w:val="222222"/>
          <w:sz w:val="22"/>
          <w:szCs w:val="22"/>
        </w:rPr>
      </w:pPr>
      <w:r>
        <w:rPr>
          <w:rFonts w:ascii="Arial" w:eastAsia="Arial" w:hAnsi="Arial" w:cs="Arial"/>
          <w:color w:val="222222"/>
          <w:sz w:val="22"/>
          <w:szCs w:val="22"/>
        </w:rPr>
        <w:t>One component considered and excluded is the part-time-for-economic-reasons rate. Including it produced a correlation of r = 0.81 with U-6 — structural redundancy, since U-6 directly counts involuntary part-time workers. Excluding it reduces the WJSI–U-6 correlation to r = 0.15, establishing genuine differentiation.</w:t>
      </w:r>
    </w:p>
    <w:p w14:paraId="740411EC" w14:textId="4F53D7BA" w:rsidR="00DB3E82" w:rsidRDefault="00DB3E82">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We also considered </w:t>
      </w:r>
      <w:r w:rsidR="00E43E2F">
        <w:rPr>
          <w:rFonts w:ascii="Arial" w:eastAsia="Arial" w:hAnsi="Arial" w:cs="Arial"/>
          <w:color w:val="222222"/>
          <w:sz w:val="22"/>
          <w:szCs w:val="22"/>
        </w:rPr>
        <w:t xml:space="preserve">removing the Job Openings component from the index, since that number is closest to the “headline” in most JOLTS coverage, but removing that component increased correlation with unemployment, which we felt lowered the value of this additional index. Relatedly, we considered the possibility of using the JOLTS components without the tenure or union membership to get a more granular picture.  However, the highly cyclical nature of the JOLTS data indicated that it was measuring labor market tightness, not security.  This view was confirmed by the fact that using only JOLTS data nearly eliminated the predictive relationship to sentiment.  </w:t>
      </w:r>
    </w:p>
    <w:p w14:paraId="712F20D8" w14:textId="77777777" w:rsidR="00DB3E82" w:rsidRDefault="00DB3E82">
      <w:pPr>
        <w:spacing w:after="140"/>
        <w:jc w:val="both"/>
      </w:pPr>
    </w:p>
    <w:p w14:paraId="73F501E0" w14:textId="12FD1FE6" w:rsidR="00627C7F" w:rsidRDefault="00000000" w:rsidP="00DB3E82">
      <w:r>
        <w:rPr>
          <w:rFonts w:ascii="Arial" w:eastAsia="Arial" w:hAnsi="Arial" w:cs="Arial"/>
          <w:b/>
          <w:bCs/>
          <w:color w:val="1F3864"/>
          <w:spacing w:val="40"/>
        </w:rPr>
        <w:t>5.  BACKTESTING &amp; VALIDATION</w:t>
      </w:r>
    </w:p>
    <w:p w14:paraId="1955D255" w14:textId="77777777" w:rsidR="00627C7F" w:rsidRDefault="00000000">
      <w:pPr>
        <w:spacing w:after="140"/>
        <w:jc w:val="both"/>
      </w:pPr>
      <w:r>
        <w:rPr>
          <w:rFonts w:ascii="Arial" w:eastAsia="Arial" w:hAnsi="Arial" w:cs="Arial"/>
          <w:color w:val="222222"/>
          <w:sz w:val="22"/>
          <w:szCs w:val="22"/>
        </w:rPr>
        <w:t>The index passes all five primary validation tests: it falls during the 2001 recession, the 2008–09 financial crisis, and the 2020 COVID shock; it recovers after each; and its most recent reading (2024: 86.8) sits below the base year, consistent with the structural deterioration thesis.</w:t>
      </w:r>
    </w:p>
    <w:p w14:paraId="0C72C632" w14:textId="77777777" w:rsidR="00627C7F" w:rsidRDefault="00627C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627C7F" w14:paraId="0B1DFC4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A2A324C" w14:textId="77777777" w:rsidR="00627C7F" w:rsidRDefault="00000000">
            <w:r>
              <w:rPr>
                <w:rFonts w:ascii="Arial" w:eastAsia="Arial" w:hAnsi="Arial" w:cs="Arial"/>
                <w:b/>
                <w:bCs/>
                <w:color w:val="FFFFFF"/>
              </w:rPr>
              <w:t>Year / Event</w:t>
            </w:r>
          </w:p>
        </w:tc>
        <w:tc>
          <w:tcPr>
            <w:tcW w:w="10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FD8680D" w14:textId="77777777" w:rsidR="00627C7F" w:rsidRDefault="00000000">
            <w:pPr>
              <w:jc w:val="center"/>
            </w:pPr>
            <w:r>
              <w:rPr>
                <w:rFonts w:ascii="Arial" w:eastAsia="Arial" w:hAnsi="Arial" w:cs="Arial"/>
                <w:b/>
                <w:bCs/>
                <w:color w:val="FFFFFF"/>
              </w:rPr>
              <w:t>WJSI</w:t>
            </w:r>
          </w:p>
        </w:tc>
        <w:tc>
          <w:tcPr>
            <w:tcW w:w="556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1C1C776B" w14:textId="77777777" w:rsidR="00627C7F" w:rsidRDefault="00000000">
            <w:r>
              <w:rPr>
                <w:rFonts w:ascii="Arial" w:eastAsia="Arial" w:hAnsi="Arial" w:cs="Arial"/>
                <w:b/>
                <w:bCs/>
                <w:color w:val="FFFFFF"/>
              </w:rPr>
              <w:t>Context</w:t>
            </w:r>
          </w:p>
        </w:tc>
      </w:tr>
      <w:tr w:rsidR="00627C7F" w14:paraId="676793B6"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8649A79" w14:textId="77777777" w:rsidR="00627C7F" w:rsidRDefault="00000000">
            <w:r>
              <w:rPr>
                <w:rFonts w:ascii="Arial" w:eastAsia="Arial" w:hAnsi="Arial" w:cs="Arial"/>
                <w:color w:val="222222"/>
              </w:rPr>
              <w:t xml:space="preserve">2001 — </w:t>
            </w:r>
            <w:proofErr w:type="gramStart"/>
            <w:r>
              <w:rPr>
                <w:rFonts w:ascii="Arial" w:eastAsia="Arial" w:hAnsi="Arial" w:cs="Arial"/>
                <w:color w:val="222222"/>
              </w:rPr>
              <w:t>Dot-com</w:t>
            </w:r>
            <w:proofErr w:type="gramEnd"/>
            <w:r>
              <w:rPr>
                <w:rFonts w:ascii="Arial" w:eastAsia="Arial" w:hAnsi="Arial" w:cs="Arial"/>
                <w:color w:val="222222"/>
              </w:rPr>
              <w:t xml:space="preserve"> / 9-11</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6686C389" w14:textId="77777777" w:rsidR="00627C7F" w:rsidRDefault="00000000">
            <w:pPr>
              <w:jc w:val="center"/>
            </w:pPr>
            <w:r>
              <w:rPr>
                <w:rFonts w:ascii="Arial" w:eastAsia="Arial" w:hAnsi="Arial" w:cs="Arial"/>
                <w:b/>
                <w:bCs/>
                <w:color w:val="1F3864"/>
              </w:rPr>
              <w:t>89.8</w:t>
            </w:r>
          </w:p>
        </w:tc>
        <w:tc>
          <w:tcPr>
            <w:tcW w:w="55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5B0845B8" w14:textId="77777777" w:rsidR="00627C7F" w:rsidRDefault="00000000">
            <w:r>
              <w:rPr>
                <w:rFonts w:ascii="Arial" w:eastAsia="Arial" w:hAnsi="Arial" w:cs="Arial"/>
                <w:color w:val="222222"/>
              </w:rPr>
              <w:t xml:space="preserve">Below base; </w:t>
            </w:r>
            <w:proofErr w:type="spellStart"/>
            <w:r>
              <w:rPr>
                <w:rFonts w:ascii="Arial" w:eastAsia="Arial" w:hAnsi="Arial" w:cs="Arial"/>
                <w:color w:val="222222"/>
              </w:rPr>
              <w:t>labour</w:t>
            </w:r>
            <w:proofErr w:type="spellEnd"/>
            <w:r>
              <w:rPr>
                <w:rFonts w:ascii="Arial" w:eastAsia="Arial" w:hAnsi="Arial" w:cs="Arial"/>
                <w:color w:val="222222"/>
              </w:rPr>
              <w:t xml:space="preserve"> market disruption</w:t>
            </w:r>
          </w:p>
        </w:tc>
      </w:tr>
      <w:tr w:rsidR="00627C7F" w14:paraId="417AAA0E"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0B9A8E3A" w14:textId="77777777" w:rsidR="00627C7F" w:rsidRDefault="00000000">
            <w:r>
              <w:rPr>
                <w:rFonts w:ascii="Arial" w:eastAsia="Arial" w:hAnsi="Arial" w:cs="Arial"/>
                <w:color w:val="222222"/>
              </w:rPr>
              <w:t>2005 — Base year</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434F0A22" w14:textId="77777777" w:rsidR="00627C7F" w:rsidRDefault="00000000">
            <w:pPr>
              <w:jc w:val="center"/>
            </w:pPr>
            <w:r>
              <w:rPr>
                <w:rFonts w:ascii="Arial" w:eastAsia="Arial" w:hAnsi="Arial" w:cs="Arial"/>
                <w:b/>
                <w:bCs/>
                <w:color w:val="1F3864"/>
              </w:rPr>
              <w:t>100.0</w:t>
            </w:r>
          </w:p>
        </w:tc>
        <w:tc>
          <w:tcPr>
            <w:tcW w:w="55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4A4483A2" w14:textId="77777777" w:rsidR="00627C7F" w:rsidRDefault="00000000">
            <w:r>
              <w:rPr>
                <w:rFonts w:ascii="Arial" w:eastAsia="Arial" w:hAnsi="Arial" w:cs="Arial"/>
                <w:color w:val="222222"/>
              </w:rPr>
              <w:t>Reference level</w:t>
            </w:r>
          </w:p>
        </w:tc>
      </w:tr>
      <w:tr w:rsidR="00627C7F" w14:paraId="25B3600C"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9DAAA83" w14:textId="77777777" w:rsidR="00627C7F" w:rsidRDefault="00000000">
            <w:r>
              <w:rPr>
                <w:rFonts w:ascii="Arial" w:eastAsia="Arial" w:hAnsi="Arial" w:cs="Arial"/>
                <w:color w:val="222222"/>
              </w:rPr>
              <w:t>2009 — GFC trough</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74CC2BBE" w14:textId="77777777" w:rsidR="00627C7F" w:rsidRDefault="00000000">
            <w:pPr>
              <w:jc w:val="center"/>
            </w:pPr>
            <w:r>
              <w:rPr>
                <w:rFonts w:ascii="Arial" w:eastAsia="Arial" w:hAnsi="Arial" w:cs="Arial"/>
                <w:b/>
                <w:bCs/>
                <w:color w:val="1F3864"/>
              </w:rPr>
              <w:t>83.2</w:t>
            </w:r>
          </w:p>
        </w:tc>
        <w:tc>
          <w:tcPr>
            <w:tcW w:w="55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57B71527" w14:textId="77777777" w:rsidR="00627C7F" w:rsidRDefault="00000000">
            <w:r>
              <w:rPr>
                <w:rFonts w:ascii="Arial" w:eastAsia="Arial" w:hAnsi="Arial" w:cs="Arial"/>
                <w:color w:val="222222"/>
              </w:rPr>
              <w:t>Layoffs spike, quits collapse</w:t>
            </w:r>
          </w:p>
        </w:tc>
      </w:tr>
      <w:tr w:rsidR="00627C7F" w14:paraId="20B62369"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6D786EE5" w14:textId="77777777" w:rsidR="00627C7F" w:rsidRDefault="00000000">
            <w:r>
              <w:rPr>
                <w:rFonts w:ascii="Arial" w:eastAsia="Arial" w:hAnsi="Arial" w:cs="Arial"/>
                <w:color w:val="222222"/>
              </w:rPr>
              <w:t>2013–14 — Recovery peak</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40432C6B" w14:textId="77777777" w:rsidR="00627C7F" w:rsidRDefault="00000000">
            <w:pPr>
              <w:jc w:val="center"/>
            </w:pPr>
            <w:r>
              <w:rPr>
                <w:rFonts w:ascii="Arial" w:eastAsia="Arial" w:hAnsi="Arial" w:cs="Arial"/>
                <w:b/>
                <w:bCs/>
                <w:color w:val="1F3864"/>
              </w:rPr>
              <w:t>107.9</w:t>
            </w:r>
          </w:p>
        </w:tc>
        <w:tc>
          <w:tcPr>
            <w:tcW w:w="55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6C0BEDFE" w14:textId="77777777" w:rsidR="00627C7F" w:rsidRDefault="00000000">
            <w:r>
              <w:rPr>
                <w:rFonts w:ascii="Arial" w:eastAsia="Arial" w:hAnsi="Arial" w:cs="Arial"/>
                <w:color w:val="222222"/>
              </w:rPr>
              <w:t xml:space="preserve">Layoffs </w:t>
            </w:r>
            <w:proofErr w:type="gramStart"/>
            <w:r>
              <w:rPr>
                <w:rFonts w:ascii="Arial" w:eastAsia="Arial" w:hAnsi="Arial" w:cs="Arial"/>
                <w:color w:val="222222"/>
              </w:rPr>
              <w:t>fall,</w:t>
            </w:r>
            <w:proofErr w:type="gramEnd"/>
            <w:r>
              <w:rPr>
                <w:rFonts w:ascii="Arial" w:eastAsia="Arial" w:hAnsi="Arial" w:cs="Arial"/>
                <w:color w:val="222222"/>
              </w:rPr>
              <w:t xml:space="preserve"> tenure rises</w:t>
            </w:r>
          </w:p>
        </w:tc>
      </w:tr>
      <w:tr w:rsidR="00627C7F" w14:paraId="63181C7C"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06792979" w14:textId="77777777" w:rsidR="00627C7F" w:rsidRDefault="00000000">
            <w:r>
              <w:rPr>
                <w:rFonts w:ascii="Arial" w:eastAsia="Arial" w:hAnsi="Arial" w:cs="Arial"/>
                <w:color w:val="222222"/>
              </w:rPr>
              <w:t>2020 — COVID shock</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7138AE84" w14:textId="77777777" w:rsidR="00627C7F" w:rsidRDefault="00000000">
            <w:pPr>
              <w:jc w:val="center"/>
            </w:pPr>
            <w:r>
              <w:rPr>
                <w:rFonts w:ascii="Arial" w:eastAsia="Arial" w:hAnsi="Arial" w:cs="Arial"/>
                <w:b/>
                <w:bCs/>
                <w:color w:val="1F3864"/>
              </w:rPr>
              <w:t>51.7</w:t>
            </w:r>
          </w:p>
        </w:tc>
        <w:tc>
          <w:tcPr>
            <w:tcW w:w="55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268BFA90" w14:textId="77777777" w:rsidR="00627C7F" w:rsidRDefault="00000000">
            <w:r>
              <w:rPr>
                <w:rFonts w:ascii="Arial" w:eastAsia="Arial" w:hAnsi="Arial" w:cs="Arial"/>
                <w:color w:val="222222"/>
              </w:rPr>
              <w:t>Sharpest single-year deterioration on record</w:t>
            </w:r>
          </w:p>
        </w:tc>
      </w:tr>
      <w:tr w:rsidR="00627C7F" w14:paraId="363FEBE6"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2F09A766" w14:textId="77777777" w:rsidR="00627C7F" w:rsidRDefault="00000000">
            <w:r>
              <w:rPr>
                <w:rFonts w:ascii="Arial" w:eastAsia="Arial" w:hAnsi="Arial" w:cs="Arial"/>
                <w:color w:val="222222"/>
              </w:rPr>
              <w:t>2022 — Post-COVID tightening</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2067D28B" w14:textId="77777777" w:rsidR="00627C7F" w:rsidRDefault="00000000">
            <w:pPr>
              <w:jc w:val="center"/>
            </w:pPr>
            <w:r>
              <w:rPr>
                <w:rFonts w:ascii="Arial" w:eastAsia="Arial" w:hAnsi="Arial" w:cs="Arial"/>
                <w:b/>
                <w:bCs/>
                <w:color w:val="1F3864"/>
              </w:rPr>
              <w:t>99.1</w:t>
            </w:r>
          </w:p>
        </w:tc>
        <w:tc>
          <w:tcPr>
            <w:tcW w:w="55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4A04D3D8" w14:textId="77777777" w:rsidR="00627C7F" w:rsidRDefault="00000000">
            <w:r>
              <w:rPr>
                <w:rFonts w:ascii="Arial" w:eastAsia="Arial" w:hAnsi="Arial" w:cs="Arial"/>
                <w:color w:val="222222"/>
              </w:rPr>
              <w:t>Near full recovery</w:t>
            </w:r>
          </w:p>
        </w:tc>
      </w:tr>
      <w:tr w:rsidR="00627C7F" w14:paraId="703FBD2F" w14:textId="77777777">
        <w:tblPrEx>
          <w:tblCellMar>
            <w:top w:w="0" w:type="dxa"/>
            <w:bottom w:w="0" w:type="dxa"/>
          </w:tblCellMar>
        </w:tblPrEx>
        <w:tc>
          <w:tcPr>
            <w:tcW w:w="28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4D4995A5" w14:textId="77777777" w:rsidR="00627C7F" w:rsidRDefault="00000000">
            <w:r>
              <w:rPr>
                <w:rFonts w:ascii="Arial" w:eastAsia="Arial" w:hAnsi="Arial" w:cs="Arial"/>
                <w:color w:val="222222"/>
              </w:rPr>
              <w:t>2024 — Most recent</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AFEB289" w14:textId="77777777" w:rsidR="00627C7F" w:rsidRDefault="00000000">
            <w:pPr>
              <w:jc w:val="center"/>
            </w:pPr>
            <w:r>
              <w:rPr>
                <w:rFonts w:ascii="Arial" w:eastAsia="Arial" w:hAnsi="Arial" w:cs="Arial"/>
                <w:b/>
                <w:bCs/>
                <w:color w:val="1F3864"/>
              </w:rPr>
              <w:t>86.8</w:t>
            </w:r>
          </w:p>
        </w:tc>
        <w:tc>
          <w:tcPr>
            <w:tcW w:w="55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3813F235" w14:textId="77777777" w:rsidR="00627C7F" w:rsidRDefault="00000000">
            <w:r>
              <w:rPr>
                <w:rFonts w:ascii="Arial" w:eastAsia="Arial" w:hAnsi="Arial" w:cs="Arial"/>
                <w:color w:val="222222"/>
              </w:rPr>
              <w:t>Below base despite U-3 near historic lows</w:t>
            </w:r>
          </w:p>
        </w:tc>
      </w:tr>
    </w:tbl>
    <w:p w14:paraId="58499D6C" w14:textId="77777777" w:rsidR="00627C7F" w:rsidRDefault="00627C7F">
      <w:pPr>
        <w:spacing w:after="80"/>
      </w:pPr>
    </w:p>
    <w:p w14:paraId="1B2920E9" w14:textId="77777777" w:rsidR="00627C7F" w:rsidRDefault="00000000">
      <w:pPr>
        <w:spacing w:after="140"/>
        <w:jc w:val="both"/>
      </w:pPr>
      <w:r>
        <w:rPr>
          <w:rFonts w:ascii="Arial" w:eastAsia="Arial" w:hAnsi="Arial" w:cs="Arial"/>
          <w:b/>
          <w:bCs/>
          <w:color w:val="1F3864"/>
          <w:sz w:val="22"/>
          <w:szCs w:val="22"/>
        </w:rPr>
        <w:t xml:space="preserve">The 2022–2024 divergence is the central finding. </w:t>
      </w:r>
      <w:r>
        <w:rPr>
          <w:rFonts w:ascii="Arial" w:eastAsia="Arial" w:hAnsi="Arial" w:cs="Arial"/>
          <w:color w:val="222222"/>
          <w:sz w:val="22"/>
          <w:szCs w:val="22"/>
        </w:rPr>
        <w:t xml:space="preserve">Headline employment statistics describe a strong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the WJSI is deteriorating. The proximate drivers are the collapse in voluntary quits (down 25% from their 2022 peak), continued erosion of union membership to record lows, and a decline in median tenure — all structural rather than cyclical signals.</w:t>
      </w:r>
    </w:p>
    <w:p w14:paraId="13E05AF8" w14:textId="77777777" w:rsidR="00627C7F" w:rsidRDefault="00000000">
      <w:pPr>
        <w:spacing w:before="280" w:after="80"/>
      </w:pPr>
      <w:r>
        <w:rPr>
          <w:rFonts w:ascii="Arial" w:eastAsia="Arial" w:hAnsi="Arial" w:cs="Arial"/>
          <w:b/>
          <w:bCs/>
          <w:color w:val="1F3864"/>
          <w:spacing w:val="40"/>
        </w:rPr>
        <w:t>DIFFERENTIATION FROM EXISTING MEASURES</w:t>
      </w:r>
    </w:p>
    <w:p w14:paraId="210EAB25" w14:textId="77777777" w:rsidR="00627C7F" w:rsidRDefault="00000000">
      <w:pPr>
        <w:spacing w:after="140"/>
        <w:jc w:val="both"/>
      </w:pPr>
      <w:r>
        <w:rPr>
          <w:rFonts w:ascii="Arial" w:eastAsia="Arial" w:hAnsi="Arial" w:cs="Arial"/>
          <w:color w:val="222222"/>
          <w:sz w:val="22"/>
          <w:szCs w:val="22"/>
        </w:rPr>
        <w:t>The WJSI has been tested against six external indicators across the full 2001–2025 sample:</w:t>
      </w:r>
    </w:p>
    <w:p w14:paraId="4AC8761E" w14:textId="77777777" w:rsidR="00627C7F" w:rsidRDefault="00627C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4960"/>
      </w:tblGrid>
      <w:tr w:rsidR="00627C7F" w14:paraId="638244BD"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44546A"/>
            <w:tcMar>
              <w:top w:w="80" w:type="dxa"/>
              <w:left w:w="120" w:type="dxa"/>
              <w:bottom w:w="80" w:type="dxa"/>
              <w:right w:w="120" w:type="dxa"/>
            </w:tcMar>
          </w:tcPr>
          <w:p w14:paraId="07684846" w14:textId="77777777" w:rsidR="00627C7F" w:rsidRDefault="00000000">
            <w:r>
              <w:rPr>
                <w:rFonts w:ascii="Arial" w:eastAsia="Arial" w:hAnsi="Arial" w:cs="Arial"/>
                <w:b/>
                <w:bCs/>
                <w:color w:val="FFFFFF"/>
              </w:rPr>
              <w:t>Indicator</w:t>
            </w:r>
          </w:p>
        </w:tc>
        <w:tc>
          <w:tcPr>
            <w:tcW w:w="900" w:type="dxa"/>
            <w:tcBorders>
              <w:top w:val="none" w:sz="0" w:space="0" w:color="FFFFFF"/>
              <w:left w:val="none" w:sz="0" w:space="0" w:color="FFFFFF"/>
              <w:bottom w:val="none" w:sz="0" w:space="0" w:color="FFFFFF"/>
              <w:right w:val="none" w:sz="0" w:space="0" w:color="FFFFFF"/>
            </w:tcBorders>
            <w:shd w:val="clear" w:color="auto" w:fill="44546A"/>
            <w:tcMar>
              <w:top w:w="80" w:type="dxa"/>
              <w:left w:w="120" w:type="dxa"/>
              <w:bottom w:w="80" w:type="dxa"/>
              <w:right w:w="120" w:type="dxa"/>
            </w:tcMar>
          </w:tcPr>
          <w:p w14:paraId="46A96412" w14:textId="77777777" w:rsidR="00627C7F" w:rsidRDefault="00000000">
            <w:pPr>
              <w:jc w:val="center"/>
            </w:pPr>
            <w:r>
              <w:rPr>
                <w:rFonts w:ascii="Arial" w:eastAsia="Arial" w:hAnsi="Arial" w:cs="Arial"/>
                <w:b/>
                <w:bCs/>
                <w:color w:val="FFFFFF"/>
              </w:rPr>
              <w:t>r (lag 0)</w:t>
            </w:r>
          </w:p>
        </w:tc>
        <w:tc>
          <w:tcPr>
            <w:tcW w:w="4960" w:type="dxa"/>
            <w:tcBorders>
              <w:top w:val="none" w:sz="0" w:space="0" w:color="FFFFFF"/>
              <w:left w:val="none" w:sz="0" w:space="0" w:color="FFFFFF"/>
              <w:bottom w:val="none" w:sz="0" w:space="0" w:color="FFFFFF"/>
              <w:right w:val="none" w:sz="0" w:space="0" w:color="FFFFFF"/>
            </w:tcBorders>
            <w:shd w:val="clear" w:color="auto" w:fill="44546A"/>
            <w:tcMar>
              <w:top w:w="80" w:type="dxa"/>
              <w:left w:w="120" w:type="dxa"/>
              <w:bottom w:w="80" w:type="dxa"/>
              <w:right w:w="120" w:type="dxa"/>
            </w:tcMar>
          </w:tcPr>
          <w:p w14:paraId="6B70DAAE" w14:textId="77777777" w:rsidR="00627C7F" w:rsidRDefault="00000000">
            <w:r>
              <w:rPr>
                <w:rFonts w:ascii="Arial" w:eastAsia="Arial" w:hAnsi="Arial" w:cs="Arial"/>
                <w:b/>
                <w:bCs/>
                <w:color w:val="FFFFFF"/>
              </w:rPr>
              <w:t>Interpretation</w:t>
            </w:r>
          </w:p>
        </w:tc>
      </w:tr>
      <w:tr w:rsidR="00627C7F" w14:paraId="5E350DEA" w14:textId="77777777">
        <w:tblPrEx>
          <w:tblCellMar>
            <w:top w:w="0" w:type="dxa"/>
            <w:bottom w:w="0" w:type="dxa"/>
          </w:tblCellMar>
        </w:tblPrEx>
        <w:tc>
          <w:tcPr>
            <w:tcW w:w="35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793E659" w14:textId="77777777" w:rsidR="00627C7F" w:rsidRDefault="00000000">
            <w:r>
              <w:rPr>
                <w:rFonts w:ascii="Arial" w:eastAsia="Arial" w:hAnsi="Arial" w:cs="Arial"/>
                <w:color w:val="222222"/>
              </w:rPr>
              <w:t>U-6 underemployment</w:t>
            </w:r>
          </w:p>
        </w:tc>
        <w:tc>
          <w:tcPr>
            <w:tcW w:w="9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FF89616" w14:textId="77777777" w:rsidR="00627C7F" w:rsidRDefault="00000000">
            <w:pPr>
              <w:jc w:val="center"/>
            </w:pPr>
            <w:r>
              <w:rPr>
                <w:rFonts w:ascii="Arial" w:eastAsia="Arial" w:hAnsi="Arial" w:cs="Arial"/>
                <w:color w:val="1F3864"/>
              </w:rPr>
              <w:t>−0.15</w:t>
            </w:r>
          </w:p>
        </w:tc>
        <w:tc>
          <w:tcPr>
            <w:tcW w:w="4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1EA294D9" w14:textId="77777777" w:rsidR="00627C7F" w:rsidRDefault="00000000">
            <w:r>
              <w:rPr>
                <w:rFonts w:ascii="Arial" w:eastAsia="Arial" w:hAnsi="Arial" w:cs="Arial"/>
                <w:color w:val="222222"/>
              </w:rPr>
              <w:t>Not redundant with broadest unemployment measure</w:t>
            </w:r>
          </w:p>
        </w:tc>
      </w:tr>
      <w:tr w:rsidR="00627C7F" w14:paraId="0A1FC7FD" w14:textId="77777777">
        <w:tblPrEx>
          <w:tblCellMar>
            <w:top w:w="0" w:type="dxa"/>
            <w:bottom w:w="0" w:type="dxa"/>
          </w:tblCellMar>
        </w:tblPrEx>
        <w:tc>
          <w:tcPr>
            <w:tcW w:w="35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3463B5FB" w14:textId="77777777" w:rsidR="00627C7F" w:rsidRDefault="00000000">
            <w:r>
              <w:rPr>
                <w:rFonts w:ascii="Arial" w:eastAsia="Arial" w:hAnsi="Arial" w:cs="Arial"/>
                <w:color w:val="222222"/>
              </w:rPr>
              <w:lastRenderedPageBreak/>
              <w:t>U-3 unemployment</w:t>
            </w:r>
          </w:p>
        </w:tc>
        <w:tc>
          <w:tcPr>
            <w:tcW w:w="9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70492E34" w14:textId="77777777" w:rsidR="00627C7F" w:rsidRDefault="00000000">
            <w:pPr>
              <w:jc w:val="center"/>
            </w:pPr>
            <w:r>
              <w:rPr>
                <w:rFonts w:ascii="Arial" w:eastAsia="Arial" w:hAnsi="Arial" w:cs="Arial"/>
                <w:color w:val="1F3864"/>
              </w:rPr>
              <w:t>−0.24</w:t>
            </w:r>
          </w:p>
        </w:tc>
        <w:tc>
          <w:tcPr>
            <w:tcW w:w="4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427E80CB" w14:textId="77777777" w:rsidR="00627C7F" w:rsidRDefault="00000000">
            <w:r>
              <w:rPr>
                <w:rFonts w:ascii="Arial" w:eastAsia="Arial" w:hAnsi="Arial" w:cs="Arial"/>
                <w:color w:val="222222"/>
              </w:rPr>
              <w:t>Not redundant with headline unemployment</w:t>
            </w:r>
          </w:p>
        </w:tc>
      </w:tr>
      <w:tr w:rsidR="00627C7F" w14:paraId="0E9EF25B" w14:textId="77777777">
        <w:tblPrEx>
          <w:tblCellMar>
            <w:top w:w="0" w:type="dxa"/>
            <w:bottom w:w="0" w:type="dxa"/>
          </w:tblCellMar>
        </w:tblPrEx>
        <w:tc>
          <w:tcPr>
            <w:tcW w:w="35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0047D908" w14:textId="77777777" w:rsidR="00627C7F" w:rsidRDefault="00000000">
            <w:r>
              <w:rPr>
                <w:rFonts w:ascii="Arial" w:eastAsia="Arial" w:hAnsi="Arial" w:cs="Arial"/>
                <w:color w:val="222222"/>
              </w:rPr>
              <w:t>Real GDP growth</w:t>
            </w:r>
          </w:p>
        </w:tc>
        <w:tc>
          <w:tcPr>
            <w:tcW w:w="9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5F5DAA26" w14:textId="77777777" w:rsidR="00627C7F" w:rsidRDefault="00000000">
            <w:pPr>
              <w:jc w:val="center"/>
            </w:pPr>
            <w:r>
              <w:rPr>
                <w:rFonts w:ascii="Arial" w:eastAsia="Arial" w:hAnsi="Arial" w:cs="Arial"/>
                <w:color w:val="1F3864"/>
              </w:rPr>
              <w:t>+0.66</w:t>
            </w:r>
          </w:p>
        </w:tc>
        <w:tc>
          <w:tcPr>
            <w:tcW w:w="4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20" w:type="dxa"/>
              <w:bottom w:w="80" w:type="dxa"/>
              <w:right w:w="120" w:type="dxa"/>
            </w:tcMar>
          </w:tcPr>
          <w:p w14:paraId="27554E06" w14:textId="77777777" w:rsidR="00627C7F" w:rsidRDefault="00000000">
            <w:r>
              <w:rPr>
                <w:rFonts w:ascii="Arial" w:eastAsia="Arial" w:hAnsi="Arial" w:cs="Arial"/>
                <w:color w:val="222222"/>
              </w:rPr>
              <w:t>Meaningful business-cycle co-movement (expected)</w:t>
            </w:r>
          </w:p>
        </w:tc>
      </w:tr>
      <w:tr w:rsidR="00627C7F" w14:paraId="7A20EF23" w14:textId="77777777">
        <w:tblPrEx>
          <w:tblCellMar>
            <w:top w:w="0" w:type="dxa"/>
            <w:bottom w:w="0" w:type="dxa"/>
          </w:tblCellMar>
        </w:tblPrEx>
        <w:tc>
          <w:tcPr>
            <w:tcW w:w="35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02C44D0D" w14:textId="77777777" w:rsidR="00627C7F" w:rsidRDefault="00000000">
            <w:r>
              <w:rPr>
                <w:rFonts w:ascii="Arial" w:eastAsia="Arial" w:hAnsi="Arial" w:cs="Arial"/>
                <w:color w:val="222222"/>
              </w:rPr>
              <w:t>Michigan Consumer Sentiment (contemporaneous)</w:t>
            </w:r>
          </w:p>
        </w:tc>
        <w:tc>
          <w:tcPr>
            <w:tcW w:w="9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3FCCA3D8" w14:textId="77777777" w:rsidR="00627C7F" w:rsidRDefault="00000000">
            <w:pPr>
              <w:jc w:val="center"/>
            </w:pPr>
            <w:r>
              <w:rPr>
                <w:rFonts w:ascii="Arial" w:eastAsia="Arial" w:hAnsi="Arial" w:cs="Arial"/>
                <w:color w:val="1F3864"/>
              </w:rPr>
              <w:t>+0.15</w:t>
            </w:r>
          </w:p>
        </w:tc>
        <w:tc>
          <w:tcPr>
            <w:tcW w:w="4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20" w:type="dxa"/>
              <w:bottom w:w="80" w:type="dxa"/>
              <w:right w:w="120" w:type="dxa"/>
            </w:tcMar>
          </w:tcPr>
          <w:p w14:paraId="28B6712F" w14:textId="77777777" w:rsidR="00627C7F" w:rsidRDefault="00000000">
            <w:r>
              <w:rPr>
                <w:rFonts w:ascii="Arial" w:eastAsia="Arial" w:hAnsi="Arial" w:cs="Arial"/>
                <w:color w:val="222222"/>
              </w:rPr>
              <w:t>Weak contemporaneous; see lead/lag finding below</w:t>
            </w:r>
          </w:p>
        </w:tc>
      </w:tr>
    </w:tbl>
    <w:p w14:paraId="5C831477" w14:textId="77777777" w:rsidR="00627C7F" w:rsidRDefault="00627C7F">
      <w:pPr>
        <w:spacing w:after="80"/>
      </w:pPr>
    </w:p>
    <w:p w14:paraId="2BB4F1B9" w14:textId="77777777" w:rsidR="00627C7F" w:rsidRDefault="00000000">
      <w:pPr>
        <w:spacing w:after="140"/>
        <w:jc w:val="both"/>
      </w:pPr>
      <w:r>
        <w:rPr>
          <w:rFonts w:ascii="Arial" w:eastAsia="Arial" w:hAnsi="Arial" w:cs="Arial"/>
          <w:color w:val="222222"/>
          <w:sz w:val="22"/>
          <w:szCs w:val="22"/>
        </w:rPr>
        <w:t>Five alternative weighting schemes (union-heavy, JOLTS-focused, no-openings, and structural-only) all correlate above r = 0.80 with the equal-weight baseline, confirming that the index shape is not an artefact of weighting choices.</w:t>
      </w:r>
    </w:p>
    <w:p w14:paraId="57AA0D8A" w14:textId="77777777" w:rsidR="00627C7F" w:rsidRDefault="00000000">
      <w:pPr>
        <w:spacing w:before="280" w:after="80"/>
      </w:pPr>
      <w:r>
        <w:rPr>
          <w:rFonts w:ascii="Arial" w:eastAsia="Arial" w:hAnsi="Arial" w:cs="Arial"/>
          <w:b/>
          <w:bCs/>
          <w:color w:val="1F3864"/>
          <w:spacing w:val="40"/>
        </w:rPr>
        <w:t>LEAD/LAG STRUCTURE — THE KEY FINDING</w:t>
      </w:r>
    </w:p>
    <w:p w14:paraId="31D63DFA" w14:textId="77777777" w:rsidR="00627C7F" w:rsidRDefault="00000000">
      <w:pPr>
        <w:spacing w:after="140"/>
        <w:jc w:val="both"/>
      </w:pPr>
      <w:r>
        <w:rPr>
          <w:rFonts w:ascii="Arial" w:eastAsia="Arial" w:hAnsi="Arial" w:cs="Arial"/>
          <w:color w:val="222222"/>
          <w:sz w:val="22"/>
          <w:szCs w:val="22"/>
        </w:rPr>
        <w:t>The WJSI appears to lead the University of Michigan Consumer Sentiment Index by approximately two years. At a two-year lead, the Pearson correlation rises to r = 0.45 (p = 0.033). More importantly, a formal Granger causality test — which controls for Michigan Sentiment's own autocorrelation — yields F = 7.37, p = 0.014. The reverse direction (sentiment leading WJSI) is not significant (p = 0.41).</w:t>
      </w:r>
    </w:p>
    <w:p w14:paraId="0314674E" w14:textId="77777777" w:rsidR="00627C7F" w:rsidRDefault="00000000">
      <w:pPr>
        <w:spacing w:after="140"/>
        <w:jc w:val="both"/>
      </w:pPr>
      <w:r>
        <w:rPr>
          <w:rFonts w:ascii="Arial" w:eastAsia="Arial" w:hAnsi="Arial" w:cs="Arial"/>
          <w:color w:val="222222"/>
          <w:sz w:val="22"/>
          <w:szCs w:val="22"/>
        </w:rPr>
        <w:t xml:space="preserve">This finding requires qualification and should not be overstated. It does not survive permutation-based multiple-testing correction across all nine lags examined (familywise p = 0.16), and it is not present in pre-2008 data alone (r = 0.30, p = 0.25). Rolling-window analysis shows the relationship emerging and </w:t>
      </w:r>
      <w:proofErr w:type="spellStart"/>
      <w:r>
        <w:rPr>
          <w:rFonts w:ascii="Arial" w:eastAsia="Arial" w:hAnsi="Arial" w:cs="Arial"/>
          <w:color w:val="222222"/>
          <w:sz w:val="22"/>
          <w:szCs w:val="22"/>
        </w:rPr>
        <w:t>stabilising</w:t>
      </w:r>
      <w:proofErr w:type="spellEnd"/>
      <w:r>
        <w:rPr>
          <w:rFonts w:ascii="Arial" w:eastAsia="Arial" w:hAnsi="Arial" w:cs="Arial"/>
          <w:color w:val="222222"/>
          <w:sz w:val="22"/>
          <w:szCs w:val="22"/>
        </w:rPr>
        <w:t xml:space="preserve"> in the post-GFC environment: the 2007–2017 window alone yields r = 0.78. Leave-one-out cross-validation confirms marginal but positive out-of-sample predictive power (LOO R² = 0.097).</w:t>
      </w:r>
    </w:p>
    <w:p w14:paraId="40CBD9C0" w14:textId="045E3ED4" w:rsidR="00627C7F" w:rsidRDefault="00000000">
      <w:pPr>
        <w:spacing w:after="140"/>
        <w:jc w:val="both"/>
      </w:pPr>
      <w:r>
        <w:rPr>
          <w:rFonts w:ascii="Arial" w:eastAsia="Arial" w:hAnsi="Arial" w:cs="Arial"/>
          <w:color w:val="222222"/>
          <w:sz w:val="22"/>
          <w:szCs w:val="22"/>
        </w:rPr>
        <w:t xml:space="preserve">The most defensible framing </w:t>
      </w:r>
      <w:proofErr w:type="gramStart"/>
      <w:r>
        <w:rPr>
          <w:rFonts w:ascii="Arial" w:eastAsia="Arial" w:hAnsi="Arial" w:cs="Arial"/>
          <w:color w:val="222222"/>
          <w:sz w:val="22"/>
          <w:szCs w:val="22"/>
        </w:rPr>
        <w:t>is:</w:t>
      </w:r>
      <w:proofErr w:type="gramEnd"/>
      <w:r>
        <w:rPr>
          <w:rFonts w:ascii="Arial" w:eastAsia="Arial" w:hAnsi="Arial" w:cs="Arial"/>
          <w:color w:val="222222"/>
          <w:sz w:val="22"/>
          <w:szCs w:val="22"/>
        </w:rPr>
        <w:t xml:space="preserve"> in the post-2008 structural environment, deteriorating job security has preceded deteriorating consumer confidence by approximately two years. This is a post-GFC </w:t>
      </w:r>
      <w:proofErr w:type="spellStart"/>
      <w:r>
        <w:rPr>
          <w:rFonts w:ascii="Arial" w:eastAsia="Arial" w:hAnsi="Arial" w:cs="Arial"/>
          <w:color w:val="222222"/>
          <w:sz w:val="22"/>
          <w:szCs w:val="22"/>
        </w:rPr>
        <w:t>behavioural</w:t>
      </w:r>
      <w:proofErr w:type="spellEnd"/>
      <w:r>
        <w:rPr>
          <w:rFonts w:ascii="Arial" w:eastAsia="Arial" w:hAnsi="Arial" w:cs="Arial"/>
          <w:color w:val="222222"/>
          <w:sz w:val="22"/>
          <w:szCs w:val="22"/>
        </w:rPr>
        <w:t xml:space="preserve"> finding rather than a long-run structural one — but it is a finding worth monitoring and, given the Granger result, </w:t>
      </w:r>
      <w:r w:rsidR="00C75A98">
        <w:rPr>
          <w:rFonts w:ascii="Arial" w:eastAsia="Arial" w:hAnsi="Arial" w:cs="Arial"/>
          <w:color w:val="222222"/>
          <w:sz w:val="22"/>
          <w:szCs w:val="22"/>
        </w:rPr>
        <w:t xml:space="preserve">worth monitoring.  </w:t>
      </w:r>
    </w:p>
    <w:p w14:paraId="676D805A" w14:textId="77777777" w:rsidR="00627C7F" w:rsidRDefault="00627C7F">
      <w:pPr>
        <w:pBdr>
          <w:bottom w:val="single" w:sz="6" w:space="1" w:color="BDD0E9"/>
        </w:pBdr>
        <w:spacing w:after="160"/>
      </w:pPr>
    </w:p>
    <w:p w14:paraId="6EE1F939" w14:textId="438F9B7C" w:rsidR="00627C7F" w:rsidRDefault="00000000">
      <w:pPr>
        <w:spacing w:before="280" w:after="80"/>
      </w:pPr>
      <w:r>
        <w:rPr>
          <w:rFonts w:ascii="Arial" w:eastAsia="Arial" w:hAnsi="Arial" w:cs="Arial"/>
          <w:b/>
          <w:bCs/>
          <w:color w:val="1F3864"/>
          <w:spacing w:val="40"/>
        </w:rPr>
        <w:t>6.  NEXT STEPS</w:t>
      </w:r>
    </w:p>
    <w:p w14:paraId="6E22FB90" w14:textId="408D14B2" w:rsidR="00627C7F" w:rsidRDefault="00000000">
      <w:pPr>
        <w:spacing w:after="140"/>
        <w:jc w:val="both"/>
      </w:pPr>
      <w:r>
        <w:rPr>
          <w:rFonts w:ascii="Arial" w:eastAsia="Arial" w:hAnsi="Arial" w:cs="Arial"/>
          <w:color w:val="222222"/>
          <w:sz w:val="22"/>
          <w:szCs w:val="22"/>
        </w:rPr>
        <w:t xml:space="preserve">The index is methodologically complete at the prototype stage. </w:t>
      </w:r>
      <w:r w:rsidR="00C75A98">
        <w:rPr>
          <w:rFonts w:ascii="Arial" w:eastAsia="Arial" w:hAnsi="Arial" w:cs="Arial"/>
          <w:color w:val="222222"/>
          <w:sz w:val="22"/>
          <w:szCs w:val="22"/>
        </w:rPr>
        <w:t>Three big questions remain to validate.</w:t>
      </w:r>
    </w:p>
    <w:p w14:paraId="5A1A626C" w14:textId="0E5A1F54" w:rsidR="0056742A" w:rsidRPr="00C75A98" w:rsidRDefault="00000000">
      <w:pPr>
        <w:spacing w:after="140"/>
        <w:jc w:val="both"/>
        <w:rPr>
          <w:rFonts w:ascii="Arial" w:eastAsia="Arial" w:hAnsi="Arial" w:cs="Arial"/>
          <w:color w:val="222222"/>
          <w:sz w:val="22"/>
          <w:szCs w:val="22"/>
        </w:rPr>
      </w:pPr>
      <w:r>
        <w:rPr>
          <w:rFonts w:ascii="Arial" w:eastAsia="Arial" w:hAnsi="Arial" w:cs="Arial"/>
          <w:color w:val="222222"/>
          <w:sz w:val="22"/>
          <w:szCs w:val="22"/>
        </w:rPr>
        <w:t xml:space="preserve">The openings rate sign convention is theoretically contestable — high openings can signal either worker-friendly tight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markets or </w:t>
      </w:r>
      <w:proofErr w:type="spellStart"/>
      <w:r>
        <w:rPr>
          <w:rFonts w:ascii="Arial" w:eastAsia="Arial" w:hAnsi="Arial" w:cs="Arial"/>
          <w:color w:val="222222"/>
          <w:sz w:val="22"/>
          <w:szCs w:val="22"/>
        </w:rPr>
        <w:t>destabilising</w:t>
      </w:r>
      <w:proofErr w:type="spellEnd"/>
      <w:r>
        <w:rPr>
          <w:rFonts w:ascii="Arial" w:eastAsia="Arial" w:hAnsi="Arial" w:cs="Arial"/>
          <w:color w:val="222222"/>
          <w:sz w:val="22"/>
          <w:szCs w:val="22"/>
        </w:rPr>
        <w:t xml:space="preserve"> churn — and the choice materially affects the lead/lag result. Resolving this through consultation with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economists is the single most important near-term task.</w:t>
      </w:r>
      <w:r w:rsidR="0056742A">
        <w:rPr>
          <w:rFonts w:ascii="Arial" w:eastAsia="Arial" w:hAnsi="Arial" w:cs="Arial"/>
          <w:color w:val="222222"/>
          <w:sz w:val="22"/>
          <w:szCs w:val="22"/>
        </w:rPr>
        <w:t xml:space="preserve"> Moreover, the heavy reliance on the JOLTS data could indicate that the primary contribution is to extract a “headline” number from that set of data.  Alternatively, you could argue that rather to simply move the focus from the “job openings” data, which typically acts as the headline</w:t>
      </w:r>
      <w:r w:rsidR="00C75A98">
        <w:rPr>
          <w:rFonts w:ascii="Arial" w:eastAsia="Arial" w:hAnsi="Arial" w:cs="Arial"/>
          <w:color w:val="222222"/>
          <w:sz w:val="22"/>
          <w:szCs w:val="22"/>
        </w:rPr>
        <w:t xml:space="preserve">.  </w:t>
      </w:r>
    </w:p>
    <w:p w14:paraId="2624621B" w14:textId="6A8C7B24" w:rsidR="00627C7F" w:rsidRDefault="00000000">
      <w:pPr>
        <w:spacing w:after="140"/>
        <w:jc w:val="both"/>
      </w:pPr>
      <w:r>
        <w:rPr>
          <w:rFonts w:ascii="Arial" w:eastAsia="Arial" w:hAnsi="Arial" w:cs="Arial"/>
          <w:color w:val="222222"/>
          <w:sz w:val="22"/>
          <w:szCs w:val="22"/>
        </w:rPr>
        <w:t xml:space="preserve">The legacy series (union + tenure only, 1983–2000) shows a striking long-run structural decline — from approximately 280 in 1983 to 66 in </w:t>
      </w:r>
      <w:proofErr w:type="gramStart"/>
      <w:r>
        <w:rPr>
          <w:rFonts w:ascii="Arial" w:eastAsia="Arial" w:hAnsi="Arial" w:cs="Arial"/>
          <w:color w:val="222222"/>
          <w:sz w:val="22"/>
          <w:szCs w:val="22"/>
        </w:rPr>
        <w:t>2000</w:t>
      </w:r>
      <w:r w:rsidR="00C75A98">
        <w:rPr>
          <w:rFonts w:ascii="Arial" w:eastAsia="Arial" w:hAnsi="Arial" w:cs="Arial"/>
          <w:color w:val="222222"/>
          <w:sz w:val="22"/>
          <w:szCs w:val="22"/>
        </w:rPr>
        <w:t>,</w:t>
      </w:r>
      <w:r w:rsidR="00837051">
        <w:rPr>
          <w:rFonts w:ascii="Arial" w:eastAsia="Arial" w:hAnsi="Arial" w:cs="Arial"/>
          <w:color w:val="222222"/>
          <w:sz w:val="22"/>
          <w:szCs w:val="22"/>
        </w:rPr>
        <w:t xml:space="preserve"> </w:t>
      </w:r>
      <w:r w:rsidR="00C75A98">
        <w:rPr>
          <w:rFonts w:ascii="Arial" w:eastAsia="Arial" w:hAnsi="Arial" w:cs="Arial"/>
          <w:color w:val="222222"/>
          <w:sz w:val="22"/>
          <w:szCs w:val="22"/>
        </w:rPr>
        <w:t>and</w:t>
      </w:r>
      <w:proofErr w:type="gramEnd"/>
      <w:r w:rsidR="00C75A98">
        <w:rPr>
          <w:rFonts w:ascii="Arial" w:eastAsia="Arial" w:hAnsi="Arial" w:cs="Arial"/>
          <w:color w:val="222222"/>
          <w:sz w:val="22"/>
          <w:szCs w:val="22"/>
        </w:rPr>
        <w:t xml:space="preserve"> carries most of the weight</w:t>
      </w:r>
      <w:r w:rsidR="004D705C">
        <w:rPr>
          <w:rFonts w:ascii="Arial" w:eastAsia="Arial" w:hAnsi="Arial" w:cs="Arial"/>
          <w:color w:val="222222"/>
          <w:sz w:val="22"/>
          <w:szCs w:val="22"/>
        </w:rPr>
        <w:t xml:space="preserve"> in the post-GFC correlations.  </w:t>
      </w:r>
      <w:r w:rsidR="004D705C">
        <w:rPr>
          <w:rFonts w:ascii="Arial" w:eastAsia="Arial" w:hAnsi="Arial" w:cs="Arial"/>
          <w:color w:val="222222"/>
          <w:sz w:val="22"/>
          <w:szCs w:val="22"/>
        </w:rPr>
        <w:br/>
      </w:r>
      <w:r w:rsidR="004D705C">
        <w:rPr>
          <w:rFonts w:ascii="Arial" w:eastAsia="Arial" w:hAnsi="Arial" w:cs="Arial"/>
          <w:color w:val="222222"/>
          <w:sz w:val="22"/>
          <w:szCs w:val="22"/>
        </w:rPr>
        <w:br/>
        <w:t xml:space="preserve">Finally, the annual periodicity lowers the value for monitoring the economy through time.  It’s worth considering whether there are other publicly available data that could bridge some of the gap between the purely structural data and the annualized labor market data.  </w:t>
      </w:r>
    </w:p>
    <w:p w14:paraId="5A9FE99C" w14:textId="77777777" w:rsidR="00627C7F" w:rsidRDefault="00627C7F">
      <w:pPr>
        <w:pBdr>
          <w:bottom w:val="single" w:sz="6" w:space="1" w:color="BDD0E9"/>
        </w:pBdr>
        <w:spacing w:after="160"/>
      </w:pPr>
    </w:p>
    <w:p w14:paraId="43D1FAB6" w14:textId="77777777" w:rsidR="00627C7F" w:rsidRDefault="00000000">
      <w:pPr>
        <w:spacing w:before="80"/>
        <w:jc w:val="center"/>
      </w:pPr>
      <w:r>
        <w:rPr>
          <w:rFonts w:ascii="Arial" w:eastAsia="Arial" w:hAnsi="Arial" w:cs="Arial"/>
          <w:i/>
          <w:iCs/>
          <w:color w:val="888888"/>
          <w:sz w:val="18"/>
          <w:szCs w:val="18"/>
        </w:rPr>
        <w:t>All findings are preliminary. This note is prepared for discussion purposes only.</w:t>
      </w:r>
    </w:p>
    <w:sectPr w:rsidR="00627C7F">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64B3" w14:textId="77777777" w:rsidR="001F2A60" w:rsidRDefault="001F2A60">
      <w:r>
        <w:separator/>
      </w:r>
    </w:p>
  </w:endnote>
  <w:endnote w:type="continuationSeparator" w:id="0">
    <w:p w14:paraId="6DEE6D56" w14:textId="77777777" w:rsidR="001F2A60" w:rsidRDefault="001F2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0FB6" w14:textId="77777777" w:rsidR="00627C7F" w:rsidRDefault="00000000">
    <w:pPr>
      <w:pBdr>
        <w:top w:val="single" w:sz="2" w:space="4" w:color="BDD0E9"/>
      </w:pBdr>
      <w:tabs>
        <w:tab w:val="right" w:pos="9026"/>
      </w:tabs>
      <w:spacing w:before="120"/>
    </w:pPr>
    <w:r>
      <w:rPr>
        <w:rFonts w:ascii="Arial" w:eastAsia="Arial" w:hAnsi="Arial" w:cs="Arial"/>
        <w:color w:val="888888"/>
        <w:sz w:val="16"/>
        <w:szCs w:val="16"/>
      </w:rPr>
      <w:t>Data: BLS &amp; FRED. All sources publicly available. Code available on request.  April 2026</w:t>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6C6B9A">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C19C" w14:textId="77777777" w:rsidR="001F2A60" w:rsidRDefault="001F2A60">
      <w:r>
        <w:separator/>
      </w:r>
    </w:p>
  </w:footnote>
  <w:footnote w:type="continuationSeparator" w:id="0">
    <w:p w14:paraId="4317D11B" w14:textId="77777777" w:rsidR="001F2A60" w:rsidRDefault="001F2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85CC" w14:textId="77777777" w:rsidR="00627C7F" w:rsidRDefault="00000000">
    <w:pPr>
      <w:pBdr>
        <w:bottom w:val="single" w:sz="4" w:space="4" w:color="1F3864"/>
      </w:pBdr>
      <w:tabs>
        <w:tab w:val="right" w:pos="9026"/>
      </w:tabs>
      <w:spacing w:after="120"/>
    </w:pPr>
    <w:r>
      <w:rPr>
        <w:rFonts w:ascii="Arial" w:eastAsia="Arial" w:hAnsi="Arial" w:cs="Arial"/>
        <w:b/>
        <w:bCs/>
        <w:color w:val="1F3864"/>
        <w:spacing w:val="40"/>
        <w:sz w:val="18"/>
        <w:szCs w:val="18"/>
      </w:rPr>
      <w:t>WORKER JOB SECURITY INDEX</w:t>
    </w:r>
    <w:r>
      <w:rPr>
        <w:rFonts w:ascii="Arial" w:eastAsia="Arial" w:hAnsi="Arial" w:cs="Arial"/>
        <w:color w:val="44546A"/>
        <w:spacing w:val="20"/>
        <w:sz w:val="18"/>
        <w:szCs w:val="18"/>
      </w:rPr>
      <w:tab/>
      <w:t>PRELIMINARY — FOR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2A8F"/>
    <w:multiLevelType w:val="hybridMultilevel"/>
    <w:tmpl w:val="BD68E052"/>
    <w:lvl w:ilvl="0" w:tplc="2E92E67A">
      <w:start w:val="1"/>
      <w:numFmt w:val="decimal"/>
      <w:lvlText w:val="%1."/>
      <w:lvlJc w:val="left"/>
      <w:pPr>
        <w:ind w:left="540" w:hanging="360"/>
      </w:pPr>
      <w:rPr>
        <w:rFonts w:ascii="Arial" w:eastAsia="Arial" w:hAnsi="Arial" w:cs="Arial"/>
        <w:color w:val="222222"/>
        <w:sz w:val="22"/>
        <w:szCs w:val="22"/>
      </w:rPr>
    </w:lvl>
    <w:lvl w:ilvl="1" w:tplc="5C8A6F84">
      <w:numFmt w:val="decimal"/>
      <w:lvlText w:val=""/>
      <w:lvlJc w:val="left"/>
    </w:lvl>
    <w:lvl w:ilvl="2" w:tplc="73BEAB9C">
      <w:numFmt w:val="decimal"/>
      <w:lvlText w:val=""/>
      <w:lvlJc w:val="left"/>
    </w:lvl>
    <w:lvl w:ilvl="3" w:tplc="1E865E3C">
      <w:numFmt w:val="decimal"/>
      <w:lvlText w:val=""/>
      <w:lvlJc w:val="left"/>
    </w:lvl>
    <w:lvl w:ilvl="4" w:tplc="85A21D9A">
      <w:numFmt w:val="decimal"/>
      <w:lvlText w:val=""/>
      <w:lvlJc w:val="left"/>
    </w:lvl>
    <w:lvl w:ilvl="5" w:tplc="FF1A12E6">
      <w:numFmt w:val="decimal"/>
      <w:lvlText w:val=""/>
      <w:lvlJc w:val="left"/>
    </w:lvl>
    <w:lvl w:ilvl="6" w:tplc="5A62E538">
      <w:numFmt w:val="decimal"/>
      <w:lvlText w:val=""/>
      <w:lvlJc w:val="left"/>
    </w:lvl>
    <w:lvl w:ilvl="7" w:tplc="1D86EC02">
      <w:numFmt w:val="decimal"/>
      <w:lvlText w:val=""/>
      <w:lvlJc w:val="left"/>
    </w:lvl>
    <w:lvl w:ilvl="8" w:tplc="C5F04576">
      <w:numFmt w:val="decimal"/>
      <w:lvlText w:val=""/>
      <w:lvlJc w:val="left"/>
    </w:lvl>
  </w:abstractNum>
  <w:abstractNum w:abstractNumId="1" w15:restartNumberingAfterBreak="0">
    <w:nsid w:val="35D85BE6"/>
    <w:multiLevelType w:val="hybridMultilevel"/>
    <w:tmpl w:val="AF1422FE"/>
    <w:lvl w:ilvl="0" w:tplc="C740909C">
      <w:start w:val="1"/>
      <w:numFmt w:val="bullet"/>
      <w:lvlText w:val="●"/>
      <w:lvlJc w:val="left"/>
      <w:pPr>
        <w:ind w:left="720" w:hanging="360"/>
      </w:pPr>
    </w:lvl>
    <w:lvl w:ilvl="1" w:tplc="285A88CA">
      <w:start w:val="1"/>
      <w:numFmt w:val="bullet"/>
      <w:lvlText w:val="○"/>
      <w:lvlJc w:val="left"/>
      <w:pPr>
        <w:ind w:left="1440" w:hanging="360"/>
      </w:pPr>
    </w:lvl>
    <w:lvl w:ilvl="2" w:tplc="38268A78">
      <w:start w:val="1"/>
      <w:numFmt w:val="bullet"/>
      <w:lvlText w:val="■"/>
      <w:lvlJc w:val="left"/>
      <w:pPr>
        <w:ind w:left="2160" w:hanging="360"/>
      </w:pPr>
    </w:lvl>
    <w:lvl w:ilvl="3" w:tplc="B948860E">
      <w:start w:val="1"/>
      <w:numFmt w:val="bullet"/>
      <w:lvlText w:val="●"/>
      <w:lvlJc w:val="left"/>
      <w:pPr>
        <w:ind w:left="2880" w:hanging="360"/>
      </w:pPr>
    </w:lvl>
    <w:lvl w:ilvl="4" w:tplc="6ABE934C">
      <w:start w:val="1"/>
      <w:numFmt w:val="bullet"/>
      <w:lvlText w:val="○"/>
      <w:lvlJc w:val="left"/>
      <w:pPr>
        <w:ind w:left="3600" w:hanging="360"/>
      </w:pPr>
    </w:lvl>
    <w:lvl w:ilvl="5" w:tplc="624C684A">
      <w:start w:val="1"/>
      <w:numFmt w:val="bullet"/>
      <w:lvlText w:val="■"/>
      <w:lvlJc w:val="left"/>
      <w:pPr>
        <w:ind w:left="4320" w:hanging="360"/>
      </w:pPr>
    </w:lvl>
    <w:lvl w:ilvl="6" w:tplc="769A8F1A">
      <w:start w:val="1"/>
      <w:numFmt w:val="bullet"/>
      <w:lvlText w:val="●"/>
      <w:lvlJc w:val="left"/>
      <w:pPr>
        <w:ind w:left="5040" w:hanging="360"/>
      </w:pPr>
    </w:lvl>
    <w:lvl w:ilvl="7" w:tplc="59F6B05C">
      <w:start w:val="1"/>
      <w:numFmt w:val="bullet"/>
      <w:lvlText w:val="●"/>
      <w:lvlJc w:val="left"/>
      <w:pPr>
        <w:ind w:left="5760" w:hanging="360"/>
      </w:pPr>
    </w:lvl>
    <w:lvl w:ilvl="8" w:tplc="26342720">
      <w:start w:val="1"/>
      <w:numFmt w:val="bullet"/>
      <w:lvlText w:val="●"/>
      <w:lvlJc w:val="left"/>
      <w:pPr>
        <w:ind w:left="6480" w:hanging="360"/>
      </w:pPr>
    </w:lvl>
  </w:abstractNum>
  <w:num w:numId="1" w16cid:durableId="73936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C7F"/>
    <w:rsid w:val="001F2A60"/>
    <w:rsid w:val="002257B1"/>
    <w:rsid w:val="004D705C"/>
    <w:rsid w:val="0056742A"/>
    <w:rsid w:val="00627C7F"/>
    <w:rsid w:val="006C6B9A"/>
    <w:rsid w:val="006D1264"/>
    <w:rsid w:val="00837051"/>
    <w:rsid w:val="008E286E"/>
    <w:rsid w:val="009E2502"/>
    <w:rsid w:val="00C46986"/>
    <w:rsid w:val="00C662FF"/>
    <w:rsid w:val="00C75A98"/>
    <w:rsid w:val="00CE79BD"/>
    <w:rsid w:val="00D154F9"/>
    <w:rsid w:val="00DB3E82"/>
    <w:rsid w:val="00E4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DCA795"/>
  <w15:docId w15:val="{7B141B7A-46BD-2B4C-AE57-E2386FA1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15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ewresearch.org/short-reads/2025/10/03/most-americans-continue-to-rate-the-us-economy-negatively-as-partisan-gap-wide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1863</Words>
  <Characters>10886</Characters>
  <Application>Microsoft Office Word</Application>
  <DocSecurity>0</DocSecurity>
  <Lines>231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Amias Gerety</cp:lastModifiedBy>
  <cp:revision>5</cp:revision>
  <dcterms:created xsi:type="dcterms:W3CDTF">2026-04-04T02:05:00Z</dcterms:created>
  <dcterms:modified xsi:type="dcterms:W3CDTF">2026-04-07T14:11:00Z</dcterms:modified>
</cp:coreProperties>
</file>