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3214" w14:textId="77777777" w:rsidR="005353C4" w:rsidRDefault="00000000">
      <w:pPr>
        <w:spacing w:before="80" w:after="40"/>
      </w:pPr>
      <w:r>
        <w:rPr>
          <w:rFonts w:ascii="Arial" w:eastAsia="Arial" w:hAnsi="Arial" w:cs="Arial"/>
          <w:b/>
          <w:bCs/>
          <w:color w:val="1F3864"/>
          <w:sz w:val="40"/>
          <w:szCs w:val="40"/>
        </w:rPr>
        <w:t>Worker Job Security Index (WJSI)</w:t>
      </w:r>
    </w:p>
    <w:p w14:paraId="5DDD2485" w14:textId="77777777" w:rsidR="005353C4" w:rsidRDefault="00000000">
      <w:pPr>
        <w:spacing w:after="60"/>
      </w:pPr>
      <w:r>
        <w:rPr>
          <w:rFonts w:ascii="Arial" w:eastAsia="Arial" w:hAnsi="Arial" w:cs="Arial"/>
          <w:i/>
          <w:iCs/>
          <w:color w:val="44546A"/>
          <w:sz w:val="26"/>
          <w:szCs w:val="26"/>
        </w:rPr>
        <w:t>A New Composite Measure of Structural Job Security</w:t>
      </w:r>
    </w:p>
    <w:p w14:paraId="07CEFAE1" w14:textId="77777777" w:rsidR="005353C4" w:rsidRDefault="00000000">
      <w:pPr>
        <w:spacing w:after="80"/>
      </w:pPr>
      <w:r>
        <w:rPr>
          <w:rFonts w:ascii="Arial" w:eastAsia="Arial" w:hAnsi="Arial" w:cs="Arial"/>
          <w:color w:val="44546A"/>
        </w:rPr>
        <w:t xml:space="preserve">Version 2 — </w:t>
      </w:r>
      <w:ins w:id="0" w:author="Amias Gerety" w:date="2026-04-23T00:00:00Z">
        <w:r>
          <w:rPr>
            <w:rFonts w:ascii="Arial" w:eastAsia="Arial" w:hAnsi="Arial" w:cs="Arial"/>
            <w:b/>
            <w:bCs/>
            <w:color w:val="222222"/>
          </w:rPr>
          <w:t xml:space="preserve">6-component framework. </w:t>
        </w:r>
      </w:ins>
      <w:del w:id="1" w:author="Amias Gerety" w:date="2026-04-23T00:00:00Z">
        <w:r>
          <w:rPr>
            <w:rFonts w:ascii="Arial" w:eastAsia="Arial" w:hAnsi="Arial" w:cs="Arial"/>
            <w:color w:val="222222"/>
          </w:rPr>
          <w:delText>5-component framework.</w:delText>
        </w:r>
      </w:del>
      <w:r>
        <w:rPr>
          <w:rFonts w:ascii="Arial" w:eastAsia="Arial" w:hAnsi="Arial" w:cs="Arial"/>
          <w:i/>
          <w:iCs/>
          <w:color w:val="888888"/>
        </w:rPr>
        <w:t xml:space="preserve">  Track changes shown relative to v1.</w:t>
      </w:r>
    </w:p>
    <w:p w14:paraId="2A7B472E" w14:textId="77777777" w:rsidR="005353C4" w:rsidRDefault="005353C4">
      <w:pPr>
        <w:pBdr>
          <w:bottom w:val="single" w:sz="6" w:space="1" w:color="BDD0E9"/>
        </w:pBdr>
        <w:spacing w:after="160"/>
      </w:pPr>
    </w:p>
    <w:p w14:paraId="56668773" w14:textId="77777777" w:rsidR="005353C4" w:rsidRDefault="00000000">
      <w:pPr>
        <w:spacing w:before="280" w:after="80"/>
      </w:pPr>
      <w:r>
        <w:rPr>
          <w:rFonts w:ascii="Arial" w:eastAsia="Arial" w:hAnsi="Arial" w:cs="Arial"/>
          <w:b/>
          <w:bCs/>
          <w:color w:val="1F3864"/>
          <w:spacing w:val="40"/>
        </w:rPr>
        <w:t>1.  BACKGROUND &amp; MOTIVATION</w:t>
      </w:r>
    </w:p>
    <w:p w14:paraId="36673B84" w14:textId="77777777" w:rsidR="005353C4" w:rsidRDefault="00000000">
      <w:pPr>
        <w:spacing w:after="140"/>
        <w:jc w:val="both"/>
      </w:pPr>
      <w:r>
        <w:rPr>
          <w:rFonts w:ascii="Arial" w:eastAsia="Arial" w:hAnsi="Arial" w:cs="Arial"/>
          <w:color w:val="222222"/>
          <w:sz w:val="22"/>
          <w:szCs w:val="22"/>
        </w:rPr>
        <w:t>Headline unemployment statistics — U-3 and even the broader U-6 — measure whether Americans have jobs. They do not measure how secure those jobs are, whether workers have meaningful power to leave them, or whether the structural conditions underlying employment have deteriorated even as the headline numbers look healthy.</w:t>
      </w:r>
    </w:p>
    <w:p w14:paraId="316310A5" w14:textId="77777777" w:rsidR="005353C4" w:rsidRDefault="00000000">
      <w:pPr>
        <w:spacing w:after="140"/>
        <w:jc w:val="both"/>
      </w:pPr>
      <w:r>
        <w:rPr>
          <w:rFonts w:ascii="Arial" w:eastAsia="Arial" w:hAnsi="Arial" w:cs="Arial"/>
          <w:color w:val="222222"/>
          <w:sz w:val="22"/>
          <w:szCs w:val="22"/>
        </w:rPr>
        <w:t xml:space="preserve">This gap matters. Between 2022 and 2024, the U-3 unemployment rate remained at or below 4% — a level historically associated with a strong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market. Yet over the same period, the voluntary quit rate fell from 2.76% to 2.07% (a 25% decline), union membership hit a post-war low of 9.9%, and median job tenure began declining. Workers were employed, but increasingly stuck rather than secure.</w:t>
      </w:r>
    </w:p>
    <w:p w14:paraId="40824DAD" w14:textId="77777777" w:rsidR="005353C4" w:rsidRDefault="00000000">
      <w:pPr>
        <w:spacing w:after="140"/>
        <w:jc w:val="both"/>
      </w:pPr>
      <w:ins w:id="2" w:author="Amias Gerety" w:date="2026-04-23T00:00:00Z">
        <w:r>
          <w:rPr>
            <w:rFonts w:ascii="Arial" w:eastAsia="Arial" w:hAnsi="Arial" w:cs="Arial"/>
            <w:color w:val="222222"/>
            <w:sz w:val="22"/>
            <w:szCs w:val="22"/>
          </w:rPr>
          <w:t xml:space="preserve">Macro-level income distribution tells the same story. Between 2000 and 2024, the nonfarm business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share of income declined from approximately 111 to 97 on a 2012 = 100 index — its lowest level since the 1960s, indicating workers were collectively capturing a shrinking fraction of economic output even before accounting for job quality or security at the individual level.</w:t>
        </w:r>
      </w:ins>
    </w:p>
    <w:p w14:paraId="61EAC77A" w14:textId="77777777" w:rsidR="005353C4" w:rsidRDefault="00000000">
      <w:pPr>
        <w:spacing w:after="140"/>
        <w:jc w:val="both"/>
      </w:pPr>
      <w:r>
        <w:rPr>
          <w:rFonts w:ascii="Arial" w:eastAsia="Arial" w:hAnsi="Arial" w:cs="Arial"/>
          <w:color w:val="222222"/>
          <w:sz w:val="22"/>
          <w:szCs w:val="22"/>
        </w:rPr>
        <w:t>The Worker Job Security Index (WJSI) is designed to capture this distinction. It is a composite annual index that measures the structural conditions governing job security — not just employment status — for American wage and salary workers, benchmarked to 2005 = 100 and currently available from 2001 to present.</w:t>
      </w:r>
    </w:p>
    <w:p w14:paraId="06F3872A" w14:textId="77777777" w:rsidR="005353C4" w:rsidRDefault="005353C4">
      <w:pPr>
        <w:pBdr>
          <w:bottom w:val="single" w:sz="6" w:space="1" w:color="BDD0E9"/>
        </w:pBdr>
        <w:spacing w:after="160"/>
      </w:pPr>
    </w:p>
    <w:p w14:paraId="479502B1" w14:textId="77777777" w:rsidR="005353C4" w:rsidRDefault="00000000">
      <w:pPr>
        <w:spacing w:before="280" w:after="80"/>
      </w:pPr>
      <w:r>
        <w:rPr>
          <w:rFonts w:ascii="Arial" w:eastAsia="Arial" w:hAnsi="Arial" w:cs="Arial"/>
          <w:b/>
          <w:bCs/>
          <w:color w:val="1F3864"/>
          <w:spacing w:val="40"/>
        </w:rPr>
        <w:t>2.  HYPOTHESIS</w:t>
      </w:r>
    </w:p>
    <w:p w14:paraId="3A950F20" w14:textId="77777777" w:rsidR="005353C4" w:rsidRDefault="00000000">
      <w:pPr>
        <w:spacing w:after="140"/>
        <w:jc w:val="both"/>
      </w:pPr>
      <w:r>
        <w:rPr>
          <w:rFonts w:ascii="Arial" w:eastAsia="Arial" w:hAnsi="Arial" w:cs="Arial"/>
          <w:color w:val="222222"/>
          <w:sz w:val="22"/>
          <w:szCs w:val="22"/>
        </w:rPr>
        <w:t xml:space="preserve">The WJSI rests on a straightforward premise: job security is multi-dimensional and cannot be adequately captured by any single statistic. A worker is more secure when they have the structural protection of collective bargaining; the confidence and ability to voluntarily leave a job; a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market where employers are not actively reducing headcount; reasonable stability of tenure; an openings environment that does not generate excessive churn; and — in aggregate — a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market in which workers' collective share of economic output is not being eroded.</w:t>
      </w:r>
    </w:p>
    <w:p w14:paraId="03721BC4" w14:textId="77777777" w:rsidR="005353C4" w:rsidRDefault="00000000">
      <w:pPr>
        <w:spacing w:after="140"/>
        <w:jc w:val="both"/>
      </w:pPr>
      <w:r>
        <w:rPr>
          <w:rFonts w:ascii="Arial" w:eastAsia="Arial" w:hAnsi="Arial" w:cs="Arial"/>
          <w:color w:val="222222"/>
          <w:sz w:val="22"/>
          <w:szCs w:val="22"/>
        </w:rPr>
        <w:t>A secondary hypothesis — which the data partially supports — is that changes in structural job security precede changes in consumer confidence. Workers feel insecure before that insecurity registers in headline sentiment surveys. If this lead relationship holds, the WJSI has potential value as an early-warning indicator, not merely a descriptive one.</w:t>
      </w:r>
    </w:p>
    <w:p w14:paraId="4B9FD936" w14:textId="77777777" w:rsidR="005353C4" w:rsidRDefault="005353C4">
      <w:pPr>
        <w:pBdr>
          <w:bottom w:val="single" w:sz="6" w:space="1" w:color="BDD0E9"/>
        </w:pBdr>
        <w:spacing w:after="160"/>
      </w:pPr>
    </w:p>
    <w:p w14:paraId="4E5CD07F" w14:textId="77777777" w:rsidR="005353C4" w:rsidRDefault="00000000">
      <w:pPr>
        <w:spacing w:before="280" w:after="80"/>
      </w:pPr>
      <w:r>
        <w:rPr>
          <w:rFonts w:ascii="Arial" w:eastAsia="Arial" w:hAnsi="Arial" w:cs="Arial"/>
          <w:b/>
          <w:bCs/>
          <w:color w:val="1F3864"/>
          <w:spacing w:val="40"/>
        </w:rPr>
        <w:t>3.  LITERATURE CONTEXT</w:t>
      </w:r>
    </w:p>
    <w:p w14:paraId="59B776D8" w14:textId="77777777" w:rsidR="005353C4" w:rsidRDefault="00000000">
      <w:pPr>
        <w:spacing w:after="140"/>
        <w:jc w:val="both"/>
      </w:pPr>
      <w:r>
        <w:rPr>
          <w:rFonts w:ascii="Arial" w:eastAsia="Arial" w:hAnsi="Arial" w:cs="Arial"/>
          <w:color w:val="222222"/>
          <w:sz w:val="22"/>
          <w:szCs w:val="22"/>
        </w:rPr>
        <w:t xml:space="preserve">The inadequacy of headline unemployment as a welfare measure is well-established. Krueger et al. (2017) documented the significance of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force non-participation beyond the headline rate. Bernhardt et al. (2001) and Weil (2014, The Fissured Workplace) established that job quality — not just availability — has deteriorated structurally since the 1980s. Farber (2008, 2015) documented the long-run decline in job stability and tenure, particularly for male workers.</w:t>
      </w:r>
    </w:p>
    <w:p w14:paraId="6E572D15" w14:textId="77777777" w:rsidR="005353C4" w:rsidRDefault="00000000">
      <w:pPr>
        <w:spacing w:after="140"/>
        <w:jc w:val="both"/>
      </w:pPr>
      <w:r>
        <w:rPr>
          <w:rFonts w:ascii="Arial" w:eastAsia="Arial" w:hAnsi="Arial" w:cs="Arial"/>
          <w:color w:val="222222"/>
          <w:sz w:val="22"/>
          <w:szCs w:val="22"/>
        </w:rPr>
        <w:t xml:space="preserve">The quit rate as a proxy for worker bargaining power has been </w:t>
      </w:r>
      <w:proofErr w:type="spellStart"/>
      <w:r>
        <w:rPr>
          <w:rFonts w:ascii="Arial" w:eastAsia="Arial" w:hAnsi="Arial" w:cs="Arial"/>
          <w:color w:val="222222"/>
          <w:sz w:val="22"/>
          <w:szCs w:val="22"/>
        </w:rPr>
        <w:t>formalised</w:t>
      </w:r>
      <w:proofErr w:type="spellEnd"/>
      <w:r>
        <w:rPr>
          <w:rFonts w:ascii="Arial" w:eastAsia="Arial" w:hAnsi="Arial" w:cs="Arial"/>
          <w:color w:val="222222"/>
          <w:sz w:val="22"/>
          <w:szCs w:val="22"/>
        </w:rPr>
        <w:t xml:space="preserve"> by Daly, </w:t>
      </w:r>
      <w:proofErr w:type="spellStart"/>
      <w:r>
        <w:rPr>
          <w:rFonts w:ascii="Arial" w:eastAsia="Arial" w:hAnsi="Arial" w:cs="Arial"/>
          <w:color w:val="222222"/>
          <w:sz w:val="22"/>
          <w:szCs w:val="22"/>
        </w:rPr>
        <w:t>Hobijn</w:t>
      </w:r>
      <w:proofErr w:type="spellEnd"/>
      <w:r>
        <w:rPr>
          <w:rFonts w:ascii="Arial" w:eastAsia="Arial" w:hAnsi="Arial" w:cs="Arial"/>
          <w:color w:val="222222"/>
          <w:sz w:val="22"/>
          <w:szCs w:val="22"/>
        </w:rPr>
        <w:t xml:space="preserve">, and Wiles (2012, San Francisco Fed) and features in </w:t>
      </w:r>
      <w:proofErr w:type="spellStart"/>
      <w:r>
        <w:rPr>
          <w:rFonts w:ascii="Arial" w:eastAsia="Arial" w:hAnsi="Arial" w:cs="Arial"/>
          <w:color w:val="222222"/>
          <w:sz w:val="22"/>
          <w:szCs w:val="22"/>
        </w:rPr>
        <w:t>Moscarini</w:t>
      </w:r>
      <w:proofErr w:type="spellEnd"/>
      <w:r>
        <w:rPr>
          <w:rFonts w:ascii="Arial" w:eastAsia="Arial" w:hAnsi="Arial" w:cs="Arial"/>
          <w:color w:val="222222"/>
          <w:sz w:val="22"/>
          <w:szCs w:val="22"/>
        </w:rPr>
        <w:t xml:space="preserve"> and Postel-Vinay's (2012) work on employer-</w:t>
      </w:r>
      <w:r>
        <w:rPr>
          <w:rFonts w:ascii="Arial" w:eastAsia="Arial" w:hAnsi="Arial" w:cs="Arial"/>
          <w:color w:val="222222"/>
          <w:sz w:val="22"/>
          <w:szCs w:val="22"/>
        </w:rPr>
        <w:lastRenderedPageBreak/>
        <w:t>size wage cyclicality. The WJSI brings this alongside tenure and union coverage into a single composite.</w:t>
      </w:r>
    </w:p>
    <w:p w14:paraId="21697F0F" w14:textId="77777777" w:rsidR="005353C4" w:rsidRDefault="00000000">
      <w:pPr>
        <w:spacing w:after="140"/>
        <w:jc w:val="both"/>
      </w:pPr>
      <w:ins w:id="3" w:author="Amias Gerety" w:date="2026-04-23T00:00:00Z">
        <w:r>
          <w:rPr>
            <w:rFonts w:ascii="Arial" w:eastAsia="Arial" w:hAnsi="Arial" w:cs="Arial"/>
            <w:color w:val="222222"/>
            <w:sz w:val="22"/>
            <w:szCs w:val="22"/>
          </w:rPr>
          <w:t xml:space="preserve">The secular decline in </w:t>
        </w:r>
        <w:proofErr w:type="spellStart"/>
        <w:r>
          <w:rPr>
            <w:rFonts w:ascii="Arial" w:eastAsia="Arial" w:hAnsi="Arial" w:cs="Arial"/>
            <w:color w:val="222222"/>
            <w:sz w:val="22"/>
            <w:szCs w:val="22"/>
          </w:rPr>
          <w:t>labour's</w:t>
        </w:r>
        <w:proofErr w:type="spellEnd"/>
        <w:r>
          <w:rPr>
            <w:rFonts w:ascii="Arial" w:eastAsia="Arial" w:hAnsi="Arial" w:cs="Arial"/>
            <w:color w:val="222222"/>
            <w:sz w:val="22"/>
            <w:szCs w:val="22"/>
          </w:rPr>
          <w:t xml:space="preserve"> share of income adds a further dimension. Elsby, </w:t>
        </w:r>
        <w:proofErr w:type="spellStart"/>
        <w:r>
          <w:rPr>
            <w:rFonts w:ascii="Arial" w:eastAsia="Arial" w:hAnsi="Arial" w:cs="Arial"/>
            <w:color w:val="222222"/>
            <w:sz w:val="22"/>
            <w:szCs w:val="22"/>
          </w:rPr>
          <w:t>Hobijn</w:t>
        </w:r>
        <w:proofErr w:type="spellEnd"/>
        <w:r>
          <w:rPr>
            <w:rFonts w:ascii="Arial" w:eastAsia="Arial" w:hAnsi="Arial" w:cs="Arial"/>
            <w:color w:val="222222"/>
            <w:sz w:val="22"/>
            <w:szCs w:val="22"/>
          </w:rPr>
          <w:t xml:space="preserve"> and Şahin (2013, Brookings Papers) documented the global nature of the decline and its acceleration post-2000, attributing it partly to offshoring and capital-</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substitution. More recently, the Minneapolis Federal Reserve (Working Paper 800, 2024) found that the U.S.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share is now at its lowest level since the Great Depression — roughly five percentage points below 1929. Connecting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share to worker bargaining power directly motivates its inclusion in the WJSI as a sixth structural component.</w:t>
        </w:r>
      </w:ins>
    </w:p>
    <w:p w14:paraId="673C22A9" w14:textId="77777777" w:rsidR="005353C4" w:rsidRDefault="00000000">
      <w:pPr>
        <w:spacing w:after="140"/>
        <w:jc w:val="both"/>
      </w:pPr>
      <w:r>
        <w:rPr>
          <w:rFonts w:ascii="Arial" w:eastAsia="Arial" w:hAnsi="Arial" w:cs="Arial"/>
          <w:color w:val="222222"/>
          <w:sz w:val="22"/>
          <w:szCs w:val="22"/>
        </w:rPr>
        <w:t>LISEP's True Rate of Unemployment (TRU) is the closest institutional analogue. Where TRU expands the employment/unemployment boundary to capture those who want full-time work but cannot obtain it, the WJSI measures the security and structural quality of employment for those who have it. The two instruments are designed to be complementary: TRU asks whether workers have the employment they need; WJSI asks whether the employment they have is structurally secure.</w:t>
      </w:r>
    </w:p>
    <w:p w14:paraId="090AA0CA" w14:textId="77777777" w:rsidR="005353C4" w:rsidRDefault="005353C4">
      <w:pPr>
        <w:pBdr>
          <w:bottom w:val="single" w:sz="6" w:space="1" w:color="BDD0E9"/>
        </w:pBdr>
        <w:spacing w:after="160"/>
      </w:pPr>
    </w:p>
    <w:p w14:paraId="77C70E5E" w14:textId="77777777" w:rsidR="005353C4" w:rsidRDefault="00000000">
      <w:pPr>
        <w:spacing w:before="280" w:after="80"/>
      </w:pPr>
      <w:r>
        <w:rPr>
          <w:rFonts w:ascii="Arial" w:eastAsia="Arial" w:hAnsi="Arial" w:cs="Arial"/>
          <w:b/>
          <w:bCs/>
          <w:color w:val="1F3864"/>
          <w:spacing w:val="40"/>
        </w:rPr>
        <w:t>4.  METHODOLOGY</w:t>
      </w:r>
    </w:p>
    <w:p w14:paraId="2A7F13B3" w14:textId="77777777" w:rsidR="005353C4" w:rsidRDefault="00000000">
      <w:pPr>
        <w:spacing w:after="140"/>
        <w:jc w:val="both"/>
      </w:pPr>
      <w:r>
        <w:rPr>
          <w:rFonts w:ascii="Arial" w:eastAsia="Arial" w:hAnsi="Arial" w:cs="Arial"/>
          <w:color w:val="222222"/>
          <w:sz w:val="22"/>
          <w:szCs w:val="22"/>
        </w:rPr>
        <w:t xml:space="preserve">The WJSI is an equal-weighted composite of </w:t>
      </w:r>
      <w:del w:id="4" w:author="Amias Gerety" w:date="2026-04-23T00:00:00Z">
        <w:r>
          <w:rPr>
            <w:rFonts w:ascii="Arial" w:eastAsia="Arial" w:hAnsi="Arial" w:cs="Arial"/>
            <w:color w:val="222222"/>
            <w:sz w:val="22"/>
            <w:szCs w:val="22"/>
          </w:rPr>
          <w:delText>five</w:delText>
        </w:r>
      </w:del>
      <w:ins w:id="5" w:author="Amias Gerety" w:date="2026-04-23T00:00:00Z">
        <w:r>
          <w:rPr>
            <w:rFonts w:ascii="Arial" w:eastAsia="Arial" w:hAnsi="Arial" w:cs="Arial"/>
            <w:color w:val="222222"/>
            <w:sz w:val="22"/>
            <w:szCs w:val="22"/>
          </w:rPr>
          <w:t>six</w:t>
        </w:r>
      </w:ins>
      <w:r>
        <w:rPr>
          <w:rFonts w:ascii="Arial" w:eastAsia="Arial" w:hAnsi="Arial" w:cs="Arial"/>
          <w:color w:val="222222"/>
          <w:sz w:val="22"/>
          <w:szCs w:val="22"/>
        </w:rPr>
        <w:t xml:space="preserve"> </w:t>
      </w:r>
      <w:proofErr w:type="gramStart"/>
      <w:r>
        <w:rPr>
          <w:rFonts w:ascii="Arial" w:eastAsia="Arial" w:hAnsi="Arial" w:cs="Arial"/>
          <w:color w:val="222222"/>
          <w:sz w:val="22"/>
          <w:szCs w:val="22"/>
        </w:rPr>
        <w:t>annually-averaged</w:t>
      </w:r>
      <w:proofErr w:type="gramEnd"/>
      <w:r>
        <w:rPr>
          <w:rFonts w:ascii="Arial" w:eastAsia="Arial" w:hAnsi="Arial" w:cs="Arial"/>
          <w:color w:val="222222"/>
          <w:sz w:val="22"/>
          <w:szCs w:val="22"/>
        </w:rPr>
        <w:t xml:space="preserve"> components sourced from public BLS and FRED data. Each component is z-scored over its full available history and directionally aligned so that a higher score always means greater security.</w:t>
      </w:r>
    </w:p>
    <w:p w14:paraId="682394EA" w14:textId="77777777" w:rsidR="005353C4" w:rsidRDefault="005353C4">
      <w:pPr>
        <w:spacing w:after="80"/>
      </w:pPr>
    </w:p>
    <w:p w14:paraId="3814BB83" w14:textId="77777777" w:rsidR="005353C4" w:rsidRDefault="00000000">
      <w:pPr>
        <w:spacing w:before="60" w:after="60"/>
        <w:ind w:left="360"/>
      </w:pPr>
      <w:r>
        <w:rPr>
          <w:rFonts w:ascii="Arial" w:eastAsia="Arial" w:hAnsi="Arial" w:cs="Arial"/>
          <w:b/>
          <w:bCs/>
          <w:color w:val="1F3864"/>
          <w:sz w:val="22"/>
          <w:szCs w:val="22"/>
        </w:rPr>
        <w:t xml:space="preserve">1.  Union membership </w:t>
      </w:r>
      <w:proofErr w:type="gramStart"/>
      <w:r>
        <w:rPr>
          <w:rFonts w:ascii="Arial" w:eastAsia="Arial" w:hAnsi="Arial" w:cs="Arial"/>
          <w:b/>
          <w:bCs/>
          <w:color w:val="1F3864"/>
          <w:sz w:val="22"/>
          <w:szCs w:val="22"/>
        </w:rPr>
        <w:t xml:space="preserve">rate  </w:t>
      </w:r>
      <w:r>
        <w:rPr>
          <w:rFonts w:ascii="Arial" w:eastAsia="Arial" w:hAnsi="Arial" w:cs="Arial"/>
          <w:i/>
          <w:iCs/>
          <w:color w:val="44546A"/>
          <w:sz w:val="22"/>
          <w:szCs w:val="22"/>
        </w:rPr>
        <w:t>(</w:t>
      </w:r>
      <w:proofErr w:type="gramEnd"/>
      <w:r>
        <w:rPr>
          <w:rFonts w:ascii="Arial" w:eastAsia="Arial" w:hAnsi="Arial" w:cs="Arial"/>
          <w:i/>
          <w:iCs/>
          <w:color w:val="44546A"/>
          <w:sz w:val="22"/>
          <w:szCs w:val="22"/>
        </w:rPr>
        <w:t>BLS, 1983–</w:t>
      </w:r>
      <w:proofErr w:type="gramStart"/>
      <w:r>
        <w:rPr>
          <w:rFonts w:ascii="Arial" w:eastAsia="Arial" w:hAnsi="Arial" w:cs="Arial"/>
          <w:i/>
          <w:iCs/>
          <w:color w:val="44546A"/>
          <w:sz w:val="22"/>
          <w:szCs w:val="22"/>
        </w:rPr>
        <w:t xml:space="preserve">present)  </w:t>
      </w:r>
      <w:r>
        <w:rPr>
          <w:rFonts w:ascii="Arial" w:eastAsia="Arial" w:hAnsi="Arial" w:cs="Arial"/>
          <w:color w:val="222222"/>
          <w:sz w:val="22"/>
          <w:szCs w:val="22"/>
        </w:rPr>
        <w:t>Collective</w:t>
      </w:r>
      <w:proofErr w:type="gramEnd"/>
      <w:r>
        <w:rPr>
          <w:rFonts w:ascii="Arial" w:eastAsia="Arial" w:hAnsi="Arial" w:cs="Arial"/>
          <w:color w:val="222222"/>
          <w:sz w:val="22"/>
          <w:szCs w:val="22"/>
        </w:rPr>
        <w:t xml:space="preserve"> bargaining coverage as a proxy for structural worker protection.</w:t>
      </w:r>
    </w:p>
    <w:p w14:paraId="0E6A56A7" w14:textId="77777777" w:rsidR="005353C4" w:rsidRDefault="00000000">
      <w:pPr>
        <w:spacing w:before="60" w:after="60"/>
        <w:ind w:left="360"/>
      </w:pPr>
      <w:r>
        <w:rPr>
          <w:rFonts w:ascii="Arial" w:eastAsia="Arial" w:hAnsi="Arial" w:cs="Arial"/>
          <w:b/>
          <w:bCs/>
          <w:color w:val="1F3864"/>
          <w:sz w:val="22"/>
          <w:szCs w:val="22"/>
        </w:rPr>
        <w:t xml:space="preserve">2.  JOLTS quits </w:t>
      </w:r>
      <w:proofErr w:type="gramStart"/>
      <w:r>
        <w:rPr>
          <w:rFonts w:ascii="Arial" w:eastAsia="Arial" w:hAnsi="Arial" w:cs="Arial"/>
          <w:b/>
          <w:bCs/>
          <w:color w:val="1F3864"/>
          <w:sz w:val="22"/>
          <w:szCs w:val="22"/>
        </w:rPr>
        <w:t xml:space="preserve">rate  </w:t>
      </w:r>
      <w:r>
        <w:rPr>
          <w:rFonts w:ascii="Arial" w:eastAsia="Arial" w:hAnsi="Arial" w:cs="Arial"/>
          <w:i/>
          <w:iCs/>
          <w:color w:val="44546A"/>
          <w:sz w:val="22"/>
          <w:szCs w:val="22"/>
        </w:rPr>
        <w:t>(</w:t>
      </w:r>
      <w:proofErr w:type="gramEnd"/>
      <w:r>
        <w:rPr>
          <w:rFonts w:ascii="Arial" w:eastAsia="Arial" w:hAnsi="Arial" w:cs="Arial"/>
          <w:i/>
          <w:iCs/>
          <w:color w:val="44546A"/>
          <w:sz w:val="22"/>
          <w:szCs w:val="22"/>
        </w:rPr>
        <w:t>BLS, 2001–</w:t>
      </w:r>
      <w:proofErr w:type="gramStart"/>
      <w:r>
        <w:rPr>
          <w:rFonts w:ascii="Arial" w:eastAsia="Arial" w:hAnsi="Arial" w:cs="Arial"/>
          <w:i/>
          <w:iCs/>
          <w:color w:val="44546A"/>
          <w:sz w:val="22"/>
          <w:szCs w:val="22"/>
        </w:rPr>
        <w:t xml:space="preserve">present)  </w:t>
      </w:r>
      <w:r>
        <w:rPr>
          <w:rFonts w:ascii="Arial" w:eastAsia="Arial" w:hAnsi="Arial" w:cs="Arial"/>
          <w:color w:val="222222"/>
          <w:sz w:val="22"/>
          <w:szCs w:val="22"/>
        </w:rPr>
        <w:t>Share</w:t>
      </w:r>
      <w:proofErr w:type="gramEnd"/>
      <w:r>
        <w:rPr>
          <w:rFonts w:ascii="Arial" w:eastAsia="Arial" w:hAnsi="Arial" w:cs="Arial"/>
          <w:color w:val="222222"/>
          <w:sz w:val="22"/>
          <w:szCs w:val="22"/>
        </w:rPr>
        <w:t xml:space="preserve"> of workers voluntarily leaving jobs — the standard proxy for worker bargaining power and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market confidence.</w:t>
      </w:r>
    </w:p>
    <w:p w14:paraId="208AF1C7" w14:textId="77777777" w:rsidR="005353C4" w:rsidRDefault="00000000">
      <w:pPr>
        <w:spacing w:before="60" w:after="60"/>
        <w:ind w:left="360"/>
      </w:pPr>
      <w:r>
        <w:rPr>
          <w:rFonts w:ascii="Arial" w:eastAsia="Arial" w:hAnsi="Arial" w:cs="Arial"/>
          <w:b/>
          <w:bCs/>
          <w:color w:val="1F3864"/>
          <w:sz w:val="22"/>
          <w:szCs w:val="22"/>
        </w:rPr>
        <w:t xml:space="preserve">3.  JOLTS layoffs &amp; discharges </w:t>
      </w:r>
      <w:proofErr w:type="gramStart"/>
      <w:r>
        <w:rPr>
          <w:rFonts w:ascii="Arial" w:eastAsia="Arial" w:hAnsi="Arial" w:cs="Arial"/>
          <w:b/>
          <w:bCs/>
          <w:color w:val="1F3864"/>
          <w:sz w:val="22"/>
          <w:szCs w:val="22"/>
        </w:rPr>
        <w:t xml:space="preserve">rate  </w:t>
      </w:r>
      <w:r>
        <w:rPr>
          <w:rFonts w:ascii="Arial" w:eastAsia="Arial" w:hAnsi="Arial" w:cs="Arial"/>
          <w:i/>
          <w:iCs/>
          <w:color w:val="44546A"/>
          <w:sz w:val="22"/>
          <w:szCs w:val="22"/>
        </w:rPr>
        <w:t>(</w:t>
      </w:r>
      <w:proofErr w:type="gramEnd"/>
      <w:r>
        <w:rPr>
          <w:rFonts w:ascii="Arial" w:eastAsia="Arial" w:hAnsi="Arial" w:cs="Arial"/>
          <w:i/>
          <w:iCs/>
          <w:color w:val="44546A"/>
          <w:sz w:val="22"/>
          <w:szCs w:val="22"/>
        </w:rPr>
        <w:t xml:space="preserve">BLS, 2001–present, </w:t>
      </w:r>
      <w:proofErr w:type="gramStart"/>
      <w:r>
        <w:rPr>
          <w:rFonts w:ascii="Arial" w:eastAsia="Arial" w:hAnsi="Arial" w:cs="Arial"/>
          <w:i/>
          <w:iCs/>
          <w:color w:val="44546A"/>
          <w:sz w:val="22"/>
          <w:szCs w:val="22"/>
        </w:rPr>
        <w:t xml:space="preserve">inverted)  </w:t>
      </w:r>
      <w:r>
        <w:rPr>
          <w:rFonts w:ascii="Arial" w:eastAsia="Arial" w:hAnsi="Arial" w:cs="Arial"/>
          <w:color w:val="222222"/>
          <w:sz w:val="22"/>
          <w:szCs w:val="22"/>
        </w:rPr>
        <w:t>Employer</w:t>
      </w:r>
      <w:proofErr w:type="gramEnd"/>
      <w:r>
        <w:rPr>
          <w:rFonts w:ascii="Arial" w:eastAsia="Arial" w:hAnsi="Arial" w:cs="Arial"/>
          <w:color w:val="222222"/>
          <w:sz w:val="22"/>
          <w:szCs w:val="22"/>
        </w:rPr>
        <w:t>-initiated separations. Inverted so lower layoffs = higher security.</w:t>
      </w:r>
    </w:p>
    <w:p w14:paraId="0D6A201C" w14:textId="77777777" w:rsidR="005353C4" w:rsidRDefault="00000000">
      <w:pPr>
        <w:spacing w:before="60" w:after="60"/>
        <w:ind w:left="360"/>
      </w:pPr>
      <w:r>
        <w:rPr>
          <w:rFonts w:ascii="Arial" w:eastAsia="Arial" w:hAnsi="Arial" w:cs="Arial"/>
          <w:b/>
          <w:bCs/>
          <w:color w:val="1F3864"/>
          <w:sz w:val="22"/>
          <w:szCs w:val="22"/>
        </w:rPr>
        <w:t xml:space="preserve">4.  Median job </w:t>
      </w:r>
      <w:proofErr w:type="gramStart"/>
      <w:r>
        <w:rPr>
          <w:rFonts w:ascii="Arial" w:eastAsia="Arial" w:hAnsi="Arial" w:cs="Arial"/>
          <w:b/>
          <w:bCs/>
          <w:color w:val="1F3864"/>
          <w:sz w:val="22"/>
          <w:szCs w:val="22"/>
        </w:rPr>
        <w:t xml:space="preserve">tenure  </w:t>
      </w:r>
      <w:r>
        <w:rPr>
          <w:rFonts w:ascii="Arial" w:eastAsia="Arial" w:hAnsi="Arial" w:cs="Arial"/>
          <w:i/>
          <w:iCs/>
          <w:color w:val="44546A"/>
          <w:sz w:val="22"/>
          <w:szCs w:val="22"/>
        </w:rPr>
        <w:t>(</w:t>
      </w:r>
      <w:proofErr w:type="gramEnd"/>
      <w:r>
        <w:rPr>
          <w:rFonts w:ascii="Arial" w:eastAsia="Arial" w:hAnsi="Arial" w:cs="Arial"/>
          <w:i/>
          <w:iCs/>
          <w:color w:val="44546A"/>
          <w:sz w:val="22"/>
          <w:szCs w:val="22"/>
        </w:rPr>
        <w:t xml:space="preserve">BLS tenure supplement, biennial, </w:t>
      </w:r>
      <w:proofErr w:type="gramStart"/>
      <w:r>
        <w:rPr>
          <w:rFonts w:ascii="Arial" w:eastAsia="Arial" w:hAnsi="Arial" w:cs="Arial"/>
          <w:i/>
          <w:iCs/>
          <w:color w:val="44546A"/>
          <w:sz w:val="22"/>
          <w:szCs w:val="22"/>
        </w:rPr>
        <w:t xml:space="preserve">interpolated)  </w:t>
      </w:r>
      <w:r>
        <w:rPr>
          <w:rFonts w:ascii="Arial" w:eastAsia="Arial" w:hAnsi="Arial" w:cs="Arial"/>
          <w:color w:val="222222"/>
          <w:sz w:val="22"/>
          <w:szCs w:val="22"/>
        </w:rPr>
        <w:t>Stability</w:t>
      </w:r>
      <w:proofErr w:type="gramEnd"/>
      <w:r>
        <w:rPr>
          <w:rFonts w:ascii="Arial" w:eastAsia="Arial" w:hAnsi="Arial" w:cs="Arial"/>
          <w:color w:val="222222"/>
          <w:sz w:val="22"/>
          <w:szCs w:val="22"/>
        </w:rPr>
        <w:t xml:space="preserve"> of the employment relationship over time.</w:t>
      </w:r>
    </w:p>
    <w:p w14:paraId="3B5E8A38" w14:textId="77777777" w:rsidR="005353C4" w:rsidRDefault="00000000">
      <w:pPr>
        <w:spacing w:before="60" w:after="60"/>
        <w:ind w:left="360"/>
      </w:pPr>
      <w:ins w:id="6" w:author="Amias Gerety" w:date="2026-04-23T00:00:00Z">
        <w:r>
          <w:rPr>
            <w:rFonts w:ascii="Arial" w:eastAsia="Arial" w:hAnsi="Arial" w:cs="Arial"/>
            <w:b/>
            <w:bCs/>
            <w:color w:val="1F3864"/>
            <w:sz w:val="22"/>
            <w:szCs w:val="22"/>
          </w:rPr>
          <w:t xml:space="preserve">5.  Nonfarm business </w:t>
        </w:r>
        <w:proofErr w:type="spellStart"/>
        <w:r>
          <w:rPr>
            <w:rFonts w:ascii="Arial" w:eastAsia="Arial" w:hAnsi="Arial" w:cs="Arial"/>
            <w:b/>
            <w:bCs/>
            <w:color w:val="1F3864"/>
            <w:sz w:val="22"/>
            <w:szCs w:val="22"/>
          </w:rPr>
          <w:t>labour</w:t>
        </w:r>
        <w:proofErr w:type="spellEnd"/>
        <w:r>
          <w:rPr>
            <w:rFonts w:ascii="Arial" w:eastAsia="Arial" w:hAnsi="Arial" w:cs="Arial"/>
            <w:b/>
            <w:bCs/>
            <w:color w:val="1F3864"/>
            <w:sz w:val="22"/>
            <w:szCs w:val="22"/>
          </w:rPr>
          <w:t xml:space="preserve"> </w:t>
        </w:r>
        <w:proofErr w:type="gramStart"/>
        <w:r>
          <w:rPr>
            <w:rFonts w:ascii="Arial" w:eastAsia="Arial" w:hAnsi="Arial" w:cs="Arial"/>
            <w:b/>
            <w:bCs/>
            <w:color w:val="1F3864"/>
            <w:sz w:val="22"/>
            <w:szCs w:val="22"/>
          </w:rPr>
          <w:t xml:space="preserve">share  </w:t>
        </w:r>
        <w:r>
          <w:rPr>
            <w:rFonts w:ascii="Arial" w:eastAsia="Arial" w:hAnsi="Arial" w:cs="Arial"/>
            <w:i/>
            <w:iCs/>
            <w:color w:val="44546A"/>
            <w:sz w:val="22"/>
            <w:szCs w:val="22"/>
          </w:rPr>
          <w:t>(</w:t>
        </w:r>
        <w:proofErr w:type="gramEnd"/>
        <w:r>
          <w:rPr>
            <w:rFonts w:ascii="Arial" w:eastAsia="Arial" w:hAnsi="Arial" w:cs="Arial"/>
            <w:i/>
            <w:iCs/>
            <w:color w:val="44546A"/>
            <w:sz w:val="22"/>
            <w:szCs w:val="22"/>
          </w:rPr>
          <w:t>BLS PRS85006173, 1947–</w:t>
        </w:r>
        <w:proofErr w:type="gramStart"/>
        <w:r>
          <w:rPr>
            <w:rFonts w:ascii="Arial" w:eastAsia="Arial" w:hAnsi="Arial" w:cs="Arial"/>
            <w:i/>
            <w:iCs/>
            <w:color w:val="44546A"/>
            <w:sz w:val="22"/>
            <w:szCs w:val="22"/>
          </w:rPr>
          <w:t xml:space="preserve">present)  </w:t>
        </w:r>
        <w:r>
          <w:rPr>
            <w:rFonts w:ascii="Arial" w:eastAsia="Arial" w:hAnsi="Arial" w:cs="Arial"/>
            <w:color w:val="222222"/>
            <w:sz w:val="22"/>
            <w:szCs w:val="22"/>
          </w:rPr>
          <w:t>Workers</w:t>
        </w:r>
        <w:proofErr w:type="gramEnd"/>
        <w:r>
          <w:rPr>
            <w:rFonts w:ascii="Arial" w:eastAsia="Arial" w:hAnsi="Arial" w:cs="Arial"/>
            <w:color w:val="222222"/>
            <w:sz w:val="22"/>
            <w:szCs w:val="22"/>
          </w:rPr>
          <w:t>' aggregate share of nonfarm output, indexed to 2012 = 100. Higher share = greater collective economic security. Source: Minneapolis Fed WP 800.</w:t>
        </w:r>
      </w:ins>
    </w:p>
    <w:p w14:paraId="34E95B17" w14:textId="77777777" w:rsidR="005353C4" w:rsidRDefault="00000000">
      <w:pPr>
        <w:spacing w:before="60" w:after="60"/>
        <w:ind w:left="360"/>
      </w:pPr>
      <w:del w:id="7" w:author="Amias Gerety" w:date="2026-04-23T00:00:00Z">
        <w:r>
          <w:rPr>
            <w:rFonts w:ascii="Arial" w:eastAsia="Arial" w:hAnsi="Arial" w:cs="Arial"/>
            <w:color w:val="222222"/>
            <w:sz w:val="22"/>
            <w:szCs w:val="22"/>
          </w:rPr>
          <w:delText xml:space="preserve">5.  </w:delText>
        </w:r>
      </w:del>
      <w:ins w:id="8" w:author="Amias Gerety" w:date="2026-04-23T00:00:00Z">
        <w:r>
          <w:rPr>
            <w:rFonts w:ascii="Arial" w:eastAsia="Arial" w:hAnsi="Arial" w:cs="Arial"/>
            <w:color w:val="222222"/>
            <w:sz w:val="22"/>
            <w:szCs w:val="22"/>
          </w:rPr>
          <w:t xml:space="preserve">6.  </w:t>
        </w:r>
      </w:ins>
      <w:r>
        <w:rPr>
          <w:rFonts w:ascii="Arial" w:eastAsia="Arial" w:hAnsi="Arial" w:cs="Arial"/>
          <w:b/>
          <w:bCs/>
          <w:color w:val="1F3864"/>
          <w:sz w:val="22"/>
          <w:szCs w:val="22"/>
        </w:rPr>
        <w:t xml:space="preserve">JOLTS job openings </w:t>
      </w:r>
      <w:proofErr w:type="gramStart"/>
      <w:r>
        <w:rPr>
          <w:rFonts w:ascii="Arial" w:eastAsia="Arial" w:hAnsi="Arial" w:cs="Arial"/>
          <w:b/>
          <w:bCs/>
          <w:color w:val="1F3864"/>
          <w:sz w:val="22"/>
          <w:szCs w:val="22"/>
        </w:rPr>
        <w:t xml:space="preserve">rate  </w:t>
      </w:r>
      <w:r>
        <w:rPr>
          <w:rFonts w:ascii="Arial" w:eastAsia="Arial" w:hAnsi="Arial" w:cs="Arial"/>
          <w:i/>
          <w:iCs/>
          <w:color w:val="44546A"/>
          <w:sz w:val="22"/>
          <w:szCs w:val="22"/>
        </w:rPr>
        <w:t>(</w:t>
      </w:r>
      <w:proofErr w:type="gramEnd"/>
      <w:r>
        <w:rPr>
          <w:rFonts w:ascii="Arial" w:eastAsia="Arial" w:hAnsi="Arial" w:cs="Arial"/>
          <w:i/>
          <w:iCs/>
          <w:color w:val="44546A"/>
          <w:sz w:val="22"/>
          <w:szCs w:val="22"/>
        </w:rPr>
        <w:t>BLS, 2001–</w:t>
      </w:r>
      <w:proofErr w:type="gramStart"/>
      <w:r>
        <w:rPr>
          <w:rFonts w:ascii="Arial" w:eastAsia="Arial" w:hAnsi="Arial" w:cs="Arial"/>
          <w:i/>
          <w:iCs/>
          <w:color w:val="44546A"/>
          <w:sz w:val="22"/>
          <w:szCs w:val="22"/>
        </w:rPr>
        <w:t xml:space="preserve">present)  </w:t>
      </w:r>
      <w:r>
        <w:rPr>
          <w:rFonts w:ascii="Arial" w:eastAsia="Arial" w:hAnsi="Arial" w:cs="Arial"/>
          <w:color w:val="222222"/>
          <w:sz w:val="22"/>
          <w:szCs w:val="22"/>
        </w:rPr>
        <w:t>High</w:t>
      </w:r>
      <w:proofErr w:type="gramEnd"/>
      <w:r>
        <w:rPr>
          <w:rFonts w:ascii="Arial" w:eastAsia="Arial" w:hAnsi="Arial" w:cs="Arial"/>
          <w:color w:val="222222"/>
          <w:sz w:val="22"/>
          <w:szCs w:val="22"/>
        </w:rPr>
        <w:t xml:space="preserve"> openings are treated as a mild negative in the primary specification, reflecting churn risk. Sensitivity analysis tests both sign conventions.</w:t>
      </w:r>
    </w:p>
    <w:p w14:paraId="7758458A" w14:textId="77777777" w:rsidR="005353C4" w:rsidRDefault="005353C4">
      <w:pPr>
        <w:spacing w:after="80"/>
      </w:pPr>
    </w:p>
    <w:p w14:paraId="1070A437" w14:textId="77777777" w:rsidR="005353C4" w:rsidRDefault="00000000">
      <w:pPr>
        <w:spacing w:after="140"/>
        <w:jc w:val="both"/>
      </w:pPr>
      <w:ins w:id="9" w:author="Amias Gerety" w:date="2026-04-23T00:00:00Z">
        <w:r>
          <w:rPr>
            <w:rFonts w:ascii="Arial" w:eastAsia="Arial" w:hAnsi="Arial" w:cs="Arial"/>
            <w:color w:val="222222"/>
            <w:sz w:val="22"/>
            <w:szCs w:val="22"/>
          </w:rPr>
          <w:t xml:space="preserve">The addition of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share reduces the JOLTS survey weight from 3/5 (60%) to 3/6 (50%), addressing a methodological concern about over-reliance on a single survey source. </w:t>
        </w:r>
      </w:ins>
    </w:p>
    <w:p w14:paraId="4C5886CE" w14:textId="77777777" w:rsidR="005353C4" w:rsidRDefault="00000000">
      <w:pPr>
        <w:spacing w:after="140"/>
        <w:jc w:val="both"/>
      </w:pPr>
      <w:r>
        <w:rPr>
          <w:rFonts w:ascii="Arial" w:eastAsia="Arial" w:hAnsi="Arial" w:cs="Arial"/>
          <w:color w:val="222222"/>
          <w:sz w:val="22"/>
          <w:szCs w:val="22"/>
        </w:rPr>
        <w:t>One component considered and excluded is the part-time-for-economic-reasons rate. Including it produced a correlation of r = 0.81 with U-6 — structural redundancy, since U-6 directly counts involuntary part-time workers. Excluding it reduces the WJSI–U-6 correlation to r = 0.15, establishing genuine differentiation.</w:t>
      </w:r>
    </w:p>
    <w:p w14:paraId="7B3868D8" w14:textId="77777777" w:rsidR="005353C4" w:rsidRDefault="00000000">
      <w:pPr>
        <w:spacing w:after="140"/>
        <w:jc w:val="both"/>
      </w:pPr>
      <w:ins w:id="10" w:author="Amias Gerety" w:date="2026-04-23T00:00:00Z">
        <w:r>
          <w:rPr>
            <w:rFonts w:ascii="Arial" w:eastAsia="Arial" w:hAnsi="Arial" w:cs="Arial"/>
            <w:color w:val="222222"/>
            <w:sz w:val="22"/>
            <w:szCs w:val="22"/>
          </w:rPr>
          <w:t xml:space="preserve">A systematic candidate-component analysis tested and eliminated four further series on empirical grounds: the productivity-pay ratio (r = −0.97 with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share; redundant), employer-to-employer job transitions (r = +0.73 with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share; partially redundant), mean unemployment duration (confirmed lagging indicator — adding it reduced the +2yr sentiment lead from r = 0.50 to r = 0.09), and temporary help employment share (coincident indicator; peak correlation with sentiment at lag 0 </w:t>
        </w:r>
        <w:r>
          <w:rPr>
            <w:rFonts w:ascii="Arial" w:eastAsia="Arial" w:hAnsi="Arial" w:cs="Arial"/>
            <w:color w:val="222222"/>
            <w:sz w:val="22"/>
            <w:szCs w:val="22"/>
          </w:rPr>
          <w:lastRenderedPageBreak/>
          <w:t>with no forward-looking content). This analysis strengthens confidence in the 6-component specification.</w:t>
        </w:r>
      </w:ins>
    </w:p>
    <w:p w14:paraId="3E1B28C5" w14:textId="77777777" w:rsidR="005353C4" w:rsidRDefault="00000000">
      <w:r>
        <w:br w:type="page"/>
      </w:r>
    </w:p>
    <w:p w14:paraId="32F7E29C" w14:textId="77777777" w:rsidR="005353C4" w:rsidRDefault="00000000">
      <w:pPr>
        <w:spacing w:before="280" w:after="80"/>
      </w:pPr>
      <w:r>
        <w:rPr>
          <w:rFonts w:ascii="Arial" w:eastAsia="Arial" w:hAnsi="Arial" w:cs="Arial"/>
          <w:b/>
          <w:bCs/>
          <w:color w:val="1F3864"/>
          <w:spacing w:val="40"/>
        </w:rPr>
        <w:lastRenderedPageBreak/>
        <w:t>5.  BACKTESTING &amp; VALIDATION</w:t>
      </w:r>
    </w:p>
    <w:p w14:paraId="6ABD5ABA" w14:textId="77777777" w:rsidR="005353C4" w:rsidRDefault="00000000">
      <w:pPr>
        <w:spacing w:after="140"/>
        <w:jc w:val="both"/>
      </w:pPr>
      <w:r>
        <w:rPr>
          <w:rFonts w:ascii="Arial" w:eastAsia="Arial" w:hAnsi="Arial" w:cs="Arial"/>
          <w:color w:val="222222"/>
          <w:sz w:val="22"/>
          <w:szCs w:val="22"/>
        </w:rPr>
        <w:t xml:space="preserve">The index passes three of five primary validation tests: it falls during the 2008–09 financial crisis and the 2020 COVID shock, and its most recent reading (2024: </w:t>
      </w:r>
      <w:del w:id="11" w:author="Amias Gerety" w:date="2026-04-23T00:00:00Z">
        <w:r>
          <w:rPr>
            <w:rFonts w:ascii="Arial" w:eastAsia="Arial" w:hAnsi="Arial" w:cs="Arial"/>
            <w:color w:val="222222"/>
            <w:sz w:val="22"/>
            <w:szCs w:val="22"/>
          </w:rPr>
          <w:delText>86.8</w:delText>
        </w:r>
      </w:del>
      <w:ins w:id="12" w:author="Amias Gerety" w:date="2026-04-23T00:00:00Z">
        <w:r>
          <w:rPr>
            <w:rFonts w:ascii="Arial" w:eastAsia="Arial" w:hAnsi="Arial" w:cs="Arial"/>
            <w:color w:val="222222"/>
            <w:sz w:val="22"/>
            <w:szCs w:val="22"/>
          </w:rPr>
          <w:t>75.5</w:t>
        </w:r>
      </w:ins>
      <w:r>
        <w:rPr>
          <w:rFonts w:ascii="Arial" w:eastAsia="Arial" w:hAnsi="Arial" w:cs="Arial"/>
          <w:color w:val="222222"/>
          <w:sz w:val="22"/>
          <w:szCs w:val="22"/>
        </w:rPr>
        <w:t xml:space="preserve">) sits below the base year, consistent with the structural deterioration thesis. </w:t>
      </w:r>
      <w:ins w:id="13" w:author="Amias Gerety" w:date="2026-04-23T00:00:00Z">
        <w:r>
          <w:rPr>
            <w:rFonts w:ascii="Arial" w:eastAsia="Arial" w:hAnsi="Arial" w:cs="Arial"/>
            <w:color w:val="222222"/>
            <w:sz w:val="22"/>
            <w:szCs w:val="22"/>
          </w:rPr>
          <w:t xml:space="preserve">Two tests change character in the 6-component specification: the 2001 value (now 103.4 vs. the prior 89.8) sits above base, reflecting the genuinely higher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share of that period; and the 2019 pre-COVID value (91.2) does not recover to the prior near-parity level, consistent with the secular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share decline since 2000.</w:t>
        </w:r>
      </w:ins>
    </w:p>
    <w:p w14:paraId="7D4E8C86" w14:textId="77777777" w:rsidR="005353C4" w:rsidRDefault="005353C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5360"/>
      </w:tblGrid>
      <w:tr w:rsidR="005353C4" w14:paraId="65E51784" w14:textId="77777777">
        <w:tblPrEx>
          <w:tblCellMar>
            <w:top w:w="0" w:type="dxa"/>
            <w:bottom w:w="0" w:type="dxa"/>
          </w:tblCellMar>
        </w:tblPrEx>
        <w:tc>
          <w:tcPr>
            <w:tcW w:w="2800" w:type="dxa"/>
            <w:tcBorders>
              <w:top w:val="none" w:sz="0" w:space="0" w:color="FFFFFF"/>
              <w:left w:val="none" w:sz="0" w:space="0" w:color="FFFFFF"/>
              <w:bottom w:val="none" w:sz="0" w:space="0" w:color="FFFFFF"/>
              <w:right w:val="none" w:sz="0" w:space="0" w:color="FFFFFF"/>
            </w:tcBorders>
            <w:shd w:val="clear" w:color="auto" w:fill="1F3864"/>
            <w:tcMar>
              <w:top w:w="80" w:type="dxa"/>
              <w:left w:w="120" w:type="dxa"/>
              <w:bottom w:w="80" w:type="dxa"/>
              <w:right w:w="120" w:type="dxa"/>
            </w:tcMar>
          </w:tcPr>
          <w:p w14:paraId="4971F3A7" w14:textId="77777777" w:rsidR="005353C4" w:rsidRDefault="00000000">
            <w:r>
              <w:rPr>
                <w:rFonts w:ascii="Arial" w:eastAsia="Arial" w:hAnsi="Arial" w:cs="Arial"/>
                <w:b/>
                <w:bCs/>
                <w:color w:val="FFFFFF"/>
              </w:rPr>
              <w:t>Year / Event</w:t>
            </w:r>
          </w:p>
        </w:tc>
        <w:tc>
          <w:tcPr>
            <w:tcW w:w="1200" w:type="dxa"/>
            <w:tcBorders>
              <w:top w:val="none" w:sz="0" w:space="0" w:color="FFFFFF"/>
              <w:left w:val="none" w:sz="0" w:space="0" w:color="FFFFFF"/>
              <w:bottom w:val="none" w:sz="0" w:space="0" w:color="FFFFFF"/>
              <w:right w:val="none" w:sz="0" w:space="0" w:color="FFFFFF"/>
            </w:tcBorders>
            <w:shd w:val="clear" w:color="auto" w:fill="1F3864"/>
            <w:tcMar>
              <w:top w:w="80" w:type="dxa"/>
              <w:left w:w="120" w:type="dxa"/>
              <w:bottom w:w="80" w:type="dxa"/>
              <w:right w:w="120" w:type="dxa"/>
            </w:tcMar>
          </w:tcPr>
          <w:p w14:paraId="339D3AFD" w14:textId="77777777" w:rsidR="005353C4" w:rsidRDefault="00000000">
            <w:pPr>
              <w:jc w:val="center"/>
            </w:pPr>
            <w:r>
              <w:rPr>
                <w:rFonts w:ascii="Arial" w:eastAsia="Arial" w:hAnsi="Arial" w:cs="Arial"/>
                <w:b/>
                <w:bCs/>
                <w:color w:val="FFFFFF"/>
              </w:rPr>
              <w:t>WJSI</w:t>
            </w:r>
          </w:p>
        </w:tc>
        <w:tc>
          <w:tcPr>
            <w:tcW w:w="5360" w:type="dxa"/>
            <w:tcBorders>
              <w:top w:val="none" w:sz="0" w:space="0" w:color="FFFFFF"/>
              <w:left w:val="none" w:sz="0" w:space="0" w:color="FFFFFF"/>
              <w:bottom w:val="none" w:sz="0" w:space="0" w:color="FFFFFF"/>
              <w:right w:val="none" w:sz="0" w:space="0" w:color="FFFFFF"/>
            </w:tcBorders>
            <w:shd w:val="clear" w:color="auto" w:fill="44546A"/>
            <w:tcMar>
              <w:top w:w="80" w:type="dxa"/>
              <w:left w:w="120" w:type="dxa"/>
              <w:bottom w:w="80" w:type="dxa"/>
              <w:right w:w="120" w:type="dxa"/>
            </w:tcMar>
          </w:tcPr>
          <w:p w14:paraId="31ECD646" w14:textId="77777777" w:rsidR="005353C4" w:rsidRDefault="00000000">
            <w:r>
              <w:rPr>
                <w:rFonts w:ascii="Arial" w:eastAsia="Arial" w:hAnsi="Arial" w:cs="Arial"/>
                <w:b/>
                <w:bCs/>
                <w:color w:val="FFFFFF"/>
              </w:rPr>
              <w:t>Context</w:t>
            </w:r>
          </w:p>
        </w:tc>
      </w:tr>
      <w:tr w:rsidR="005353C4" w14:paraId="05E2AC1B" w14:textId="77777777">
        <w:tblPrEx>
          <w:tblCellMar>
            <w:top w:w="0" w:type="dxa"/>
            <w:bottom w:w="0" w:type="dxa"/>
          </w:tblCellMar>
        </w:tblPrEx>
        <w:tc>
          <w:tcPr>
            <w:tcW w:w="28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20C405DC" w14:textId="77777777" w:rsidR="005353C4" w:rsidRDefault="00000000">
            <w:r>
              <w:rPr>
                <w:rFonts w:ascii="Arial" w:eastAsia="Arial" w:hAnsi="Arial" w:cs="Arial"/>
                <w:color w:val="222222"/>
              </w:rPr>
              <w:t xml:space="preserve">2001 — </w:t>
            </w:r>
            <w:proofErr w:type="gramStart"/>
            <w:r>
              <w:rPr>
                <w:rFonts w:ascii="Arial" w:eastAsia="Arial" w:hAnsi="Arial" w:cs="Arial"/>
                <w:color w:val="222222"/>
              </w:rPr>
              <w:t>Dot-com</w:t>
            </w:r>
            <w:proofErr w:type="gramEnd"/>
            <w:r>
              <w:rPr>
                <w:rFonts w:ascii="Arial" w:eastAsia="Arial" w:hAnsi="Arial" w:cs="Arial"/>
                <w:color w:val="222222"/>
              </w:rPr>
              <w:t xml:space="preserve"> / 9-11</w:t>
            </w:r>
          </w:p>
        </w:tc>
        <w:tc>
          <w:tcPr>
            <w:tcW w:w="12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1B2199C6" w14:textId="77777777" w:rsidR="005353C4" w:rsidRDefault="00000000">
            <w:pPr>
              <w:jc w:val="center"/>
            </w:pPr>
            <w:del w:id="14" w:author="Amias Gerety" w:date="2026-04-23T00:00:00Z">
              <w:r>
                <w:rPr>
                  <w:rFonts w:ascii="Arial" w:eastAsia="Arial" w:hAnsi="Arial" w:cs="Arial"/>
                  <w:b/>
                  <w:bCs/>
                  <w:color w:val="888888"/>
                </w:rPr>
                <w:delText>89.8</w:delText>
              </w:r>
            </w:del>
            <w:r>
              <w:rPr>
                <w:rFonts w:ascii="Arial" w:eastAsia="Arial" w:hAnsi="Arial" w:cs="Arial"/>
                <w:color w:val="222222"/>
              </w:rPr>
              <w:t xml:space="preserve">  </w:t>
            </w:r>
            <w:ins w:id="15" w:author="Amias Gerety" w:date="2026-04-23T00:00:00Z">
              <w:r>
                <w:rPr>
                  <w:rFonts w:ascii="Arial" w:eastAsia="Arial" w:hAnsi="Arial" w:cs="Arial"/>
                  <w:b/>
                  <w:bCs/>
                  <w:color w:val="1B4F8A"/>
                </w:rPr>
                <w:t>103.4</w:t>
              </w:r>
            </w:ins>
          </w:p>
        </w:tc>
        <w:tc>
          <w:tcPr>
            <w:tcW w:w="536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7314F407" w14:textId="77777777" w:rsidR="005353C4" w:rsidRDefault="00000000">
            <w:r>
              <w:rPr>
                <w:rFonts w:ascii="Arial" w:eastAsia="Arial" w:hAnsi="Arial" w:cs="Arial"/>
                <w:color w:val="222222"/>
              </w:rPr>
              <w:t xml:space="preserve">Below base; </w:t>
            </w:r>
            <w:proofErr w:type="spellStart"/>
            <w:r>
              <w:rPr>
                <w:rFonts w:ascii="Arial" w:eastAsia="Arial" w:hAnsi="Arial" w:cs="Arial"/>
                <w:color w:val="222222"/>
              </w:rPr>
              <w:t>labour</w:t>
            </w:r>
            <w:proofErr w:type="spellEnd"/>
            <w:r>
              <w:rPr>
                <w:rFonts w:ascii="Arial" w:eastAsia="Arial" w:hAnsi="Arial" w:cs="Arial"/>
                <w:color w:val="222222"/>
              </w:rPr>
              <w:t xml:space="preserve"> market disruption</w:t>
            </w:r>
          </w:p>
        </w:tc>
      </w:tr>
      <w:tr w:rsidR="005353C4" w14:paraId="6B3B9AF4" w14:textId="77777777">
        <w:tblPrEx>
          <w:tblCellMar>
            <w:top w:w="0" w:type="dxa"/>
            <w:bottom w:w="0" w:type="dxa"/>
          </w:tblCellMar>
        </w:tblPrEx>
        <w:tc>
          <w:tcPr>
            <w:tcW w:w="280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63F12926" w14:textId="77777777" w:rsidR="005353C4" w:rsidRDefault="00000000">
            <w:r>
              <w:rPr>
                <w:rFonts w:ascii="Arial" w:eastAsia="Arial" w:hAnsi="Arial" w:cs="Arial"/>
                <w:color w:val="222222"/>
              </w:rPr>
              <w:t>2005 — Base year</w:t>
            </w:r>
          </w:p>
        </w:tc>
        <w:tc>
          <w:tcPr>
            <w:tcW w:w="120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35C4907D" w14:textId="77777777" w:rsidR="005353C4" w:rsidRDefault="00000000">
            <w:pPr>
              <w:jc w:val="center"/>
            </w:pPr>
            <w:r>
              <w:rPr>
                <w:rFonts w:ascii="Arial" w:eastAsia="Arial" w:hAnsi="Arial" w:cs="Arial"/>
                <w:b/>
                <w:bCs/>
                <w:color w:val="1F3864"/>
              </w:rPr>
              <w:t>100.0</w:t>
            </w:r>
          </w:p>
        </w:tc>
        <w:tc>
          <w:tcPr>
            <w:tcW w:w="536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50E7E4A6" w14:textId="77777777" w:rsidR="005353C4" w:rsidRDefault="00000000">
            <w:r>
              <w:rPr>
                <w:rFonts w:ascii="Arial" w:eastAsia="Arial" w:hAnsi="Arial" w:cs="Arial"/>
                <w:color w:val="222222"/>
              </w:rPr>
              <w:t>Reference level</w:t>
            </w:r>
          </w:p>
        </w:tc>
      </w:tr>
      <w:tr w:rsidR="005353C4" w14:paraId="4CFA83E5" w14:textId="77777777">
        <w:tblPrEx>
          <w:tblCellMar>
            <w:top w:w="0" w:type="dxa"/>
            <w:bottom w:w="0" w:type="dxa"/>
          </w:tblCellMar>
        </w:tblPrEx>
        <w:tc>
          <w:tcPr>
            <w:tcW w:w="28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68B47CFF" w14:textId="77777777" w:rsidR="005353C4" w:rsidRDefault="00000000">
            <w:r>
              <w:rPr>
                <w:rFonts w:ascii="Arial" w:eastAsia="Arial" w:hAnsi="Arial" w:cs="Arial"/>
                <w:color w:val="222222"/>
              </w:rPr>
              <w:t>2009 — GFC trough</w:t>
            </w:r>
          </w:p>
        </w:tc>
        <w:tc>
          <w:tcPr>
            <w:tcW w:w="12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6F2C344D" w14:textId="77777777" w:rsidR="005353C4" w:rsidRDefault="00000000">
            <w:pPr>
              <w:jc w:val="center"/>
            </w:pPr>
            <w:del w:id="16" w:author="Amias Gerety" w:date="2026-04-23T00:00:00Z">
              <w:r>
                <w:rPr>
                  <w:rFonts w:ascii="Arial" w:eastAsia="Arial" w:hAnsi="Arial" w:cs="Arial"/>
                  <w:b/>
                  <w:bCs/>
                  <w:color w:val="888888"/>
                </w:rPr>
                <w:delText>83.2</w:delText>
              </w:r>
            </w:del>
            <w:r>
              <w:rPr>
                <w:rFonts w:ascii="Arial" w:eastAsia="Arial" w:hAnsi="Arial" w:cs="Arial"/>
                <w:color w:val="222222"/>
              </w:rPr>
              <w:t xml:space="preserve">  </w:t>
            </w:r>
            <w:ins w:id="17" w:author="Amias Gerety" w:date="2026-04-23T00:00:00Z">
              <w:r>
                <w:rPr>
                  <w:rFonts w:ascii="Arial" w:eastAsia="Arial" w:hAnsi="Arial" w:cs="Arial"/>
                  <w:b/>
                  <w:bCs/>
                  <w:color w:val="1B4F8A"/>
                </w:rPr>
                <w:t>81.2</w:t>
              </w:r>
            </w:ins>
          </w:p>
        </w:tc>
        <w:tc>
          <w:tcPr>
            <w:tcW w:w="536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0DDF5CDF" w14:textId="77777777" w:rsidR="005353C4" w:rsidRDefault="00000000">
            <w:r>
              <w:rPr>
                <w:rFonts w:ascii="Arial" w:eastAsia="Arial" w:hAnsi="Arial" w:cs="Arial"/>
                <w:color w:val="222222"/>
              </w:rPr>
              <w:t xml:space="preserve">Layoffs spike, quits collapse, </w:t>
            </w:r>
            <w:proofErr w:type="spellStart"/>
            <w:r>
              <w:rPr>
                <w:rFonts w:ascii="Arial" w:eastAsia="Arial" w:hAnsi="Arial" w:cs="Arial"/>
                <w:color w:val="222222"/>
              </w:rPr>
              <w:t>labour</w:t>
            </w:r>
            <w:proofErr w:type="spellEnd"/>
            <w:r>
              <w:rPr>
                <w:rFonts w:ascii="Arial" w:eastAsia="Arial" w:hAnsi="Arial" w:cs="Arial"/>
                <w:color w:val="222222"/>
              </w:rPr>
              <w:t xml:space="preserve"> share falls</w:t>
            </w:r>
          </w:p>
        </w:tc>
      </w:tr>
      <w:tr w:rsidR="005353C4" w14:paraId="456DA147" w14:textId="77777777">
        <w:tblPrEx>
          <w:tblCellMar>
            <w:top w:w="0" w:type="dxa"/>
            <w:bottom w:w="0" w:type="dxa"/>
          </w:tblCellMar>
        </w:tblPrEx>
        <w:tc>
          <w:tcPr>
            <w:tcW w:w="280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41A2BA77" w14:textId="77777777" w:rsidR="005353C4" w:rsidRDefault="00000000">
            <w:r>
              <w:rPr>
                <w:rFonts w:ascii="Arial" w:eastAsia="Arial" w:hAnsi="Arial" w:cs="Arial"/>
                <w:color w:val="222222"/>
              </w:rPr>
              <w:t>2013–14 — Recovery period</w:t>
            </w:r>
          </w:p>
        </w:tc>
        <w:tc>
          <w:tcPr>
            <w:tcW w:w="120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1AD82BA5" w14:textId="77777777" w:rsidR="005353C4" w:rsidRDefault="00000000">
            <w:pPr>
              <w:jc w:val="center"/>
            </w:pPr>
            <w:del w:id="18" w:author="Amias Gerety" w:date="2026-04-23T00:00:00Z">
              <w:r>
                <w:rPr>
                  <w:rFonts w:ascii="Arial" w:eastAsia="Arial" w:hAnsi="Arial" w:cs="Arial"/>
                  <w:b/>
                  <w:bCs/>
                  <w:color w:val="888888"/>
                </w:rPr>
                <w:delText>107.9</w:delText>
              </w:r>
            </w:del>
            <w:r>
              <w:rPr>
                <w:rFonts w:ascii="Arial" w:eastAsia="Arial" w:hAnsi="Arial" w:cs="Arial"/>
                <w:color w:val="222222"/>
              </w:rPr>
              <w:t xml:space="preserve">  </w:t>
            </w:r>
            <w:ins w:id="19" w:author="Amias Gerety" w:date="2026-04-23T00:00:00Z">
              <w:r>
                <w:rPr>
                  <w:rFonts w:ascii="Arial" w:eastAsia="Arial" w:hAnsi="Arial" w:cs="Arial"/>
                  <w:b/>
                  <w:bCs/>
                  <w:color w:val="1B4F8A"/>
                </w:rPr>
                <w:t>97.3</w:t>
              </w:r>
            </w:ins>
          </w:p>
        </w:tc>
        <w:tc>
          <w:tcPr>
            <w:tcW w:w="536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720F0632" w14:textId="77777777" w:rsidR="005353C4" w:rsidRDefault="00000000">
            <w:r>
              <w:rPr>
                <w:rFonts w:ascii="Arial" w:eastAsia="Arial" w:hAnsi="Arial" w:cs="Arial"/>
                <w:color w:val="222222"/>
              </w:rPr>
              <w:t xml:space="preserve">Incomplete recovery; </w:t>
            </w:r>
            <w:proofErr w:type="spellStart"/>
            <w:r>
              <w:rPr>
                <w:rFonts w:ascii="Arial" w:eastAsia="Arial" w:hAnsi="Arial" w:cs="Arial"/>
                <w:color w:val="222222"/>
              </w:rPr>
              <w:t>labour</w:t>
            </w:r>
            <w:proofErr w:type="spellEnd"/>
            <w:r>
              <w:rPr>
                <w:rFonts w:ascii="Arial" w:eastAsia="Arial" w:hAnsi="Arial" w:cs="Arial"/>
                <w:color w:val="222222"/>
              </w:rPr>
              <w:t xml:space="preserve"> share decline offsets JOLTS improvement</w:t>
            </w:r>
          </w:p>
        </w:tc>
      </w:tr>
      <w:tr w:rsidR="005353C4" w14:paraId="2847A709" w14:textId="77777777">
        <w:tblPrEx>
          <w:tblCellMar>
            <w:top w:w="0" w:type="dxa"/>
            <w:bottom w:w="0" w:type="dxa"/>
          </w:tblCellMar>
        </w:tblPrEx>
        <w:tc>
          <w:tcPr>
            <w:tcW w:w="28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19D0F70A" w14:textId="77777777" w:rsidR="005353C4" w:rsidRDefault="00000000">
            <w:r>
              <w:rPr>
                <w:rFonts w:ascii="Arial" w:eastAsia="Arial" w:hAnsi="Arial" w:cs="Arial"/>
                <w:color w:val="222222"/>
              </w:rPr>
              <w:t>2020 — COVID shock</w:t>
            </w:r>
          </w:p>
        </w:tc>
        <w:tc>
          <w:tcPr>
            <w:tcW w:w="12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00A1F0BC" w14:textId="77777777" w:rsidR="005353C4" w:rsidRDefault="00000000">
            <w:pPr>
              <w:jc w:val="center"/>
            </w:pPr>
            <w:del w:id="20" w:author="Amias Gerety" w:date="2026-04-23T00:00:00Z">
              <w:r>
                <w:rPr>
                  <w:rFonts w:ascii="Arial" w:eastAsia="Arial" w:hAnsi="Arial" w:cs="Arial"/>
                  <w:b/>
                  <w:bCs/>
                  <w:color w:val="888888"/>
                </w:rPr>
                <w:delText>51.7</w:delText>
              </w:r>
            </w:del>
            <w:r>
              <w:rPr>
                <w:rFonts w:ascii="Arial" w:eastAsia="Arial" w:hAnsi="Arial" w:cs="Arial"/>
                <w:color w:val="222222"/>
              </w:rPr>
              <w:t xml:space="preserve">  </w:t>
            </w:r>
            <w:ins w:id="21" w:author="Amias Gerety" w:date="2026-04-23T00:00:00Z">
              <w:r>
                <w:rPr>
                  <w:rFonts w:ascii="Arial" w:eastAsia="Arial" w:hAnsi="Arial" w:cs="Arial"/>
                  <w:b/>
                  <w:bCs/>
                  <w:color w:val="1B4F8A"/>
                </w:rPr>
                <w:t>54.2</w:t>
              </w:r>
            </w:ins>
          </w:p>
        </w:tc>
        <w:tc>
          <w:tcPr>
            <w:tcW w:w="536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5F9D1551" w14:textId="77777777" w:rsidR="005353C4" w:rsidRDefault="00000000">
            <w:r>
              <w:rPr>
                <w:rFonts w:ascii="Arial" w:eastAsia="Arial" w:hAnsi="Arial" w:cs="Arial"/>
                <w:color w:val="222222"/>
              </w:rPr>
              <w:t>Sharpest single-year deterioration on record</w:t>
            </w:r>
          </w:p>
        </w:tc>
      </w:tr>
      <w:tr w:rsidR="005353C4" w14:paraId="1E183D69" w14:textId="77777777">
        <w:tblPrEx>
          <w:tblCellMar>
            <w:top w:w="0" w:type="dxa"/>
            <w:bottom w:w="0" w:type="dxa"/>
          </w:tblCellMar>
        </w:tblPrEx>
        <w:tc>
          <w:tcPr>
            <w:tcW w:w="280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5FDFC4B5" w14:textId="77777777" w:rsidR="005353C4" w:rsidRDefault="00000000">
            <w:r>
              <w:rPr>
                <w:rFonts w:ascii="Arial" w:eastAsia="Arial" w:hAnsi="Arial" w:cs="Arial"/>
                <w:color w:val="222222"/>
              </w:rPr>
              <w:t>2022 — Post-COVID tightening</w:t>
            </w:r>
          </w:p>
        </w:tc>
        <w:tc>
          <w:tcPr>
            <w:tcW w:w="120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268A35B0" w14:textId="77777777" w:rsidR="005353C4" w:rsidRDefault="00000000">
            <w:pPr>
              <w:jc w:val="center"/>
            </w:pPr>
            <w:del w:id="22" w:author="Amias Gerety" w:date="2026-04-23T00:00:00Z">
              <w:r>
                <w:rPr>
                  <w:rFonts w:ascii="Arial" w:eastAsia="Arial" w:hAnsi="Arial" w:cs="Arial"/>
                  <w:b/>
                  <w:bCs/>
                  <w:color w:val="888888"/>
                </w:rPr>
                <w:delText>99.1</w:delText>
              </w:r>
            </w:del>
            <w:r>
              <w:rPr>
                <w:rFonts w:ascii="Arial" w:eastAsia="Arial" w:hAnsi="Arial" w:cs="Arial"/>
                <w:color w:val="222222"/>
              </w:rPr>
              <w:t xml:space="preserve">  </w:t>
            </w:r>
            <w:ins w:id="23" w:author="Amias Gerety" w:date="2026-04-23T00:00:00Z">
              <w:r>
                <w:rPr>
                  <w:rFonts w:ascii="Arial" w:eastAsia="Arial" w:hAnsi="Arial" w:cs="Arial"/>
                  <w:b/>
                  <w:bCs/>
                  <w:color w:val="1B4F8A"/>
                </w:rPr>
                <w:t>88.3</w:t>
              </w:r>
            </w:ins>
          </w:p>
        </w:tc>
        <w:tc>
          <w:tcPr>
            <w:tcW w:w="536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1F3A63ED" w14:textId="77777777" w:rsidR="005353C4" w:rsidRDefault="00000000">
            <w:r>
              <w:rPr>
                <w:rFonts w:ascii="Arial" w:eastAsia="Arial" w:hAnsi="Arial" w:cs="Arial"/>
                <w:color w:val="222222"/>
              </w:rPr>
              <w:t xml:space="preserve">Partial </w:t>
            </w:r>
            <w:proofErr w:type="gramStart"/>
            <w:r>
              <w:rPr>
                <w:rFonts w:ascii="Arial" w:eastAsia="Arial" w:hAnsi="Arial" w:cs="Arial"/>
                <w:color w:val="222222"/>
              </w:rPr>
              <w:t>recovery;</w:t>
            </w:r>
            <w:proofErr w:type="gramEnd"/>
            <w:r>
              <w:rPr>
                <w:rFonts w:ascii="Arial" w:eastAsia="Arial" w:hAnsi="Arial" w:cs="Arial"/>
                <w:color w:val="222222"/>
              </w:rPr>
              <w:t xml:space="preserve"> </w:t>
            </w:r>
            <w:proofErr w:type="spellStart"/>
            <w:r>
              <w:rPr>
                <w:rFonts w:ascii="Arial" w:eastAsia="Arial" w:hAnsi="Arial" w:cs="Arial"/>
                <w:color w:val="222222"/>
              </w:rPr>
              <w:t>labour</w:t>
            </w:r>
            <w:proofErr w:type="spellEnd"/>
            <w:r>
              <w:rPr>
                <w:rFonts w:ascii="Arial" w:eastAsia="Arial" w:hAnsi="Arial" w:cs="Arial"/>
                <w:color w:val="222222"/>
              </w:rPr>
              <w:t xml:space="preserve"> share already eroding</w:t>
            </w:r>
          </w:p>
        </w:tc>
      </w:tr>
      <w:tr w:rsidR="005353C4" w14:paraId="71160CC5" w14:textId="77777777">
        <w:tblPrEx>
          <w:tblCellMar>
            <w:top w:w="0" w:type="dxa"/>
            <w:bottom w:w="0" w:type="dxa"/>
          </w:tblCellMar>
        </w:tblPrEx>
        <w:tc>
          <w:tcPr>
            <w:tcW w:w="28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22F8B578" w14:textId="77777777" w:rsidR="005353C4" w:rsidRDefault="00000000">
            <w:r>
              <w:rPr>
                <w:rFonts w:ascii="Arial" w:eastAsia="Arial" w:hAnsi="Arial" w:cs="Arial"/>
                <w:color w:val="222222"/>
              </w:rPr>
              <w:t>2024 — Most recent</w:t>
            </w:r>
          </w:p>
        </w:tc>
        <w:tc>
          <w:tcPr>
            <w:tcW w:w="12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3A568BA5" w14:textId="77777777" w:rsidR="005353C4" w:rsidRDefault="00000000">
            <w:pPr>
              <w:jc w:val="center"/>
            </w:pPr>
            <w:del w:id="24" w:author="Amias Gerety" w:date="2026-04-23T00:00:00Z">
              <w:r>
                <w:rPr>
                  <w:rFonts w:ascii="Arial" w:eastAsia="Arial" w:hAnsi="Arial" w:cs="Arial"/>
                  <w:b/>
                  <w:bCs/>
                  <w:color w:val="888888"/>
                </w:rPr>
                <w:delText>86.8</w:delText>
              </w:r>
            </w:del>
            <w:r>
              <w:rPr>
                <w:rFonts w:ascii="Arial" w:eastAsia="Arial" w:hAnsi="Arial" w:cs="Arial"/>
                <w:color w:val="222222"/>
              </w:rPr>
              <w:t xml:space="preserve">  </w:t>
            </w:r>
            <w:ins w:id="25" w:author="Amias Gerety" w:date="2026-04-23T00:00:00Z">
              <w:r>
                <w:rPr>
                  <w:rFonts w:ascii="Arial" w:eastAsia="Arial" w:hAnsi="Arial" w:cs="Arial"/>
                  <w:b/>
                  <w:bCs/>
                  <w:color w:val="1B4F8A"/>
                </w:rPr>
                <w:t>75.5</w:t>
              </w:r>
            </w:ins>
          </w:p>
        </w:tc>
        <w:tc>
          <w:tcPr>
            <w:tcW w:w="536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2538049F" w14:textId="77777777" w:rsidR="005353C4" w:rsidRDefault="00000000">
            <w:r>
              <w:rPr>
                <w:rFonts w:ascii="Arial" w:eastAsia="Arial" w:hAnsi="Arial" w:cs="Arial"/>
                <w:color w:val="222222"/>
              </w:rPr>
              <w:t xml:space="preserve">Below base despite U-3 near historic lows; </w:t>
            </w:r>
            <w:proofErr w:type="spellStart"/>
            <w:r>
              <w:rPr>
                <w:rFonts w:ascii="Arial" w:eastAsia="Arial" w:hAnsi="Arial" w:cs="Arial"/>
                <w:color w:val="222222"/>
              </w:rPr>
              <w:t>labour</w:t>
            </w:r>
            <w:proofErr w:type="spellEnd"/>
            <w:r>
              <w:rPr>
                <w:rFonts w:ascii="Arial" w:eastAsia="Arial" w:hAnsi="Arial" w:cs="Arial"/>
                <w:color w:val="222222"/>
              </w:rPr>
              <w:t xml:space="preserve"> share at 60-year low</w:t>
            </w:r>
          </w:p>
        </w:tc>
      </w:tr>
    </w:tbl>
    <w:p w14:paraId="75F4C691" w14:textId="77777777" w:rsidR="005353C4" w:rsidRDefault="005353C4">
      <w:pPr>
        <w:spacing w:after="80"/>
      </w:pPr>
    </w:p>
    <w:p w14:paraId="4A72A32F" w14:textId="77777777" w:rsidR="005353C4" w:rsidRDefault="00000000">
      <w:pPr>
        <w:spacing w:after="140"/>
        <w:jc w:val="both"/>
      </w:pPr>
      <w:r>
        <w:rPr>
          <w:rFonts w:ascii="Arial" w:eastAsia="Arial" w:hAnsi="Arial" w:cs="Arial"/>
          <w:b/>
          <w:bCs/>
          <w:color w:val="1F3864"/>
          <w:sz w:val="22"/>
          <w:szCs w:val="22"/>
        </w:rPr>
        <w:t xml:space="preserve">The 2022–2024 divergence is the central finding. </w:t>
      </w:r>
      <w:r>
        <w:rPr>
          <w:rFonts w:ascii="Arial" w:eastAsia="Arial" w:hAnsi="Arial" w:cs="Arial"/>
          <w:color w:val="222222"/>
          <w:sz w:val="22"/>
          <w:szCs w:val="22"/>
        </w:rPr>
        <w:t xml:space="preserve">Headline employment statistics describe a strong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market; the WJSI is deteriorating. The proximate drivers are the collapse in voluntary quits (down 25% from their 2022 peak), continued erosion of union membership to record lows, a decline in median tenure, </w:t>
      </w:r>
      <w:ins w:id="26" w:author="Amias Gerety" w:date="2026-04-23T00:00:00Z">
        <w:r>
          <w:rPr>
            <w:rFonts w:ascii="Arial" w:eastAsia="Arial" w:hAnsi="Arial" w:cs="Arial"/>
            <w:color w:val="222222"/>
            <w:sz w:val="22"/>
            <w:szCs w:val="22"/>
          </w:rPr>
          <w:t xml:space="preserve">and a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share index at its lowest reading since the 1960s </w:t>
        </w:r>
      </w:ins>
      <w:r>
        <w:rPr>
          <w:rFonts w:ascii="Arial" w:eastAsia="Arial" w:hAnsi="Arial" w:cs="Arial"/>
          <w:color w:val="222222"/>
          <w:sz w:val="22"/>
          <w:szCs w:val="22"/>
        </w:rPr>
        <w:t>— all structural rather than cyclical signals.</w:t>
      </w:r>
    </w:p>
    <w:p w14:paraId="2AEB1B51" w14:textId="77777777" w:rsidR="005353C4" w:rsidRDefault="00000000">
      <w:pPr>
        <w:spacing w:before="280" w:after="80"/>
      </w:pPr>
      <w:r>
        <w:rPr>
          <w:rFonts w:ascii="Arial" w:eastAsia="Arial" w:hAnsi="Arial" w:cs="Arial"/>
          <w:b/>
          <w:bCs/>
          <w:color w:val="1F3864"/>
          <w:spacing w:val="40"/>
        </w:rPr>
        <w:t>DIFFERENTIATION FROM EXISTING MEASURES</w:t>
      </w:r>
    </w:p>
    <w:p w14:paraId="1883B2B8" w14:textId="77777777" w:rsidR="005353C4" w:rsidRDefault="00000000">
      <w:pPr>
        <w:spacing w:after="140"/>
        <w:jc w:val="both"/>
      </w:pPr>
      <w:r>
        <w:rPr>
          <w:rFonts w:ascii="Arial" w:eastAsia="Arial" w:hAnsi="Arial" w:cs="Arial"/>
          <w:color w:val="222222"/>
          <w:sz w:val="22"/>
          <w:szCs w:val="22"/>
        </w:rPr>
        <w:t>The WJSI has been tested against six external indicators across the full 2001–2025 sample:</w:t>
      </w:r>
    </w:p>
    <w:p w14:paraId="0F6BEA7A" w14:textId="77777777" w:rsidR="005353C4" w:rsidRDefault="005353C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900"/>
        <w:gridCol w:w="4960"/>
      </w:tblGrid>
      <w:tr w:rsidR="005353C4" w14:paraId="0362E0DE" w14:textId="77777777">
        <w:tblPrEx>
          <w:tblCellMar>
            <w:top w:w="0" w:type="dxa"/>
            <w:bottom w:w="0" w:type="dxa"/>
          </w:tblCellMar>
        </w:tblPrEx>
        <w:tc>
          <w:tcPr>
            <w:tcW w:w="3500" w:type="dxa"/>
            <w:tcBorders>
              <w:top w:val="none" w:sz="0" w:space="0" w:color="FFFFFF"/>
              <w:left w:val="none" w:sz="0" w:space="0" w:color="FFFFFF"/>
              <w:bottom w:val="none" w:sz="0" w:space="0" w:color="FFFFFF"/>
              <w:right w:val="none" w:sz="0" w:space="0" w:color="FFFFFF"/>
            </w:tcBorders>
            <w:shd w:val="clear" w:color="auto" w:fill="44546A"/>
            <w:tcMar>
              <w:top w:w="80" w:type="dxa"/>
              <w:left w:w="120" w:type="dxa"/>
              <w:bottom w:w="80" w:type="dxa"/>
              <w:right w:w="120" w:type="dxa"/>
            </w:tcMar>
          </w:tcPr>
          <w:p w14:paraId="3A0F158D" w14:textId="77777777" w:rsidR="005353C4" w:rsidRDefault="00000000">
            <w:r>
              <w:rPr>
                <w:rFonts w:ascii="Arial" w:eastAsia="Arial" w:hAnsi="Arial" w:cs="Arial"/>
                <w:b/>
                <w:bCs/>
                <w:color w:val="FFFFFF"/>
              </w:rPr>
              <w:t>Indicator</w:t>
            </w:r>
          </w:p>
        </w:tc>
        <w:tc>
          <w:tcPr>
            <w:tcW w:w="900" w:type="dxa"/>
            <w:tcBorders>
              <w:top w:val="none" w:sz="0" w:space="0" w:color="FFFFFF"/>
              <w:left w:val="none" w:sz="0" w:space="0" w:color="FFFFFF"/>
              <w:bottom w:val="none" w:sz="0" w:space="0" w:color="FFFFFF"/>
              <w:right w:val="none" w:sz="0" w:space="0" w:color="FFFFFF"/>
            </w:tcBorders>
            <w:shd w:val="clear" w:color="auto" w:fill="44546A"/>
            <w:tcMar>
              <w:top w:w="80" w:type="dxa"/>
              <w:left w:w="120" w:type="dxa"/>
              <w:bottom w:w="80" w:type="dxa"/>
              <w:right w:w="120" w:type="dxa"/>
            </w:tcMar>
          </w:tcPr>
          <w:p w14:paraId="6FBA83C8" w14:textId="77777777" w:rsidR="005353C4" w:rsidRDefault="00000000">
            <w:pPr>
              <w:jc w:val="center"/>
            </w:pPr>
            <w:r>
              <w:rPr>
                <w:rFonts w:ascii="Arial" w:eastAsia="Arial" w:hAnsi="Arial" w:cs="Arial"/>
                <w:b/>
                <w:bCs/>
                <w:color w:val="FFFFFF"/>
              </w:rPr>
              <w:t>r (lag 0)</w:t>
            </w:r>
          </w:p>
        </w:tc>
        <w:tc>
          <w:tcPr>
            <w:tcW w:w="4960" w:type="dxa"/>
            <w:tcBorders>
              <w:top w:val="none" w:sz="0" w:space="0" w:color="FFFFFF"/>
              <w:left w:val="none" w:sz="0" w:space="0" w:color="FFFFFF"/>
              <w:bottom w:val="none" w:sz="0" w:space="0" w:color="FFFFFF"/>
              <w:right w:val="none" w:sz="0" w:space="0" w:color="FFFFFF"/>
            </w:tcBorders>
            <w:shd w:val="clear" w:color="auto" w:fill="44546A"/>
            <w:tcMar>
              <w:top w:w="80" w:type="dxa"/>
              <w:left w:w="120" w:type="dxa"/>
              <w:bottom w:w="80" w:type="dxa"/>
              <w:right w:w="120" w:type="dxa"/>
            </w:tcMar>
          </w:tcPr>
          <w:p w14:paraId="615E8D62" w14:textId="77777777" w:rsidR="005353C4" w:rsidRDefault="00000000">
            <w:r>
              <w:rPr>
                <w:rFonts w:ascii="Arial" w:eastAsia="Arial" w:hAnsi="Arial" w:cs="Arial"/>
                <w:b/>
                <w:bCs/>
                <w:color w:val="FFFFFF"/>
              </w:rPr>
              <w:t>Interpretation</w:t>
            </w:r>
          </w:p>
        </w:tc>
      </w:tr>
      <w:tr w:rsidR="005353C4" w14:paraId="41E613C4" w14:textId="77777777">
        <w:tblPrEx>
          <w:tblCellMar>
            <w:top w:w="0" w:type="dxa"/>
            <w:bottom w:w="0" w:type="dxa"/>
          </w:tblCellMar>
        </w:tblPrEx>
        <w:tc>
          <w:tcPr>
            <w:tcW w:w="35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03594638" w14:textId="77777777" w:rsidR="005353C4" w:rsidRDefault="00000000">
            <w:r>
              <w:rPr>
                <w:rFonts w:ascii="Arial" w:eastAsia="Arial" w:hAnsi="Arial" w:cs="Arial"/>
                <w:color w:val="222222"/>
              </w:rPr>
              <w:t>U-6 underemployment</w:t>
            </w:r>
          </w:p>
        </w:tc>
        <w:tc>
          <w:tcPr>
            <w:tcW w:w="9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12E79435" w14:textId="77777777" w:rsidR="005353C4" w:rsidRDefault="00000000">
            <w:pPr>
              <w:jc w:val="center"/>
            </w:pPr>
            <w:r>
              <w:rPr>
                <w:rFonts w:ascii="Arial" w:eastAsia="Arial" w:hAnsi="Arial" w:cs="Arial"/>
                <w:color w:val="1F3864"/>
              </w:rPr>
              <w:t>−0.15</w:t>
            </w:r>
          </w:p>
        </w:tc>
        <w:tc>
          <w:tcPr>
            <w:tcW w:w="496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592D8221" w14:textId="77777777" w:rsidR="005353C4" w:rsidRDefault="00000000">
            <w:r>
              <w:rPr>
                <w:rFonts w:ascii="Arial" w:eastAsia="Arial" w:hAnsi="Arial" w:cs="Arial"/>
                <w:color w:val="222222"/>
              </w:rPr>
              <w:t>Not redundant with broadest unemployment measure</w:t>
            </w:r>
          </w:p>
        </w:tc>
      </w:tr>
      <w:tr w:rsidR="005353C4" w14:paraId="4ED3D769" w14:textId="77777777">
        <w:tblPrEx>
          <w:tblCellMar>
            <w:top w:w="0" w:type="dxa"/>
            <w:bottom w:w="0" w:type="dxa"/>
          </w:tblCellMar>
        </w:tblPrEx>
        <w:tc>
          <w:tcPr>
            <w:tcW w:w="350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32910FA2" w14:textId="77777777" w:rsidR="005353C4" w:rsidRDefault="00000000">
            <w:r>
              <w:rPr>
                <w:rFonts w:ascii="Arial" w:eastAsia="Arial" w:hAnsi="Arial" w:cs="Arial"/>
                <w:color w:val="222222"/>
              </w:rPr>
              <w:t>U-3 unemployment</w:t>
            </w:r>
          </w:p>
        </w:tc>
        <w:tc>
          <w:tcPr>
            <w:tcW w:w="90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021193FF" w14:textId="77777777" w:rsidR="005353C4" w:rsidRDefault="00000000">
            <w:pPr>
              <w:jc w:val="center"/>
            </w:pPr>
            <w:r>
              <w:rPr>
                <w:rFonts w:ascii="Arial" w:eastAsia="Arial" w:hAnsi="Arial" w:cs="Arial"/>
                <w:color w:val="1F3864"/>
              </w:rPr>
              <w:t>−0.24</w:t>
            </w:r>
          </w:p>
        </w:tc>
        <w:tc>
          <w:tcPr>
            <w:tcW w:w="496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77673E74" w14:textId="77777777" w:rsidR="005353C4" w:rsidRDefault="00000000">
            <w:r>
              <w:rPr>
                <w:rFonts w:ascii="Arial" w:eastAsia="Arial" w:hAnsi="Arial" w:cs="Arial"/>
                <w:color w:val="222222"/>
              </w:rPr>
              <w:t>Not redundant with headline unemployment</w:t>
            </w:r>
          </w:p>
        </w:tc>
      </w:tr>
      <w:tr w:rsidR="005353C4" w14:paraId="4F567366" w14:textId="77777777">
        <w:tblPrEx>
          <w:tblCellMar>
            <w:top w:w="0" w:type="dxa"/>
            <w:bottom w:w="0" w:type="dxa"/>
          </w:tblCellMar>
        </w:tblPrEx>
        <w:tc>
          <w:tcPr>
            <w:tcW w:w="35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2FFBBDDF" w14:textId="77777777" w:rsidR="005353C4" w:rsidRDefault="00000000">
            <w:r>
              <w:rPr>
                <w:rFonts w:ascii="Arial" w:eastAsia="Arial" w:hAnsi="Arial" w:cs="Arial"/>
                <w:color w:val="222222"/>
              </w:rPr>
              <w:t>Real GDP growth</w:t>
            </w:r>
          </w:p>
        </w:tc>
        <w:tc>
          <w:tcPr>
            <w:tcW w:w="90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67AFEEF9" w14:textId="77777777" w:rsidR="005353C4" w:rsidRDefault="00000000">
            <w:pPr>
              <w:jc w:val="center"/>
            </w:pPr>
            <w:r>
              <w:rPr>
                <w:rFonts w:ascii="Arial" w:eastAsia="Arial" w:hAnsi="Arial" w:cs="Arial"/>
                <w:color w:val="1F3864"/>
              </w:rPr>
              <w:t>+0.66</w:t>
            </w:r>
          </w:p>
        </w:tc>
        <w:tc>
          <w:tcPr>
            <w:tcW w:w="4960" w:type="dxa"/>
            <w:tcBorders>
              <w:top w:val="single" w:sz="1" w:space="0" w:color="D0DEED"/>
              <w:left w:val="single" w:sz="1" w:space="0" w:color="D0DEED"/>
              <w:bottom w:val="single" w:sz="1" w:space="0" w:color="D0DEED"/>
              <w:right w:val="single" w:sz="1" w:space="0" w:color="D0DEED"/>
            </w:tcBorders>
            <w:shd w:val="clear" w:color="auto" w:fill="FFFFFF"/>
            <w:tcMar>
              <w:top w:w="80" w:type="dxa"/>
              <w:left w:w="120" w:type="dxa"/>
              <w:bottom w:w="80" w:type="dxa"/>
              <w:right w:w="120" w:type="dxa"/>
            </w:tcMar>
          </w:tcPr>
          <w:p w14:paraId="636FB3ED" w14:textId="77777777" w:rsidR="005353C4" w:rsidRDefault="00000000">
            <w:r>
              <w:rPr>
                <w:rFonts w:ascii="Arial" w:eastAsia="Arial" w:hAnsi="Arial" w:cs="Arial"/>
                <w:color w:val="222222"/>
              </w:rPr>
              <w:t>Meaningful business-cycle co-movement (expected)</w:t>
            </w:r>
          </w:p>
        </w:tc>
      </w:tr>
      <w:tr w:rsidR="005353C4" w14:paraId="3DBBA4DA" w14:textId="77777777">
        <w:tblPrEx>
          <w:tblCellMar>
            <w:top w:w="0" w:type="dxa"/>
            <w:bottom w:w="0" w:type="dxa"/>
          </w:tblCellMar>
        </w:tblPrEx>
        <w:tc>
          <w:tcPr>
            <w:tcW w:w="350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4295E3E6" w14:textId="77777777" w:rsidR="005353C4" w:rsidRDefault="00000000">
            <w:r>
              <w:rPr>
                <w:rFonts w:ascii="Arial" w:eastAsia="Arial" w:hAnsi="Arial" w:cs="Arial"/>
                <w:color w:val="222222"/>
              </w:rPr>
              <w:t>Michigan Consumer Sentiment (contemporaneous)</w:t>
            </w:r>
          </w:p>
        </w:tc>
        <w:tc>
          <w:tcPr>
            <w:tcW w:w="90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0B54D236" w14:textId="77777777" w:rsidR="005353C4" w:rsidRDefault="00000000">
            <w:pPr>
              <w:jc w:val="center"/>
            </w:pPr>
            <w:r>
              <w:rPr>
                <w:rFonts w:ascii="Arial" w:eastAsia="Arial" w:hAnsi="Arial" w:cs="Arial"/>
                <w:color w:val="1F3864"/>
              </w:rPr>
              <w:t>+0.41</w:t>
            </w:r>
          </w:p>
        </w:tc>
        <w:tc>
          <w:tcPr>
            <w:tcW w:w="4960" w:type="dxa"/>
            <w:tcBorders>
              <w:top w:val="single" w:sz="1" w:space="0" w:color="D0DEED"/>
              <w:left w:val="single" w:sz="1" w:space="0" w:color="D0DEED"/>
              <w:bottom w:val="single" w:sz="1" w:space="0" w:color="D0DEED"/>
              <w:right w:val="single" w:sz="1" w:space="0" w:color="D0DEED"/>
            </w:tcBorders>
            <w:shd w:val="clear" w:color="auto" w:fill="EBF2FA"/>
            <w:tcMar>
              <w:top w:w="80" w:type="dxa"/>
              <w:left w:w="120" w:type="dxa"/>
              <w:bottom w:w="80" w:type="dxa"/>
              <w:right w:w="120" w:type="dxa"/>
            </w:tcMar>
          </w:tcPr>
          <w:p w14:paraId="50112B6C" w14:textId="77777777" w:rsidR="005353C4" w:rsidRDefault="00000000">
            <w:r>
              <w:rPr>
                <w:rFonts w:ascii="Arial" w:eastAsia="Arial" w:hAnsi="Arial" w:cs="Arial"/>
                <w:color w:val="222222"/>
              </w:rPr>
              <w:t>Moderate contemporaneous; see lead/lag finding below</w:t>
            </w:r>
          </w:p>
        </w:tc>
      </w:tr>
    </w:tbl>
    <w:p w14:paraId="62B01822" w14:textId="77777777" w:rsidR="005353C4" w:rsidRDefault="005353C4">
      <w:pPr>
        <w:spacing w:after="80"/>
      </w:pPr>
    </w:p>
    <w:p w14:paraId="189AC17F" w14:textId="77777777" w:rsidR="005353C4" w:rsidRDefault="00000000">
      <w:pPr>
        <w:spacing w:after="140"/>
        <w:jc w:val="both"/>
      </w:pPr>
      <w:r>
        <w:rPr>
          <w:rFonts w:ascii="Arial" w:eastAsia="Arial" w:hAnsi="Arial" w:cs="Arial"/>
          <w:color w:val="222222"/>
          <w:sz w:val="22"/>
          <w:szCs w:val="22"/>
        </w:rPr>
        <w:t>Five alternative weighting schemes (union-heavy, JOLTS-focused, no-openings, and structural-only) all correlate above r = 0.80 with the equal-weight baseline, confirming that the index shape is not an artefact of weighting choices.</w:t>
      </w:r>
    </w:p>
    <w:p w14:paraId="03FDE342" w14:textId="77777777" w:rsidR="005353C4" w:rsidRDefault="00000000">
      <w:pPr>
        <w:spacing w:before="280" w:after="80"/>
      </w:pPr>
      <w:r>
        <w:rPr>
          <w:rFonts w:ascii="Arial" w:eastAsia="Arial" w:hAnsi="Arial" w:cs="Arial"/>
          <w:b/>
          <w:bCs/>
          <w:color w:val="1F3864"/>
          <w:spacing w:val="40"/>
        </w:rPr>
        <w:t>LEAD/LAG STRUCTURE — THE KEY FINDING</w:t>
      </w:r>
    </w:p>
    <w:p w14:paraId="3E03FE58" w14:textId="77777777" w:rsidR="005353C4" w:rsidRDefault="00000000">
      <w:pPr>
        <w:spacing w:after="140"/>
        <w:jc w:val="both"/>
      </w:pPr>
      <w:r>
        <w:rPr>
          <w:rFonts w:ascii="Arial" w:eastAsia="Arial" w:hAnsi="Arial" w:cs="Arial"/>
          <w:color w:val="222222"/>
          <w:sz w:val="22"/>
          <w:szCs w:val="22"/>
        </w:rPr>
        <w:lastRenderedPageBreak/>
        <w:t xml:space="preserve">The WJSI appears to lead the University of Michigan Consumer Sentiment Index by approximately two years. At a two-year lead, the Pearson correlation </w:t>
      </w:r>
      <w:del w:id="27" w:author="Amias Gerety" w:date="2026-04-23T00:00:00Z">
        <w:r>
          <w:rPr>
            <w:rFonts w:ascii="Arial" w:eastAsia="Arial" w:hAnsi="Arial" w:cs="Arial"/>
            <w:color w:val="222222"/>
            <w:sz w:val="22"/>
            <w:szCs w:val="22"/>
          </w:rPr>
          <w:delText>rises to r = 0.45 (p = 0.033)</w:delText>
        </w:r>
      </w:del>
      <w:ins w:id="28" w:author="Amias Gerety" w:date="2026-04-23T00:00:00Z">
        <w:r>
          <w:rPr>
            <w:rFonts w:ascii="Arial" w:eastAsia="Arial" w:hAnsi="Arial" w:cs="Arial"/>
            <w:color w:val="222222"/>
            <w:sz w:val="22"/>
            <w:szCs w:val="22"/>
          </w:rPr>
          <w:t>rises to r = 0.50 (p = 0.015)</w:t>
        </w:r>
      </w:ins>
      <w:r>
        <w:rPr>
          <w:rFonts w:ascii="Arial" w:eastAsia="Arial" w:hAnsi="Arial" w:cs="Arial"/>
          <w:color w:val="222222"/>
          <w:sz w:val="22"/>
          <w:szCs w:val="22"/>
        </w:rPr>
        <w:t xml:space="preserve">. More importantly, a formal Granger causality test — which controls for Michigan Sentiment's own autocorrelation — yields F = 7.37, p = 0.014. The reverse direction (sentiment leading WJSI) is not significant (p = 0.41). </w:t>
      </w:r>
      <w:ins w:id="29" w:author="Amias Gerety" w:date="2026-04-23T00:00:00Z">
        <w:r>
          <w:rPr>
            <w:rFonts w:ascii="Arial" w:eastAsia="Arial" w:hAnsi="Arial" w:cs="Arial"/>
            <w:color w:val="222222"/>
            <w:sz w:val="22"/>
            <w:szCs w:val="22"/>
          </w:rPr>
          <w:t xml:space="preserve">The addition of the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share component strengthened this lead relationship relative to the prior 5-component specification (r = 0.45), suggesting that macro income distribution carries independent forward-looking information about consumer confidence.</w:t>
        </w:r>
      </w:ins>
    </w:p>
    <w:p w14:paraId="3A41459E" w14:textId="77777777" w:rsidR="005353C4" w:rsidRDefault="00000000">
      <w:pPr>
        <w:spacing w:after="140"/>
        <w:jc w:val="both"/>
      </w:pPr>
      <w:r>
        <w:rPr>
          <w:rFonts w:ascii="Arial" w:eastAsia="Arial" w:hAnsi="Arial" w:cs="Arial"/>
          <w:color w:val="222222"/>
          <w:sz w:val="22"/>
          <w:szCs w:val="22"/>
        </w:rPr>
        <w:t xml:space="preserve">This finding requires qualification and should not be overstated. It does not survive permutation-based multiple-testing correction across all nine lags examined (familywise p = 0.16), and it is not present in pre-2008 data alone (r = 0.30, p = 0.25). Rolling-window analysis shows the relationship emerging and </w:t>
      </w:r>
      <w:proofErr w:type="spellStart"/>
      <w:r>
        <w:rPr>
          <w:rFonts w:ascii="Arial" w:eastAsia="Arial" w:hAnsi="Arial" w:cs="Arial"/>
          <w:color w:val="222222"/>
          <w:sz w:val="22"/>
          <w:szCs w:val="22"/>
        </w:rPr>
        <w:t>stabilising</w:t>
      </w:r>
      <w:proofErr w:type="spellEnd"/>
      <w:r>
        <w:rPr>
          <w:rFonts w:ascii="Arial" w:eastAsia="Arial" w:hAnsi="Arial" w:cs="Arial"/>
          <w:color w:val="222222"/>
          <w:sz w:val="22"/>
          <w:szCs w:val="22"/>
        </w:rPr>
        <w:t xml:space="preserve"> in the post-GFC environment: the 2007–2017 window alone yields r = 0.78. Leave-one-out cross-validation confirms marginal but positive out-of-sample predictive power (LOO R² = 0.097).</w:t>
      </w:r>
    </w:p>
    <w:p w14:paraId="75189B75" w14:textId="77777777" w:rsidR="005353C4" w:rsidRDefault="00000000">
      <w:pPr>
        <w:spacing w:after="140"/>
        <w:jc w:val="both"/>
      </w:pPr>
      <w:r>
        <w:rPr>
          <w:rFonts w:ascii="Arial" w:eastAsia="Arial" w:hAnsi="Arial" w:cs="Arial"/>
          <w:color w:val="222222"/>
          <w:sz w:val="22"/>
          <w:szCs w:val="22"/>
        </w:rPr>
        <w:t xml:space="preserve">The most defensible framing </w:t>
      </w:r>
      <w:proofErr w:type="gramStart"/>
      <w:r>
        <w:rPr>
          <w:rFonts w:ascii="Arial" w:eastAsia="Arial" w:hAnsi="Arial" w:cs="Arial"/>
          <w:color w:val="222222"/>
          <w:sz w:val="22"/>
          <w:szCs w:val="22"/>
        </w:rPr>
        <w:t>is:</w:t>
      </w:r>
      <w:proofErr w:type="gramEnd"/>
      <w:r>
        <w:rPr>
          <w:rFonts w:ascii="Arial" w:eastAsia="Arial" w:hAnsi="Arial" w:cs="Arial"/>
          <w:color w:val="222222"/>
          <w:sz w:val="22"/>
          <w:szCs w:val="22"/>
        </w:rPr>
        <w:t xml:space="preserve"> in the post-2008 structural environment, deteriorating job security has preceded deteriorating consumer confidence by approximately two years. This is a post-GFC </w:t>
      </w:r>
      <w:proofErr w:type="spellStart"/>
      <w:r>
        <w:rPr>
          <w:rFonts w:ascii="Arial" w:eastAsia="Arial" w:hAnsi="Arial" w:cs="Arial"/>
          <w:color w:val="222222"/>
          <w:sz w:val="22"/>
          <w:szCs w:val="22"/>
        </w:rPr>
        <w:t>behavioural</w:t>
      </w:r>
      <w:proofErr w:type="spellEnd"/>
      <w:r>
        <w:rPr>
          <w:rFonts w:ascii="Arial" w:eastAsia="Arial" w:hAnsi="Arial" w:cs="Arial"/>
          <w:color w:val="222222"/>
          <w:sz w:val="22"/>
          <w:szCs w:val="22"/>
        </w:rPr>
        <w:t xml:space="preserve"> finding rather than a long-run structural one — but it is a finding worth monitoring and, given the Granger result, difficult to dismiss.</w:t>
      </w:r>
    </w:p>
    <w:p w14:paraId="4C10C845" w14:textId="77777777" w:rsidR="005353C4" w:rsidRDefault="005353C4">
      <w:pPr>
        <w:pBdr>
          <w:bottom w:val="single" w:sz="6" w:space="1" w:color="BDD0E9"/>
        </w:pBdr>
        <w:spacing w:after="160"/>
      </w:pPr>
    </w:p>
    <w:p w14:paraId="3ADFE724" w14:textId="77777777" w:rsidR="005353C4" w:rsidRDefault="00000000">
      <w:pPr>
        <w:spacing w:before="280" w:after="80"/>
      </w:pPr>
      <w:r>
        <w:rPr>
          <w:rFonts w:ascii="Arial" w:eastAsia="Arial" w:hAnsi="Arial" w:cs="Arial"/>
          <w:b/>
          <w:bCs/>
          <w:color w:val="1F3864"/>
          <w:spacing w:val="40"/>
        </w:rPr>
        <w:t>6.  NEXT STEPS &amp; PARTNERSHIP RATIONALE</w:t>
      </w:r>
    </w:p>
    <w:p w14:paraId="3AB33562" w14:textId="77777777" w:rsidR="005353C4" w:rsidRDefault="00000000">
      <w:pPr>
        <w:spacing w:after="140"/>
        <w:jc w:val="both"/>
      </w:pPr>
      <w:r>
        <w:rPr>
          <w:rFonts w:ascii="Arial" w:eastAsia="Arial" w:hAnsi="Arial" w:cs="Arial"/>
          <w:color w:val="222222"/>
          <w:sz w:val="22"/>
          <w:szCs w:val="22"/>
        </w:rPr>
        <w:t>The index is methodologically complete at the prototype stage. Three areas warrant development before public release.</w:t>
      </w:r>
    </w:p>
    <w:p w14:paraId="0813BA43" w14:textId="77777777" w:rsidR="005353C4" w:rsidRDefault="00000000">
      <w:pPr>
        <w:spacing w:after="140"/>
        <w:jc w:val="both"/>
      </w:pPr>
      <w:r>
        <w:rPr>
          <w:rFonts w:ascii="Arial" w:eastAsia="Arial" w:hAnsi="Arial" w:cs="Arial"/>
          <w:color w:val="222222"/>
          <w:sz w:val="22"/>
          <w:szCs w:val="22"/>
        </w:rPr>
        <w:t xml:space="preserve">The openings rate sign convention is theoretically contestable — high openings can signal either worker-friendly tight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markets or </w:t>
      </w:r>
      <w:proofErr w:type="spellStart"/>
      <w:r>
        <w:rPr>
          <w:rFonts w:ascii="Arial" w:eastAsia="Arial" w:hAnsi="Arial" w:cs="Arial"/>
          <w:color w:val="222222"/>
          <w:sz w:val="22"/>
          <w:szCs w:val="22"/>
        </w:rPr>
        <w:t>destabilising</w:t>
      </w:r>
      <w:proofErr w:type="spellEnd"/>
      <w:r>
        <w:rPr>
          <w:rFonts w:ascii="Arial" w:eastAsia="Arial" w:hAnsi="Arial" w:cs="Arial"/>
          <w:color w:val="222222"/>
          <w:sz w:val="22"/>
          <w:szCs w:val="22"/>
        </w:rPr>
        <w:t xml:space="preserve"> churn — and the choice materially affects the lead/lag result. Resolving this through consultation with </w:t>
      </w:r>
      <w:proofErr w:type="spellStart"/>
      <w:r>
        <w:rPr>
          <w:rFonts w:ascii="Arial" w:eastAsia="Arial" w:hAnsi="Arial" w:cs="Arial"/>
          <w:color w:val="222222"/>
          <w:sz w:val="22"/>
          <w:szCs w:val="22"/>
        </w:rPr>
        <w:t>labour</w:t>
      </w:r>
      <w:proofErr w:type="spellEnd"/>
      <w:r>
        <w:rPr>
          <w:rFonts w:ascii="Arial" w:eastAsia="Arial" w:hAnsi="Arial" w:cs="Arial"/>
          <w:color w:val="222222"/>
          <w:sz w:val="22"/>
          <w:szCs w:val="22"/>
        </w:rPr>
        <w:t xml:space="preserve"> economists is the single most important near-term task.</w:t>
      </w:r>
    </w:p>
    <w:p w14:paraId="77DD3EA7" w14:textId="77777777" w:rsidR="005353C4" w:rsidRDefault="00000000">
      <w:pPr>
        <w:spacing w:after="140"/>
        <w:jc w:val="both"/>
      </w:pPr>
      <w:r>
        <w:rPr>
          <w:rFonts w:ascii="Arial" w:eastAsia="Arial" w:hAnsi="Arial" w:cs="Arial"/>
          <w:color w:val="222222"/>
          <w:sz w:val="22"/>
          <w:szCs w:val="22"/>
        </w:rPr>
        <w:t>The legacy series (union + tenure only, 1983–2000) shows a striking long-run structural decline — from approximately 280 in 1983 to 66 in 2000 — but this series uses only two components and has not been independently validated. It warrants separate treatment before publication.</w:t>
      </w:r>
    </w:p>
    <w:p w14:paraId="7DB99436" w14:textId="77777777" w:rsidR="005353C4" w:rsidRDefault="00000000">
      <w:pPr>
        <w:spacing w:after="140"/>
        <w:jc w:val="both"/>
      </w:pPr>
      <w:ins w:id="30" w:author="Amias Gerety" w:date="2026-04-23T00:00:00Z">
        <w:r>
          <w:rPr>
            <w:rFonts w:ascii="Arial" w:eastAsia="Arial" w:hAnsi="Arial" w:cs="Arial"/>
            <w:color w:val="222222"/>
            <w:sz w:val="22"/>
            <w:szCs w:val="22"/>
          </w:rPr>
          <w:t xml:space="preserve">A seventh candidate component — employer-sponsored health insurance coverage — was identified but not yet incorporated. The series has semi-structural dynamics (declining 1999–2010, </w:t>
        </w:r>
        <w:proofErr w:type="spellStart"/>
        <w:r>
          <w:rPr>
            <w:rFonts w:ascii="Arial" w:eastAsia="Arial" w:hAnsi="Arial" w:cs="Arial"/>
            <w:color w:val="222222"/>
            <w:sz w:val="22"/>
            <w:szCs w:val="22"/>
          </w:rPr>
          <w:t>stabilising</w:t>
        </w:r>
        <w:proofErr w:type="spellEnd"/>
        <w:r>
          <w:rPr>
            <w:rFonts w:ascii="Arial" w:eastAsia="Arial" w:hAnsi="Arial" w:cs="Arial"/>
            <w:color w:val="222222"/>
            <w:sz w:val="22"/>
            <w:szCs w:val="22"/>
          </w:rPr>
          <w:t xml:space="preserve"> post-ACA) that would add non-wage benefit security to the framework. It requires data construction from Kaiser Family Foundation or CPS ASEC sources; no clean long-run FRED series exists. This represents the most promising near-term addition.</w:t>
        </w:r>
      </w:ins>
    </w:p>
    <w:p w14:paraId="5377CC15" w14:textId="77777777" w:rsidR="005353C4" w:rsidRDefault="00000000">
      <w:pPr>
        <w:spacing w:after="140"/>
        <w:jc w:val="both"/>
      </w:pPr>
      <w:r>
        <w:rPr>
          <w:rFonts w:ascii="Arial" w:eastAsia="Arial" w:hAnsi="Arial" w:cs="Arial"/>
          <w:color w:val="222222"/>
          <w:sz w:val="22"/>
          <w:szCs w:val="22"/>
        </w:rPr>
        <w:t>Finally, the index would benefit from LISEP's institutional platform, BLS relationships, and data infrastructure for annual updates. A natural collaboration would involve LISEP adopting the WJSI as a companion to TRU, with joint publication of both indices as complementary instruments in an expanded picture of American worker wellbeing: one measuring access to adequate employment, the other measuring the structural security of employment held.</w:t>
      </w:r>
    </w:p>
    <w:p w14:paraId="35DD3432" w14:textId="77777777" w:rsidR="005353C4" w:rsidRDefault="005353C4">
      <w:pPr>
        <w:pBdr>
          <w:bottom w:val="single" w:sz="6" w:space="1" w:color="BDD0E9"/>
        </w:pBdr>
        <w:spacing w:after="160"/>
      </w:pPr>
    </w:p>
    <w:p w14:paraId="02283198" w14:textId="77777777" w:rsidR="005353C4" w:rsidRDefault="00000000">
      <w:pPr>
        <w:spacing w:before="80"/>
        <w:jc w:val="center"/>
      </w:pPr>
      <w:r>
        <w:rPr>
          <w:rFonts w:ascii="Arial" w:eastAsia="Arial" w:hAnsi="Arial" w:cs="Arial"/>
          <w:i/>
          <w:iCs/>
          <w:color w:val="888888"/>
          <w:sz w:val="18"/>
          <w:szCs w:val="18"/>
        </w:rPr>
        <w:t>All findings are preliminary. This note is prepared for discussion purposes only.</w:t>
      </w:r>
    </w:p>
    <w:sectPr w:rsidR="005353C4">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C6567" w14:textId="77777777" w:rsidR="00C8633A" w:rsidRDefault="00C8633A">
      <w:r>
        <w:separator/>
      </w:r>
    </w:p>
  </w:endnote>
  <w:endnote w:type="continuationSeparator" w:id="0">
    <w:p w14:paraId="37FDC1A5" w14:textId="77777777" w:rsidR="00C8633A" w:rsidRDefault="00C863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8527" w14:textId="77777777" w:rsidR="005353C4" w:rsidRDefault="00000000">
    <w:pPr>
      <w:pBdr>
        <w:top w:val="single" w:sz="2" w:space="4" w:color="BDD0E9"/>
      </w:pBdr>
      <w:tabs>
        <w:tab w:val="right" w:pos="9026"/>
      </w:tabs>
      <w:spacing w:before="120"/>
    </w:pPr>
    <w:r>
      <w:rPr>
        <w:rFonts w:ascii="Arial" w:eastAsia="Arial" w:hAnsi="Arial" w:cs="Arial"/>
        <w:color w:val="888888"/>
        <w:sz w:val="16"/>
        <w:szCs w:val="16"/>
      </w:rPr>
      <w:t>Data: BLS, FRED &amp; Minneapolis Fed. All sources publicly available. Code: github.com/</w:t>
    </w:r>
    <w:proofErr w:type="spellStart"/>
    <w:r>
      <w:rPr>
        <w:rFonts w:ascii="Arial" w:eastAsia="Arial" w:hAnsi="Arial" w:cs="Arial"/>
        <w:color w:val="888888"/>
        <w:sz w:val="16"/>
        <w:szCs w:val="16"/>
      </w:rPr>
      <w:t>amiasmg</w:t>
    </w:r>
    <w:proofErr w:type="spellEnd"/>
    <w:r>
      <w:rPr>
        <w:rFonts w:ascii="Arial" w:eastAsia="Arial" w:hAnsi="Arial" w:cs="Arial"/>
        <w:color w:val="888888"/>
        <w:sz w:val="16"/>
        <w:szCs w:val="16"/>
      </w:rPr>
      <w:t>/worker-job-security-</w:t>
    </w:r>
    <w:proofErr w:type="gramStart"/>
    <w:r>
      <w:rPr>
        <w:rFonts w:ascii="Arial" w:eastAsia="Arial" w:hAnsi="Arial" w:cs="Arial"/>
        <w:color w:val="888888"/>
        <w:sz w:val="16"/>
        <w:szCs w:val="16"/>
      </w:rPr>
      <w:t>index  April</w:t>
    </w:r>
    <w:proofErr w:type="gramEnd"/>
    <w:r>
      <w:rPr>
        <w:rFonts w:ascii="Arial" w:eastAsia="Arial" w:hAnsi="Arial" w:cs="Arial"/>
        <w:color w:val="888888"/>
        <w:sz w:val="16"/>
        <w:szCs w:val="16"/>
      </w:rPr>
      <w:t xml:space="preserve"> 2026</w:t>
    </w:r>
    <w:r>
      <w:rPr>
        <w:rFonts w:ascii="Arial" w:eastAsia="Arial" w:hAnsi="Arial" w:cs="Arial"/>
        <w:color w:val="888888"/>
        <w:sz w:val="16"/>
        <w:szCs w:val="16"/>
      </w:rPr>
      <w:tab/>
      <w:t xml:space="preserve">Page </w:t>
    </w:r>
    <w:r>
      <w:rPr>
        <w:rFonts w:ascii="Arial" w:eastAsia="Arial" w:hAnsi="Arial" w:cs="Arial"/>
        <w:color w:val="888888"/>
        <w:sz w:val="16"/>
        <w:szCs w:val="16"/>
      </w:rPr>
      <w:fldChar w:fldCharType="begin"/>
    </w:r>
    <w:r>
      <w:rPr>
        <w:rFonts w:ascii="Arial" w:eastAsia="Arial" w:hAnsi="Arial" w:cs="Arial"/>
        <w:color w:val="888888"/>
        <w:sz w:val="16"/>
        <w:szCs w:val="16"/>
      </w:rPr>
      <w:instrText>PAGE</w:instrText>
    </w:r>
    <w:r>
      <w:rPr>
        <w:rFonts w:ascii="Arial" w:eastAsia="Arial" w:hAnsi="Arial" w:cs="Arial"/>
        <w:color w:val="888888"/>
        <w:sz w:val="16"/>
        <w:szCs w:val="16"/>
      </w:rPr>
      <w:fldChar w:fldCharType="separate"/>
    </w:r>
    <w:r w:rsidR="0085129D">
      <w:rPr>
        <w:rFonts w:ascii="Arial" w:eastAsia="Arial" w:hAnsi="Arial" w:cs="Arial"/>
        <w:noProof/>
        <w:color w:val="888888"/>
        <w:sz w:val="16"/>
        <w:szCs w:val="16"/>
      </w:rPr>
      <w:t>1</w:t>
    </w:r>
    <w:r>
      <w:rPr>
        <w:rFonts w:ascii="Arial" w:eastAsia="Arial" w:hAnsi="Arial" w:cs="Arial"/>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F31E9" w14:textId="77777777" w:rsidR="00C8633A" w:rsidRDefault="00C8633A">
      <w:r>
        <w:separator/>
      </w:r>
    </w:p>
  </w:footnote>
  <w:footnote w:type="continuationSeparator" w:id="0">
    <w:p w14:paraId="38946090" w14:textId="77777777" w:rsidR="00C8633A" w:rsidRDefault="00C863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BE5CA" w14:textId="77777777" w:rsidR="005353C4" w:rsidRDefault="00000000">
    <w:pPr>
      <w:pBdr>
        <w:bottom w:val="single" w:sz="4" w:space="4" w:color="1F3864"/>
      </w:pBdr>
      <w:tabs>
        <w:tab w:val="right" w:pos="9026"/>
      </w:tabs>
      <w:spacing w:after="120"/>
    </w:pPr>
    <w:r>
      <w:rPr>
        <w:rFonts w:ascii="Arial" w:eastAsia="Arial" w:hAnsi="Arial" w:cs="Arial"/>
        <w:b/>
        <w:bCs/>
        <w:color w:val="1F3864"/>
        <w:spacing w:val="40"/>
        <w:sz w:val="18"/>
        <w:szCs w:val="18"/>
      </w:rPr>
      <w:t>WORKER JOB SECURITY INDEX</w:t>
    </w:r>
    <w:r>
      <w:rPr>
        <w:rFonts w:ascii="Arial" w:eastAsia="Arial" w:hAnsi="Arial" w:cs="Arial"/>
        <w:color w:val="44546A"/>
        <w:spacing w:val="20"/>
        <w:sz w:val="18"/>
        <w:szCs w:val="18"/>
      </w:rPr>
      <w:tab/>
      <w:t>PRELIMINARY — FOR DISCUSSION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84674"/>
    <w:multiLevelType w:val="hybridMultilevel"/>
    <w:tmpl w:val="4508C2D8"/>
    <w:lvl w:ilvl="0" w:tplc="91305560">
      <w:start w:val="1"/>
      <w:numFmt w:val="bullet"/>
      <w:lvlText w:val="●"/>
      <w:lvlJc w:val="left"/>
      <w:pPr>
        <w:ind w:left="720" w:hanging="360"/>
      </w:pPr>
    </w:lvl>
    <w:lvl w:ilvl="1" w:tplc="C5D0524E">
      <w:start w:val="1"/>
      <w:numFmt w:val="bullet"/>
      <w:lvlText w:val="○"/>
      <w:lvlJc w:val="left"/>
      <w:pPr>
        <w:ind w:left="1440" w:hanging="360"/>
      </w:pPr>
    </w:lvl>
    <w:lvl w:ilvl="2" w:tplc="E8083F20">
      <w:start w:val="1"/>
      <w:numFmt w:val="bullet"/>
      <w:lvlText w:val="■"/>
      <w:lvlJc w:val="left"/>
      <w:pPr>
        <w:ind w:left="2160" w:hanging="360"/>
      </w:pPr>
    </w:lvl>
    <w:lvl w:ilvl="3" w:tplc="09CC12D2">
      <w:start w:val="1"/>
      <w:numFmt w:val="bullet"/>
      <w:lvlText w:val="●"/>
      <w:lvlJc w:val="left"/>
      <w:pPr>
        <w:ind w:left="2880" w:hanging="360"/>
      </w:pPr>
    </w:lvl>
    <w:lvl w:ilvl="4" w:tplc="6966E6F2">
      <w:start w:val="1"/>
      <w:numFmt w:val="bullet"/>
      <w:lvlText w:val="○"/>
      <w:lvlJc w:val="left"/>
      <w:pPr>
        <w:ind w:left="3600" w:hanging="360"/>
      </w:pPr>
    </w:lvl>
    <w:lvl w:ilvl="5" w:tplc="89CAB634">
      <w:start w:val="1"/>
      <w:numFmt w:val="bullet"/>
      <w:lvlText w:val="■"/>
      <w:lvlJc w:val="left"/>
      <w:pPr>
        <w:ind w:left="4320" w:hanging="360"/>
      </w:pPr>
    </w:lvl>
    <w:lvl w:ilvl="6" w:tplc="68642D64">
      <w:start w:val="1"/>
      <w:numFmt w:val="bullet"/>
      <w:lvlText w:val="●"/>
      <w:lvlJc w:val="left"/>
      <w:pPr>
        <w:ind w:left="5040" w:hanging="360"/>
      </w:pPr>
    </w:lvl>
    <w:lvl w:ilvl="7" w:tplc="A776E1A6">
      <w:start w:val="1"/>
      <w:numFmt w:val="bullet"/>
      <w:lvlText w:val="●"/>
      <w:lvlJc w:val="left"/>
      <w:pPr>
        <w:ind w:left="5760" w:hanging="360"/>
      </w:pPr>
    </w:lvl>
    <w:lvl w:ilvl="8" w:tplc="358A5520">
      <w:start w:val="1"/>
      <w:numFmt w:val="bullet"/>
      <w:lvlText w:val="●"/>
      <w:lvlJc w:val="left"/>
      <w:pPr>
        <w:ind w:left="6480" w:hanging="360"/>
      </w:pPr>
    </w:lvl>
  </w:abstractNum>
  <w:abstractNum w:abstractNumId="1" w15:restartNumberingAfterBreak="0">
    <w:nsid w:val="66871F5C"/>
    <w:multiLevelType w:val="hybridMultilevel"/>
    <w:tmpl w:val="9820AFEA"/>
    <w:lvl w:ilvl="0" w:tplc="2B1EA530">
      <w:start w:val="1"/>
      <w:numFmt w:val="decimal"/>
      <w:lvlText w:val="%1."/>
      <w:lvlJc w:val="left"/>
      <w:pPr>
        <w:ind w:left="540" w:hanging="360"/>
      </w:pPr>
      <w:rPr>
        <w:rFonts w:ascii="Arial" w:eastAsia="Arial" w:hAnsi="Arial" w:cs="Arial"/>
        <w:color w:val="222222"/>
        <w:sz w:val="22"/>
        <w:szCs w:val="22"/>
      </w:rPr>
    </w:lvl>
    <w:lvl w:ilvl="1" w:tplc="B3E84598">
      <w:numFmt w:val="decimal"/>
      <w:lvlText w:val=""/>
      <w:lvlJc w:val="left"/>
    </w:lvl>
    <w:lvl w:ilvl="2" w:tplc="39862DE0">
      <w:numFmt w:val="decimal"/>
      <w:lvlText w:val=""/>
      <w:lvlJc w:val="left"/>
    </w:lvl>
    <w:lvl w:ilvl="3" w:tplc="4C58324C">
      <w:numFmt w:val="decimal"/>
      <w:lvlText w:val=""/>
      <w:lvlJc w:val="left"/>
    </w:lvl>
    <w:lvl w:ilvl="4" w:tplc="EEFE180E">
      <w:numFmt w:val="decimal"/>
      <w:lvlText w:val=""/>
      <w:lvlJc w:val="left"/>
    </w:lvl>
    <w:lvl w:ilvl="5" w:tplc="43848136">
      <w:numFmt w:val="decimal"/>
      <w:lvlText w:val=""/>
      <w:lvlJc w:val="left"/>
    </w:lvl>
    <w:lvl w:ilvl="6" w:tplc="9C88AB3A">
      <w:numFmt w:val="decimal"/>
      <w:lvlText w:val=""/>
      <w:lvlJc w:val="left"/>
    </w:lvl>
    <w:lvl w:ilvl="7" w:tplc="3E2A2728">
      <w:numFmt w:val="decimal"/>
      <w:lvlText w:val=""/>
      <w:lvlJc w:val="left"/>
    </w:lvl>
    <w:lvl w:ilvl="8" w:tplc="6E24C002">
      <w:numFmt w:val="decimal"/>
      <w:lvlText w:val=""/>
      <w:lvlJc w:val="left"/>
    </w:lvl>
  </w:abstractNum>
  <w:num w:numId="1" w16cid:durableId="608859143">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as Gerety">
    <w15:presenceInfo w15:providerId="AD" w15:userId="S::amias@qedinvestors.com::2c0d01c8-4efe-4d99-8b11-88a44ceb2c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3C4"/>
    <w:rsid w:val="005353C4"/>
    <w:rsid w:val="007832BC"/>
    <w:rsid w:val="0085129D"/>
    <w:rsid w:val="00C46986"/>
    <w:rsid w:val="00C863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648819"/>
  <w15:docId w15:val="{7B141B7A-46BD-2B4C-AE57-E2386FA1A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1781</Words>
  <Characters>10446</Characters>
  <Application>Microsoft Office Word</Application>
  <DocSecurity>0</DocSecurity>
  <Lines>199</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Amias Gerety</cp:lastModifiedBy>
  <cp:revision>2</cp:revision>
  <dcterms:created xsi:type="dcterms:W3CDTF">2026-04-23T11:35:00Z</dcterms:created>
  <dcterms:modified xsi:type="dcterms:W3CDTF">2026-04-24T16:17:00Z</dcterms:modified>
</cp:coreProperties>
</file>