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8C7A" w14:textId="77777777" w:rsidR="00165024" w:rsidRDefault="00000000">
      <w:pPr>
        <w:spacing w:before="80" w:after="40"/>
      </w:pPr>
      <w:r>
        <w:rPr>
          <w:rFonts w:ascii="Arial" w:eastAsia="Arial" w:hAnsi="Arial" w:cs="Arial"/>
          <w:b/>
          <w:bCs/>
          <w:color w:val="1F3864"/>
          <w:sz w:val="42"/>
          <w:szCs w:val="42"/>
        </w:rPr>
        <w:t>Measuring What Unemployment Doesn't</w:t>
      </w:r>
    </w:p>
    <w:p w14:paraId="6A7CF684" w14:textId="77777777" w:rsidR="00165024" w:rsidRDefault="00000000">
      <w:pPr>
        <w:spacing w:after="60"/>
      </w:pPr>
      <w:r>
        <w:rPr>
          <w:rFonts w:ascii="Arial" w:eastAsia="Arial" w:hAnsi="Arial" w:cs="Arial"/>
          <w:i/>
          <w:iCs/>
          <w:color w:val="44546A"/>
          <w:sz w:val="28"/>
          <w:szCs w:val="28"/>
        </w:rPr>
        <w:t>A Quarterly Index of American Job Security</w:t>
      </w:r>
    </w:p>
    <w:p w14:paraId="570A09C2" w14:textId="77777777" w:rsidR="00165024" w:rsidRDefault="00000000">
      <w:pPr>
        <w:spacing w:after="100"/>
      </w:pPr>
      <w:r>
        <w:rPr>
          <w:rFonts w:ascii="Arial" w:eastAsia="Arial" w:hAnsi="Arial" w:cs="Arial"/>
          <w:i/>
          <w:iCs/>
          <w:color w:val="999999"/>
        </w:rPr>
        <w:t xml:space="preserve">April </w:t>
      </w:r>
      <w:proofErr w:type="gramStart"/>
      <w:r>
        <w:rPr>
          <w:rFonts w:ascii="Arial" w:eastAsia="Arial" w:hAnsi="Arial" w:cs="Arial"/>
          <w:i/>
          <w:iCs/>
          <w:color w:val="999999"/>
        </w:rPr>
        <w:t>2026  —</w:t>
      </w:r>
      <w:proofErr w:type="gramEnd"/>
      <w:r>
        <w:rPr>
          <w:rFonts w:ascii="Arial" w:eastAsia="Arial" w:hAnsi="Arial" w:cs="Arial"/>
          <w:i/>
          <w:iCs/>
          <w:color w:val="999999"/>
        </w:rPr>
        <w:t xml:space="preserve">  Preliminary, for discussion</w:t>
      </w:r>
    </w:p>
    <w:p w14:paraId="37252F38" w14:textId="77777777" w:rsidR="00165024" w:rsidRDefault="00165024">
      <w:pPr>
        <w:pBdr>
          <w:bottom w:val="single" w:sz="6" w:space="1" w:color="BDD0E9"/>
        </w:pBdr>
        <w:spacing w:after="160"/>
      </w:pPr>
    </w:p>
    <w:p w14:paraId="289145B8" w14:textId="77777777" w:rsidR="00165024" w:rsidRDefault="00000000">
      <w:pPr>
        <w:spacing w:before="280" w:after="80"/>
      </w:pPr>
      <w:r>
        <w:rPr>
          <w:rFonts w:ascii="Arial" w:eastAsia="Arial" w:hAnsi="Arial" w:cs="Arial"/>
          <w:b/>
          <w:bCs/>
          <w:color w:val="1F3864"/>
          <w:spacing w:val="40"/>
        </w:rPr>
        <w:t>1.  THE PROBLEM: A DIVERGENCE WORTH EXPLAINING</w:t>
      </w:r>
    </w:p>
    <w:p w14:paraId="682C7D88" w14:textId="77777777" w:rsidR="00165024" w:rsidRDefault="00000000">
      <w:pPr>
        <w:spacing w:after="160"/>
        <w:jc w:val="both"/>
      </w:pPr>
      <w:r>
        <w:rPr>
          <w:rFonts w:ascii="Arial" w:eastAsia="Arial" w:hAnsi="Arial" w:cs="Arial"/>
          <w:color w:val="222222"/>
          <w:sz w:val="22"/>
          <w:szCs w:val="22"/>
        </w:rPr>
        <w:t xml:space="preserve">By the conventional scorecard, the American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market looks strong. The U-3 unemployment rate has remained near or below 4% since mid-2022 — a level last sustained in the late 1960s. Yet over the same period, something does not add up.</w:t>
      </w:r>
    </w:p>
    <w:p w14:paraId="0DD8B482" w14:textId="5A6B023A" w:rsidR="00165024" w:rsidRDefault="00000000">
      <w:pPr>
        <w:spacing w:after="160"/>
        <w:jc w:val="both"/>
      </w:pPr>
      <w:r>
        <w:rPr>
          <w:rFonts w:ascii="Arial" w:eastAsia="Arial" w:hAnsi="Arial" w:cs="Arial"/>
          <w:color w:val="222222"/>
          <w:sz w:val="22"/>
          <w:szCs w:val="22"/>
        </w:rPr>
        <w:t>Consumer confidence has declined steadily. Workers are quitting their jobs at the lowest rates since 2015, signaling they feel less able — not more — to leave for something better. Union membership hit a post-war low in 2023. The share of economic output going to workers rather than capital has fallen to levels not seen since the 1960s. And survey after survey finds that Americans feel more financially anxious, not less, despite the unemployment numbers.</w:t>
      </w:r>
    </w:p>
    <w:p w14:paraId="61FC09B4" w14:textId="77777777" w:rsidR="009F38D3" w:rsidRDefault="00000000">
      <w:pPr>
        <w:spacing w:after="160"/>
        <w:jc w:val="both"/>
        <w:rPr>
          <w:rFonts w:ascii="Arial" w:eastAsia="Arial" w:hAnsi="Arial" w:cs="Arial"/>
          <w:color w:val="222222"/>
          <w:sz w:val="22"/>
          <w:szCs w:val="22"/>
        </w:rPr>
      </w:pPr>
      <w:r>
        <w:rPr>
          <w:rFonts w:ascii="Arial" w:eastAsia="Arial" w:hAnsi="Arial" w:cs="Arial"/>
          <w:color w:val="222222"/>
          <w:sz w:val="22"/>
          <w:szCs w:val="22"/>
        </w:rPr>
        <w:t xml:space="preserve">This divergence </w:t>
      </w:r>
      <w:r w:rsidR="009F38D3">
        <w:rPr>
          <w:rFonts w:ascii="Arial" w:eastAsia="Arial" w:hAnsi="Arial" w:cs="Arial"/>
          <w:color w:val="222222"/>
          <w:sz w:val="22"/>
          <w:szCs w:val="22"/>
        </w:rPr>
        <w:t>is probably the most important question in economic policy</w:t>
      </w:r>
      <w:r>
        <w:rPr>
          <w:rFonts w:ascii="Arial" w:eastAsia="Arial" w:hAnsi="Arial" w:cs="Arial"/>
          <w:color w:val="222222"/>
          <w:sz w:val="22"/>
          <w:szCs w:val="22"/>
        </w:rPr>
        <w:t>.</w:t>
      </w:r>
      <w:r w:rsidR="009F38D3">
        <w:rPr>
          <w:rFonts w:ascii="Arial" w:eastAsia="Arial" w:hAnsi="Arial" w:cs="Arial"/>
          <w:color w:val="222222"/>
          <w:sz w:val="22"/>
          <w:szCs w:val="22"/>
        </w:rPr>
        <w:t xml:space="preserve">  Framed </w:t>
      </w:r>
      <w:proofErr w:type="gramStart"/>
      <w:r w:rsidR="009F38D3">
        <w:rPr>
          <w:rFonts w:ascii="Arial" w:eastAsia="Arial" w:hAnsi="Arial" w:cs="Arial"/>
          <w:color w:val="222222"/>
          <w:sz w:val="22"/>
          <w:szCs w:val="22"/>
        </w:rPr>
        <w:t>either as</w:t>
      </w:r>
      <w:proofErr w:type="gramEnd"/>
      <w:r w:rsidR="009F38D3">
        <w:rPr>
          <w:rFonts w:ascii="Arial" w:eastAsia="Arial" w:hAnsi="Arial" w:cs="Arial"/>
          <w:color w:val="222222"/>
          <w:sz w:val="22"/>
          <w:szCs w:val="22"/>
        </w:rPr>
        <w:t xml:space="preserve">: what is the value of a “good” economy if our nation’s citizens don’t think it’s good?  Or more fundamentally, are the macroeconomic data lying to us? </w:t>
      </w:r>
      <w:r>
        <w:rPr>
          <w:rFonts w:ascii="Arial" w:eastAsia="Arial" w:hAnsi="Arial" w:cs="Arial"/>
          <w:color w:val="222222"/>
          <w:sz w:val="22"/>
          <w:szCs w:val="22"/>
        </w:rPr>
        <w:t xml:space="preserve"> </w:t>
      </w:r>
    </w:p>
    <w:p w14:paraId="4F09970A" w14:textId="4531507B" w:rsidR="009F38D3" w:rsidRDefault="009F38D3">
      <w:pPr>
        <w:spacing w:after="160"/>
        <w:jc w:val="both"/>
        <w:rPr>
          <w:rFonts w:ascii="Arial" w:eastAsia="Arial" w:hAnsi="Arial" w:cs="Arial"/>
          <w:color w:val="222222"/>
          <w:sz w:val="22"/>
          <w:szCs w:val="22"/>
        </w:rPr>
      </w:pPr>
      <w:r>
        <w:rPr>
          <w:rFonts w:ascii="Arial" w:eastAsia="Arial" w:hAnsi="Arial" w:cs="Arial"/>
          <w:color w:val="222222"/>
          <w:sz w:val="22"/>
          <w:szCs w:val="22"/>
        </w:rPr>
        <w:t xml:space="preserve">Much of the recent debate between left-leaning economists has been on the proper interpretation of the inflation spike during the Biden Administration.  During the Biden Administration, there was some indication that relatively higher polarization by Republican leaning survey respondents explained the gap.  Since </w:t>
      </w:r>
      <w:proofErr w:type="gramStart"/>
      <w:r>
        <w:rPr>
          <w:rFonts w:ascii="Arial" w:eastAsia="Arial" w:hAnsi="Arial" w:cs="Arial"/>
          <w:color w:val="222222"/>
          <w:sz w:val="22"/>
          <w:szCs w:val="22"/>
        </w:rPr>
        <w:t>then</w:t>
      </w:r>
      <w:proofErr w:type="gramEnd"/>
      <w:r>
        <w:rPr>
          <w:rFonts w:ascii="Arial" w:eastAsia="Arial" w:hAnsi="Arial" w:cs="Arial"/>
          <w:color w:val="222222"/>
          <w:sz w:val="22"/>
          <w:szCs w:val="22"/>
        </w:rPr>
        <w:t xml:space="preserve"> Jared Bernstein and Paul Krugman have been offering competing theories that perhaps the absolute level explains the continued degradation (Bernstein) or perhaps a feeling of broken promises among those who believed that Trump could make prices come down on “day 1” (Krugman).  Unrelated to these macroeconomic claims, it’s possible that bad feelings are just a feature of </w:t>
      </w:r>
      <w:proofErr w:type="spellStart"/>
      <w:r>
        <w:rPr>
          <w:rFonts w:ascii="Arial" w:eastAsia="Arial" w:hAnsi="Arial" w:cs="Arial"/>
          <w:color w:val="222222"/>
          <w:sz w:val="22"/>
          <w:szCs w:val="22"/>
        </w:rPr>
        <w:t>tiktok</w:t>
      </w:r>
      <w:proofErr w:type="spellEnd"/>
      <w:r>
        <w:rPr>
          <w:rFonts w:ascii="Arial" w:eastAsia="Arial" w:hAnsi="Arial" w:cs="Arial"/>
          <w:color w:val="222222"/>
          <w:sz w:val="22"/>
          <w:szCs w:val="22"/>
        </w:rPr>
        <w:t xml:space="preserve">/Instagram culture; that comparison IS stealing our country’s joy. </w:t>
      </w:r>
    </w:p>
    <w:p w14:paraId="7A85C295" w14:textId="5C706B5E" w:rsidR="009F38D3" w:rsidRPr="009F38D3" w:rsidRDefault="009F38D3">
      <w:pPr>
        <w:spacing w:after="160"/>
        <w:jc w:val="both"/>
        <w:rPr>
          <w:rFonts w:ascii="Arial" w:eastAsia="Arial" w:hAnsi="Arial" w:cs="Arial"/>
          <w:color w:val="222222"/>
          <w:sz w:val="22"/>
          <w:szCs w:val="22"/>
        </w:rPr>
      </w:pPr>
      <w:r>
        <w:rPr>
          <w:rFonts w:ascii="Arial" w:eastAsia="Arial" w:hAnsi="Arial" w:cs="Arial"/>
          <w:color w:val="222222"/>
          <w:sz w:val="22"/>
          <w:szCs w:val="22"/>
        </w:rPr>
        <w:t>This paper tries to quantify another vector of explanation – namely worker job security.  Clearly, job security has both structural and cyclical components, so this paper attempts to quantify and track those changes using publicly available data and finds some initial explanatory power.</w:t>
      </w:r>
      <w:r w:rsidR="009524AE">
        <w:rPr>
          <w:rFonts w:ascii="Arial" w:eastAsia="Arial" w:hAnsi="Arial" w:cs="Arial"/>
          <w:color w:val="222222"/>
          <w:sz w:val="22"/>
          <w:szCs w:val="22"/>
        </w:rPr>
        <w:t xml:space="preserve"> That could help guide policy making. </w:t>
      </w:r>
    </w:p>
    <w:p w14:paraId="7B56A4D4" w14:textId="77777777" w:rsidR="00165024" w:rsidRDefault="0016502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100"/>
        <w:gridCol w:w="4160"/>
      </w:tblGrid>
      <w:tr w:rsidR="00165024" w14:paraId="4F85022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5FE4E34" w14:textId="77777777" w:rsidR="00165024" w:rsidRDefault="00000000">
            <w:r>
              <w:rPr>
                <w:rFonts w:ascii="Arial" w:eastAsia="Arial" w:hAnsi="Arial" w:cs="Arial"/>
                <w:b/>
                <w:bCs/>
                <w:color w:val="FFFFFF"/>
                <w:sz w:val="19"/>
                <w:szCs w:val="19"/>
              </w:rPr>
              <w:t>Indicator</w:t>
            </w:r>
          </w:p>
        </w:tc>
        <w:tc>
          <w:tcPr>
            <w:tcW w:w="11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80AFE07" w14:textId="77777777" w:rsidR="00165024" w:rsidRDefault="00000000">
            <w:pPr>
              <w:jc w:val="center"/>
            </w:pPr>
            <w:r>
              <w:rPr>
                <w:rFonts w:ascii="Arial" w:eastAsia="Arial" w:hAnsi="Arial" w:cs="Arial"/>
                <w:b/>
                <w:bCs/>
                <w:color w:val="FFFFFF"/>
                <w:sz w:val="19"/>
                <w:szCs w:val="19"/>
              </w:rPr>
              <w:t>2022</w:t>
            </w:r>
          </w:p>
        </w:tc>
        <w:tc>
          <w:tcPr>
            <w:tcW w:w="11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8C023EA" w14:textId="77777777" w:rsidR="00165024" w:rsidRDefault="00000000">
            <w:pPr>
              <w:jc w:val="center"/>
            </w:pPr>
            <w:r>
              <w:rPr>
                <w:rFonts w:ascii="Arial" w:eastAsia="Arial" w:hAnsi="Arial" w:cs="Arial"/>
                <w:b/>
                <w:bCs/>
                <w:color w:val="FFFFFF"/>
                <w:sz w:val="19"/>
                <w:szCs w:val="19"/>
              </w:rPr>
              <w:t>2024</w:t>
            </w:r>
          </w:p>
        </w:tc>
        <w:tc>
          <w:tcPr>
            <w:tcW w:w="416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E2EABE3" w14:textId="77777777" w:rsidR="00165024" w:rsidRDefault="00000000">
            <w:r>
              <w:rPr>
                <w:rFonts w:ascii="Arial" w:eastAsia="Arial" w:hAnsi="Arial" w:cs="Arial"/>
                <w:b/>
                <w:bCs/>
                <w:color w:val="FFFFFF"/>
                <w:sz w:val="19"/>
                <w:szCs w:val="19"/>
              </w:rPr>
              <w:t>Signal</w:t>
            </w:r>
          </w:p>
        </w:tc>
      </w:tr>
      <w:tr w:rsidR="00165024" w14:paraId="007D9B02" w14:textId="77777777">
        <w:tblPrEx>
          <w:tblCellMar>
            <w:top w:w="0" w:type="dxa"/>
            <w:bottom w:w="0" w:type="dxa"/>
          </w:tblCellMar>
        </w:tblPrEx>
        <w:tc>
          <w:tcPr>
            <w:tcW w:w="3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3CB1429A" w14:textId="77777777" w:rsidR="00165024" w:rsidRDefault="00000000">
            <w:r>
              <w:rPr>
                <w:rFonts w:ascii="Arial" w:eastAsia="Arial" w:hAnsi="Arial" w:cs="Arial"/>
                <w:b/>
                <w:bCs/>
                <w:color w:val="222222"/>
              </w:rPr>
              <w:t>U-3 unemployment rate</w:t>
            </w:r>
          </w:p>
        </w:tc>
        <w:tc>
          <w:tcPr>
            <w:tcW w:w="11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7754E802" w14:textId="77777777" w:rsidR="00165024" w:rsidRDefault="00000000">
            <w:pPr>
              <w:jc w:val="center"/>
            </w:pPr>
            <w:r>
              <w:rPr>
                <w:rFonts w:ascii="Arial" w:eastAsia="Arial" w:hAnsi="Arial" w:cs="Arial"/>
                <w:color w:val="222222"/>
              </w:rPr>
              <w:t>3.7%</w:t>
            </w:r>
          </w:p>
        </w:tc>
        <w:tc>
          <w:tcPr>
            <w:tcW w:w="11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0F557B4F" w14:textId="77777777" w:rsidR="00165024" w:rsidRDefault="00000000">
            <w:pPr>
              <w:jc w:val="center"/>
            </w:pPr>
            <w:r>
              <w:rPr>
                <w:rFonts w:ascii="Arial" w:eastAsia="Arial" w:hAnsi="Arial" w:cs="Arial"/>
                <w:color w:val="222222"/>
              </w:rPr>
              <w:t>4.0%</w:t>
            </w:r>
          </w:p>
        </w:tc>
        <w:tc>
          <w:tcPr>
            <w:tcW w:w="41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5D682C70" w14:textId="77777777" w:rsidR="00165024" w:rsidRDefault="00000000">
            <w:r>
              <w:rPr>
                <w:rFonts w:ascii="Arial" w:eastAsia="Arial" w:hAnsi="Arial" w:cs="Arial"/>
                <w:color w:val="222222"/>
              </w:rPr>
              <w:t>Essentially unchanged — historically low</w:t>
            </w:r>
          </w:p>
        </w:tc>
      </w:tr>
      <w:tr w:rsidR="00165024" w14:paraId="246A468C" w14:textId="77777777">
        <w:tblPrEx>
          <w:tblCellMar>
            <w:top w:w="0" w:type="dxa"/>
            <w:bottom w:w="0" w:type="dxa"/>
          </w:tblCellMar>
        </w:tblPrEx>
        <w:tc>
          <w:tcPr>
            <w:tcW w:w="3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6DB058CA" w14:textId="77777777" w:rsidR="00165024" w:rsidRDefault="00000000">
            <w:r>
              <w:rPr>
                <w:rFonts w:ascii="Arial" w:eastAsia="Arial" w:hAnsi="Arial" w:cs="Arial"/>
                <w:b/>
                <w:bCs/>
                <w:color w:val="222222"/>
              </w:rPr>
              <w:t>Michigan Consumer Sentiment</w:t>
            </w:r>
          </w:p>
        </w:tc>
        <w:tc>
          <w:tcPr>
            <w:tcW w:w="11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214B3F03" w14:textId="77777777" w:rsidR="00165024" w:rsidRDefault="00000000">
            <w:pPr>
              <w:jc w:val="center"/>
            </w:pPr>
            <w:r>
              <w:rPr>
                <w:rFonts w:ascii="Arial" w:eastAsia="Arial" w:hAnsi="Arial" w:cs="Arial"/>
                <w:color w:val="222222"/>
              </w:rPr>
              <w:t>~88</w:t>
            </w:r>
          </w:p>
        </w:tc>
        <w:tc>
          <w:tcPr>
            <w:tcW w:w="11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5EBD1E3F" w14:textId="77777777" w:rsidR="00165024" w:rsidRDefault="00000000">
            <w:pPr>
              <w:jc w:val="center"/>
            </w:pPr>
            <w:r>
              <w:rPr>
                <w:rFonts w:ascii="Arial" w:eastAsia="Arial" w:hAnsi="Arial" w:cs="Arial"/>
                <w:color w:val="222222"/>
              </w:rPr>
              <w:t>~70</w:t>
            </w:r>
          </w:p>
        </w:tc>
        <w:tc>
          <w:tcPr>
            <w:tcW w:w="41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183E2DA8" w14:textId="77777777" w:rsidR="00165024" w:rsidRDefault="00000000">
            <w:r>
              <w:rPr>
                <w:rFonts w:ascii="Arial" w:eastAsia="Arial" w:hAnsi="Arial" w:cs="Arial"/>
                <w:color w:val="7B1C1C"/>
              </w:rPr>
              <w:t>Down 20</w:t>
            </w:r>
            <w:proofErr w:type="gramStart"/>
            <w:r>
              <w:rPr>
                <w:rFonts w:ascii="Arial" w:eastAsia="Arial" w:hAnsi="Arial" w:cs="Arial"/>
                <w:color w:val="7B1C1C"/>
              </w:rPr>
              <w:t>%  ↓</w:t>
            </w:r>
            <w:proofErr w:type="gramEnd"/>
          </w:p>
        </w:tc>
      </w:tr>
      <w:tr w:rsidR="00165024" w14:paraId="63CC2413" w14:textId="77777777">
        <w:tblPrEx>
          <w:tblCellMar>
            <w:top w:w="0" w:type="dxa"/>
            <w:bottom w:w="0" w:type="dxa"/>
          </w:tblCellMar>
        </w:tblPrEx>
        <w:tc>
          <w:tcPr>
            <w:tcW w:w="3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1C212B66" w14:textId="77777777" w:rsidR="00165024" w:rsidRDefault="00000000">
            <w:r>
              <w:rPr>
                <w:rFonts w:ascii="Arial" w:eastAsia="Arial" w:hAnsi="Arial" w:cs="Arial"/>
                <w:b/>
                <w:bCs/>
                <w:color w:val="222222"/>
              </w:rPr>
              <w:t>JOLTS voluntary quit rate</w:t>
            </w:r>
          </w:p>
        </w:tc>
        <w:tc>
          <w:tcPr>
            <w:tcW w:w="11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3F8AA6EB" w14:textId="77777777" w:rsidR="00165024" w:rsidRDefault="00000000">
            <w:pPr>
              <w:jc w:val="center"/>
            </w:pPr>
            <w:r>
              <w:rPr>
                <w:rFonts w:ascii="Arial" w:eastAsia="Arial" w:hAnsi="Arial" w:cs="Arial"/>
                <w:color w:val="222222"/>
              </w:rPr>
              <w:t>2.76%</w:t>
            </w:r>
          </w:p>
        </w:tc>
        <w:tc>
          <w:tcPr>
            <w:tcW w:w="11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45326E6C" w14:textId="77777777" w:rsidR="00165024" w:rsidRDefault="00000000">
            <w:pPr>
              <w:jc w:val="center"/>
            </w:pPr>
            <w:r>
              <w:rPr>
                <w:rFonts w:ascii="Arial" w:eastAsia="Arial" w:hAnsi="Arial" w:cs="Arial"/>
                <w:color w:val="222222"/>
              </w:rPr>
              <w:t>2.07%</w:t>
            </w:r>
          </w:p>
        </w:tc>
        <w:tc>
          <w:tcPr>
            <w:tcW w:w="41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3AC2F209" w14:textId="77777777" w:rsidR="00165024" w:rsidRDefault="00000000">
            <w:r>
              <w:rPr>
                <w:rFonts w:ascii="Arial" w:eastAsia="Arial" w:hAnsi="Arial" w:cs="Arial"/>
                <w:color w:val="7B1C1C"/>
              </w:rPr>
              <w:t xml:space="preserve">Down 25% — workers feel </w:t>
            </w:r>
            <w:proofErr w:type="gramStart"/>
            <w:r>
              <w:rPr>
                <w:rFonts w:ascii="Arial" w:eastAsia="Arial" w:hAnsi="Arial" w:cs="Arial"/>
                <w:color w:val="7B1C1C"/>
              </w:rPr>
              <w:t>stuck  ↓</w:t>
            </w:r>
            <w:proofErr w:type="gramEnd"/>
          </w:p>
        </w:tc>
      </w:tr>
      <w:tr w:rsidR="00165024" w14:paraId="58E1C639" w14:textId="77777777">
        <w:tblPrEx>
          <w:tblCellMar>
            <w:top w:w="0" w:type="dxa"/>
            <w:bottom w:w="0" w:type="dxa"/>
          </w:tblCellMar>
        </w:tblPrEx>
        <w:tc>
          <w:tcPr>
            <w:tcW w:w="3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2990E0D1" w14:textId="77777777" w:rsidR="00165024" w:rsidRDefault="00000000">
            <w:r>
              <w:rPr>
                <w:rFonts w:ascii="Arial" w:eastAsia="Arial" w:hAnsi="Arial" w:cs="Arial"/>
                <w:b/>
                <w:bCs/>
                <w:color w:val="222222"/>
              </w:rPr>
              <w:t>Union membership rate</w:t>
            </w:r>
          </w:p>
        </w:tc>
        <w:tc>
          <w:tcPr>
            <w:tcW w:w="11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360D8BB1" w14:textId="77777777" w:rsidR="00165024" w:rsidRDefault="00000000">
            <w:pPr>
              <w:jc w:val="center"/>
            </w:pPr>
            <w:r>
              <w:rPr>
                <w:rFonts w:ascii="Arial" w:eastAsia="Arial" w:hAnsi="Arial" w:cs="Arial"/>
                <w:color w:val="222222"/>
              </w:rPr>
              <w:t>10.1%</w:t>
            </w:r>
          </w:p>
        </w:tc>
        <w:tc>
          <w:tcPr>
            <w:tcW w:w="11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40B4D001" w14:textId="77777777" w:rsidR="00165024" w:rsidRDefault="00000000">
            <w:pPr>
              <w:jc w:val="center"/>
            </w:pPr>
            <w:r>
              <w:rPr>
                <w:rFonts w:ascii="Arial" w:eastAsia="Arial" w:hAnsi="Arial" w:cs="Arial"/>
                <w:color w:val="222222"/>
              </w:rPr>
              <w:t xml:space="preserve"> 9.9%</w:t>
            </w:r>
          </w:p>
        </w:tc>
        <w:tc>
          <w:tcPr>
            <w:tcW w:w="41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739C93DF" w14:textId="77777777" w:rsidR="00165024" w:rsidRDefault="00000000">
            <w:r>
              <w:rPr>
                <w:rFonts w:ascii="Arial" w:eastAsia="Arial" w:hAnsi="Arial" w:cs="Arial"/>
                <w:color w:val="7B1C1C"/>
              </w:rPr>
              <w:t xml:space="preserve">Post-war </w:t>
            </w:r>
            <w:proofErr w:type="gramStart"/>
            <w:r>
              <w:rPr>
                <w:rFonts w:ascii="Arial" w:eastAsia="Arial" w:hAnsi="Arial" w:cs="Arial"/>
                <w:color w:val="7B1C1C"/>
              </w:rPr>
              <w:t>low  ↓</w:t>
            </w:r>
            <w:proofErr w:type="gramEnd"/>
          </w:p>
        </w:tc>
      </w:tr>
      <w:tr w:rsidR="00165024" w14:paraId="1BE4FC43" w14:textId="77777777">
        <w:tblPrEx>
          <w:tblCellMar>
            <w:top w:w="0" w:type="dxa"/>
            <w:bottom w:w="0" w:type="dxa"/>
          </w:tblCellMar>
        </w:tblPrEx>
        <w:tc>
          <w:tcPr>
            <w:tcW w:w="3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687E6E6B" w14:textId="77777777" w:rsidR="00165024" w:rsidRDefault="00000000">
            <w:r>
              <w:rPr>
                <w:rFonts w:ascii="Arial" w:eastAsia="Arial" w:hAnsi="Arial" w:cs="Arial"/>
                <w:b/>
                <w:bCs/>
                <w:color w:val="222222"/>
              </w:rPr>
              <w:t xml:space="preserve">Nonfarm </w:t>
            </w:r>
            <w:proofErr w:type="spellStart"/>
            <w:r>
              <w:rPr>
                <w:rFonts w:ascii="Arial" w:eastAsia="Arial" w:hAnsi="Arial" w:cs="Arial"/>
                <w:b/>
                <w:bCs/>
                <w:color w:val="222222"/>
              </w:rPr>
              <w:t>labour</w:t>
            </w:r>
            <w:proofErr w:type="spellEnd"/>
            <w:r>
              <w:rPr>
                <w:rFonts w:ascii="Arial" w:eastAsia="Arial" w:hAnsi="Arial" w:cs="Arial"/>
                <w:b/>
                <w:bCs/>
                <w:color w:val="222222"/>
              </w:rPr>
              <w:t xml:space="preserve"> share (index)</w:t>
            </w:r>
          </w:p>
        </w:tc>
        <w:tc>
          <w:tcPr>
            <w:tcW w:w="11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555EE66C" w14:textId="77777777" w:rsidR="00165024" w:rsidRDefault="00000000">
            <w:pPr>
              <w:jc w:val="center"/>
            </w:pPr>
            <w:r>
              <w:rPr>
                <w:rFonts w:ascii="Arial" w:eastAsia="Arial" w:hAnsi="Arial" w:cs="Arial"/>
                <w:color w:val="222222"/>
              </w:rPr>
              <w:t xml:space="preserve"> 97.0</w:t>
            </w:r>
          </w:p>
        </w:tc>
        <w:tc>
          <w:tcPr>
            <w:tcW w:w="11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34BA9820" w14:textId="77777777" w:rsidR="00165024" w:rsidRDefault="00000000">
            <w:pPr>
              <w:jc w:val="center"/>
            </w:pPr>
            <w:r>
              <w:rPr>
                <w:rFonts w:ascii="Arial" w:eastAsia="Arial" w:hAnsi="Arial" w:cs="Arial"/>
                <w:color w:val="222222"/>
              </w:rPr>
              <w:t>95.5</w:t>
            </w:r>
          </w:p>
        </w:tc>
        <w:tc>
          <w:tcPr>
            <w:tcW w:w="41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756AC3C3" w14:textId="77777777" w:rsidR="00165024" w:rsidRDefault="00000000">
            <w:r>
              <w:rPr>
                <w:rFonts w:ascii="Arial" w:eastAsia="Arial" w:hAnsi="Arial" w:cs="Arial"/>
                <w:color w:val="7B1C1C"/>
              </w:rPr>
              <w:t xml:space="preserve">Near 60-year </w:t>
            </w:r>
            <w:proofErr w:type="gramStart"/>
            <w:r>
              <w:rPr>
                <w:rFonts w:ascii="Arial" w:eastAsia="Arial" w:hAnsi="Arial" w:cs="Arial"/>
                <w:color w:val="7B1C1C"/>
              </w:rPr>
              <w:t>low  ↓</w:t>
            </w:r>
            <w:proofErr w:type="gramEnd"/>
          </w:p>
        </w:tc>
      </w:tr>
      <w:tr w:rsidR="00165024" w14:paraId="77D9BB41" w14:textId="77777777">
        <w:tblPrEx>
          <w:tblCellMar>
            <w:top w:w="0" w:type="dxa"/>
            <w:bottom w:w="0" w:type="dxa"/>
          </w:tblCellMar>
        </w:tblPrEx>
        <w:tc>
          <w:tcPr>
            <w:tcW w:w="3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3AAE69E3" w14:textId="77777777" w:rsidR="00165024" w:rsidRDefault="00000000">
            <w:r>
              <w:rPr>
                <w:rFonts w:ascii="Arial" w:eastAsia="Arial" w:hAnsi="Arial" w:cs="Arial"/>
                <w:b/>
                <w:bCs/>
                <w:color w:val="222222"/>
              </w:rPr>
              <w:t>WJSI (this index)</w:t>
            </w:r>
          </w:p>
        </w:tc>
        <w:tc>
          <w:tcPr>
            <w:tcW w:w="11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5020F13F" w14:textId="77777777" w:rsidR="00165024" w:rsidRDefault="00000000">
            <w:pPr>
              <w:jc w:val="center"/>
            </w:pPr>
            <w:r>
              <w:rPr>
                <w:rFonts w:ascii="Arial" w:eastAsia="Arial" w:hAnsi="Arial" w:cs="Arial"/>
                <w:color w:val="222222"/>
              </w:rPr>
              <w:t>88.3</w:t>
            </w:r>
          </w:p>
        </w:tc>
        <w:tc>
          <w:tcPr>
            <w:tcW w:w="11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1AD3D82E" w14:textId="77777777" w:rsidR="00165024" w:rsidRDefault="00000000">
            <w:pPr>
              <w:jc w:val="center"/>
            </w:pPr>
            <w:r>
              <w:rPr>
                <w:rFonts w:ascii="Arial" w:eastAsia="Arial" w:hAnsi="Arial" w:cs="Arial"/>
                <w:color w:val="222222"/>
              </w:rPr>
              <w:t>75.5</w:t>
            </w:r>
          </w:p>
        </w:tc>
        <w:tc>
          <w:tcPr>
            <w:tcW w:w="41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4C190B77" w14:textId="77777777" w:rsidR="00165024" w:rsidRDefault="00000000">
            <w:r>
              <w:rPr>
                <w:rFonts w:ascii="Arial" w:eastAsia="Arial" w:hAnsi="Arial" w:cs="Arial"/>
                <w:color w:val="7B1C1C"/>
              </w:rPr>
              <w:t>Down 15</w:t>
            </w:r>
            <w:proofErr w:type="gramStart"/>
            <w:r>
              <w:rPr>
                <w:rFonts w:ascii="Arial" w:eastAsia="Arial" w:hAnsi="Arial" w:cs="Arial"/>
                <w:color w:val="7B1C1C"/>
              </w:rPr>
              <w:t>%  ↓</w:t>
            </w:r>
            <w:proofErr w:type="gramEnd"/>
          </w:p>
        </w:tc>
      </w:tr>
    </w:tbl>
    <w:p w14:paraId="76F1A372" w14:textId="77777777" w:rsidR="00165024" w:rsidRDefault="00165024">
      <w:pPr>
        <w:spacing w:after="80"/>
      </w:pPr>
    </w:p>
    <w:p w14:paraId="2F184FC4" w14:textId="77777777" w:rsidR="00165024" w:rsidRDefault="00000000">
      <w:pPr>
        <w:spacing w:after="160"/>
        <w:jc w:val="both"/>
      </w:pPr>
      <w:r>
        <w:rPr>
          <w:rFonts w:ascii="Arial" w:eastAsia="Arial" w:hAnsi="Arial" w:cs="Arial"/>
          <w:color w:val="222222"/>
          <w:sz w:val="22"/>
          <w:szCs w:val="22"/>
        </w:rPr>
        <w:t>The table above illustrates the divergence over just two years. U-3 is essentially flat. Every structural indicator of job quality and worker power has moved in the wrong direction. A new measure is needed — one designed to capture the structural security of employment, not just its presence.</w:t>
      </w:r>
    </w:p>
    <w:p w14:paraId="52B8D5B6" w14:textId="77777777" w:rsidR="00165024" w:rsidRDefault="00165024">
      <w:pPr>
        <w:pBdr>
          <w:bottom w:val="single" w:sz="6" w:space="1" w:color="BDD0E9"/>
        </w:pBdr>
        <w:spacing w:after="160"/>
      </w:pPr>
    </w:p>
    <w:p w14:paraId="17EB9A36" w14:textId="77777777" w:rsidR="00165024" w:rsidRDefault="00000000">
      <w:pPr>
        <w:spacing w:before="280" w:after="80"/>
      </w:pPr>
      <w:r>
        <w:rPr>
          <w:rFonts w:ascii="Arial" w:eastAsia="Arial" w:hAnsi="Arial" w:cs="Arial"/>
          <w:b/>
          <w:bCs/>
          <w:color w:val="1F3864"/>
          <w:spacing w:val="40"/>
        </w:rPr>
        <w:t>2.  THE HYPOTHESIS: JOB SECURITY HAS TWO COMPONENTS</w:t>
      </w:r>
    </w:p>
    <w:p w14:paraId="4487BD18" w14:textId="77777777" w:rsidR="00165024" w:rsidRDefault="00000000">
      <w:pPr>
        <w:spacing w:after="160"/>
        <w:jc w:val="both"/>
      </w:pPr>
      <w:r>
        <w:rPr>
          <w:rFonts w:ascii="Arial" w:eastAsia="Arial" w:hAnsi="Arial" w:cs="Arial"/>
          <w:color w:val="222222"/>
          <w:sz w:val="22"/>
          <w:szCs w:val="22"/>
        </w:rPr>
        <w:t>We propose that job security, properly understood, has two distinct components that move on different timescales and respond to different forces.</w:t>
      </w:r>
    </w:p>
    <w:p w14:paraId="266E1364" w14:textId="77777777" w:rsidR="00165024" w:rsidRDefault="00000000">
      <w:pPr>
        <w:spacing w:after="160"/>
        <w:jc w:val="both"/>
      </w:pPr>
      <w:r>
        <w:rPr>
          <w:rFonts w:ascii="Arial" w:eastAsia="Arial" w:hAnsi="Arial" w:cs="Arial"/>
          <w:b/>
          <w:bCs/>
          <w:color w:val="1F3864"/>
          <w:sz w:val="22"/>
          <w:szCs w:val="22"/>
        </w:rPr>
        <w:t xml:space="preserve">Cyclical job security </w:t>
      </w:r>
      <w:r>
        <w:rPr>
          <w:rFonts w:ascii="Arial" w:eastAsia="Arial" w:hAnsi="Arial" w:cs="Arial"/>
          <w:color w:val="222222"/>
          <w:sz w:val="22"/>
          <w:szCs w:val="22"/>
        </w:rPr>
        <w:t xml:space="preserve">moves with the business cycle. When the economy contracts, employers lay off workers; when it expands, they hire. Quits rise and fall with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market tightness. Job openings swing widely. These dynamics show up in JOLTS and employment data within quarters and are already reasonably well captured by existing measures.</w:t>
      </w:r>
    </w:p>
    <w:p w14:paraId="67EABCB7" w14:textId="77777777" w:rsidR="00165024" w:rsidRDefault="00000000">
      <w:pPr>
        <w:spacing w:after="160"/>
        <w:jc w:val="both"/>
      </w:pPr>
      <w:r>
        <w:rPr>
          <w:rFonts w:ascii="Arial" w:eastAsia="Arial" w:hAnsi="Arial" w:cs="Arial"/>
          <w:b/>
          <w:bCs/>
          <w:color w:val="1F3864"/>
          <w:sz w:val="22"/>
          <w:szCs w:val="22"/>
        </w:rPr>
        <w:t xml:space="preserve">Structural job security </w:t>
      </w:r>
      <w:r>
        <w:rPr>
          <w:rFonts w:ascii="Arial" w:eastAsia="Arial" w:hAnsi="Arial" w:cs="Arial"/>
          <w:color w:val="222222"/>
          <w:sz w:val="22"/>
          <w:szCs w:val="22"/>
        </w:rPr>
        <w:t>moves over years and decades. The share of workers with union representation. The typical length of the employment relationship. Workers' collective share of economic output. These series shift slowly — but they shift in one direction. Since the early 1980s, all three have declined almost continuously, creating a long-run deterioration in the structural foundations of job security that no cyclical recovery has reversed.</w:t>
      </w:r>
    </w:p>
    <w:p w14:paraId="3356AD12" w14:textId="77777777" w:rsidR="00165024" w:rsidRDefault="00000000">
      <w:pPr>
        <w:spacing w:after="160"/>
        <w:jc w:val="both"/>
      </w:pPr>
      <w:r>
        <w:rPr>
          <w:rFonts w:ascii="Arial" w:eastAsia="Arial" w:hAnsi="Arial" w:cs="Arial"/>
          <w:color w:val="222222"/>
          <w:sz w:val="22"/>
          <w:szCs w:val="22"/>
        </w:rPr>
        <w:t>The central hypothesis is that what Americans are experiencing — and what consumer sentiment is reflecting — is not primarily cyclical insecurity (there are still plenty of jobs) but structural insecurity: the slow erosion of the conditions that make employment stable, rewarding, and worth staying in. That erosion accelerated after the Great Financial Crisis and has not recovered.</w:t>
      </w:r>
    </w:p>
    <w:p w14:paraId="1F3A574B" w14:textId="77777777" w:rsidR="00165024" w:rsidRDefault="00000000">
      <w:pPr>
        <w:pBdr>
          <w:left w:val="single" w:sz="14" w:space="6" w:color="1F3864"/>
        </w:pBdr>
        <w:spacing w:before="140" w:after="140"/>
        <w:ind w:left="540" w:right="540"/>
      </w:pPr>
      <w:r>
        <w:rPr>
          <w:rFonts w:ascii="Arial" w:eastAsia="Arial" w:hAnsi="Arial" w:cs="Arial"/>
          <w:i/>
          <w:iCs/>
          <w:color w:val="44546A"/>
          <w:sz w:val="22"/>
          <w:szCs w:val="22"/>
        </w:rPr>
        <w:t xml:space="preserve">2024: U-3 unemployment at 4.0%. Voluntary quits at their lowest since 2015. Union membership at a post-war low. </w:t>
      </w:r>
      <w:proofErr w:type="spellStart"/>
      <w:r>
        <w:rPr>
          <w:rFonts w:ascii="Arial" w:eastAsia="Arial" w:hAnsi="Arial" w:cs="Arial"/>
          <w:i/>
          <w:iCs/>
          <w:color w:val="44546A"/>
          <w:sz w:val="22"/>
          <w:szCs w:val="22"/>
        </w:rPr>
        <w:t>Labour's</w:t>
      </w:r>
      <w:proofErr w:type="spellEnd"/>
      <w:r>
        <w:rPr>
          <w:rFonts w:ascii="Arial" w:eastAsia="Arial" w:hAnsi="Arial" w:cs="Arial"/>
          <w:i/>
          <w:iCs/>
          <w:color w:val="44546A"/>
          <w:sz w:val="22"/>
          <w:szCs w:val="22"/>
        </w:rPr>
        <w:t xml:space="preserve"> share of output at a 60-year low. These are not contradictions — they are different readings of the same structural deterioration.</w:t>
      </w:r>
    </w:p>
    <w:p w14:paraId="1C33A43A" w14:textId="77777777" w:rsidR="00165024" w:rsidRDefault="00165024">
      <w:pPr>
        <w:pBdr>
          <w:bottom w:val="single" w:sz="6" w:space="1" w:color="BDD0E9"/>
        </w:pBdr>
        <w:spacing w:after="160"/>
      </w:pPr>
    </w:p>
    <w:p w14:paraId="042FFF98" w14:textId="77777777" w:rsidR="00165024" w:rsidRDefault="00000000">
      <w:pPr>
        <w:spacing w:before="280" w:after="80"/>
      </w:pPr>
      <w:r>
        <w:rPr>
          <w:rFonts w:ascii="Arial" w:eastAsia="Arial" w:hAnsi="Arial" w:cs="Arial"/>
          <w:b/>
          <w:bCs/>
          <w:color w:val="1F3864"/>
          <w:spacing w:val="40"/>
        </w:rPr>
        <w:t>3.  THE PROPOSAL: A NEW COMPOSITE INDEX</w:t>
      </w:r>
    </w:p>
    <w:p w14:paraId="406D1860" w14:textId="77777777" w:rsidR="00165024" w:rsidRDefault="00000000">
      <w:pPr>
        <w:spacing w:after="160"/>
        <w:jc w:val="both"/>
      </w:pPr>
      <w:r>
        <w:rPr>
          <w:rFonts w:ascii="Arial" w:eastAsia="Arial" w:hAnsi="Arial" w:cs="Arial"/>
          <w:color w:val="222222"/>
          <w:sz w:val="22"/>
          <w:szCs w:val="22"/>
        </w:rPr>
        <w:t>We constructed a quarterly composite index — the Worker Job Security Index (WJSI) — designed to measure the structural and cyclical dimensions of job security together, at a frequency that allows timely policy monitoring.</w:t>
      </w:r>
    </w:p>
    <w:p w14:paraId="344CF085" w14:textId="77777777" w:rsidR="00165024" w:rsidRDefault="00000000">
      <w:pPr>
        <w:spacing w:after="160"/>
        <w:jc w:val="both"/>
      </w:pPr>
      <w:r>
        <w:rPr>
          <w:rFonts w:ascii="Arial" w:eastAsia="Arial" w:hAnsi="Arial" w:cs="Arial"/>
          <w:color w:val="222222"/>
          <w:sz w:val="22"/>
          <w:szCs w:val="22"/>
        </w:rPr>
        <w:t xml:space="preserve">The index combines six components drawn from public BLS and FRED data, each measuring a distinct dimension of job security. They are equal-weighted and </w:t>
      </w:r>
      <w:proofErr w:type="spellStart"/>
      <w:r>
        <w:rPr>
          <w:rFonts w:ascii="Arial" w:eastAsia="Arial" w:hAnsi="Arial" w:cs="Arial"/>
          <w:color w:val="222222"/>
          <w:sz w:val="22"/>
          <w:szCs w:val="22"/>
        </w:rPr>
        <w:t>normalised</w:t>
      </w:r>
      <w:proofErr w:type="spellEnd"/>
      <w:r>
        <w:rPr>
          <w:rFonts w:ascii="Arial" w:eastAsia="Arial" w:hAnsi="Arial" w:cs="Arial"/>
          <w:color w:val="222222"/>
          <w:sz w:val="22"/>
          <w:szCs w:val="22"/>
        </w:rPr>
        <w:t xml:space="preserve"> to a common scale, with the index set to 100 in 2005 as the reference year.</w:t>
      </w:r>
    </w:p>
    <w:p w14:paraId="06B3E966" w14:textId="77777777" w:rsidR="00165024" w:rsidRDefault="001650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65024" w14:paraId="70CE9C6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F0DA1AE" w14:textId="77777777" w:rsidR="00165024" w:rsidRDefault="00000000">
            <w:r>
              <w:rPr>
                <w:rFonts w:ascii="Arial" w:eastAsia="Arial" w:hAnsi="Arial" w:cs="Arial"/>
                <w:b/>
                <w:bCs/>
                <w:color w:val="FFFFFF"/>
                <w:sz w:val="19"/>
                <w:szCs w:val="19"/>
              </w:rPr>
              <w:t>Component</w:t>
            </w:r>
          </w:p>
        </w:tc>
        <w:tc>
          <w:tcPr>
            <w:tcW w:w="676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9006FD3" w14:textId="77777777" w:rsidR="00165024" w:rsidRDefault="00000000">
            <w:r>
              <w:rPr>
                <w:rFonts w:ascii="Arial" w:eastAsia="Arial" w:hAnsi="Arial" w:cs="Arial"/>
                <w:b/>
                <w:bCs/>
                <w:color w:val="FFFFFF"/>
                <w:sz w:val="19"/>
                <w:szCs w:val="19"/>
              </w:rPr>
              <w:t>What it measures</w:t>
            </w:r>
          </w:p>
        </w:tc>
      </w:tr>
      <w:tr w:rsidR="00165024" w14:paraId="22D6E5BA" w14:textId="77777777">
        <w:tblPrEx>
          <w:tblCellMar>
            <w:top w:w="0" w:type="dxa"/>
            <w:bottom w:w="0" w:type="dxa"/>
          </w:tblCellMar>
        </w:tblPrEx>
        <w:tc>
          <w:tcPr>
            <w:tcW w:w="26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415443AA" w14:textId="77777777" w:rsidR="00165024" w:rsidRDefault="00000000">
            <w:r>
              <w:rPr>
                <w:rFonts w:ascii="Arial" w:eastAsia="Arial" w:hAnsi="Arial" w:cs="Arial"/>
                <w:b/>
                <w:bCs/>
                <w:color w:val="1F3864"/>
              </w:rPr>
              <w:t>Union membership rate</w:t>
            </w:r>
          </w:p>
        </w:tc>
        <w:tc>
          <w:tcPr>
            <w:tcW w:w="67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58B49577" w14:textId="77777777" w:rsidR="00165024" w:rsidRDefault="00000000">
            <w:r>
              <w:rPr>
                <w:rFonts w:ascii="Arial" w:eastAsia="Arial" w:hAnsi="Arial" w:cs="Arial"/>
                <w:color w:val="222222"/>
              </w:rPr>
              <w:t>Structural protection; proxy for collective bargaining power</w:t>
            </w:r>
          </w:p>
        </w:tc>
      </w:tr>
      <w:tr w:rsidR="00165024" w14:paraId="66E9E68D" w14:textId="77777777">
        <w:tblPrEx>
          <w:tblCellMar>
            <w:top w:w="0" w:type="dxa"/>
            <w:bottom w:w="0" w:type="dxa"/>
          </w:tblCellMar>
        </w:tblPrEx>
        <w:tc>
          <w:tcPr>
            <w:tcW w:w="26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2937CED6" w14:textId="77777777" w:rsidR="00165024" w:rsidRDefault="00000000">
            <w:r>
              <w:rPr>
                <w:rFonts w:ascii="Arial" w:eastAsia="Arial" w:hAnsi="Arial" w:cs="Arial"/>
                <w:b/>
                <w:bCs/>
                <w:color w:val="1F3864"/>
              </w:rPr>
              <w:t>Voluntary quit rate (JOLTS)</w:t>
            </w:r>
          </w:p>
        </w:tc>
        <w:tc>
          <w:tcPr>
            <w:tcW w:w="67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5D06BF68" w14:textId="77777777" w:rsidR="00165024" w:rsidRDefault="00000000">
            <w:r>
              <w:rPr>
                <w:rFonts w:ascii="Arial" w:eastAsia="Arial" w:hAnsi="Arial" w:cs="Arial"/>
                <w:color w:val="222222"/>
              </w:rPr>
              <w:t>Worker confidence: willingness and ability to leave a job</w:t>
            </w:r>
          </w:p>
        </w:tc>
      </w:tr>
      <w:tr w:rsidR="00165024" w14:paraId="7FA2E6A3" w14:textId="77777777">
        <w:tblPrEx>
          <w:tblCellMar>
            <w:top w:w="0" w:type="dxa"/>
            <w:bottom w:w="0" w:type="dxa"/>
          </w:tblCellMar>
        </w:tblPrEx>
        <w:tc>
          <w:tcPr>
            <w:tcW w:w="26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363E8D09" w14:textId="77777777" w:rsidR="00165024" w:rsidRDefault="00000000">
            <w:r>
              <w:rPr>
                <w:rFonts w:ascii="Arial" w:eastAsia="Arial" w:hAnsi="Arial" w:cs="Arial"/>
                <w:b/>
                <w:bCs/>
                <w:color w:val="1F3864"/>
              </w:rPr>
              <w:t>Layoffs &amp; discharges rate (JOLTS)</w:t>
            </w:r>
          </w:p>
        </w:tc>
        <w:tc>
          <w:tcPr>
            <w:tcW w:w="67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18B555A2" w14:textId="77777777" w:rsidR="00165024" w:rsidRDefault="00000000">
            <w:r>
              <w:rPr>
                <w:rFonts w:ascii="Arial" w:eastAsia="Arial" w:hAnsi="Arial" w:cs="Arial"/>
                <w:color w:val="222222"/>
              </w:rPr>
              <w:t>Employer-side risk: involuntary job loss pressure (inverted)</w:t>
            </w:r>
          </w:p>
        </w:tc>
      </w:tr>
      <w:tr w:rsidR="00165024" w14:paraId="37F752BB" w14:textId="77777777">
        <w:tblPrEx>
          <w:tblCellMar>
            <w:top w:w="0" w:type="dxa"/>
            <w:bottom w:w="0" w:type="dxa"/>
          </w:tblCellMar>
        </w:tblPrEx>
        <w:tc>
          <w:tcPr>
            <w:tcW w:w="26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277703A9" w14:textId="77777777" w:rsidR="00165024" w:rsidRDefault="00000000">
            <w:r>
              <w:rPr>
                <w:rFonts w:ascii="Arial" w:eastAsia="Arial" w:hAnsi="Arial" w:cs="Arial"/>
                <w:b/>
                <w:bCs/>
                <w:color w:val="1F3864"/>
              </w:rPr>
              <w:t xml:space="preserve">Nonfarm business </w:t>
            </w:r>
            <w:proofErr w:type="spellStart"/>
            <w:r>
              <w:rPr>
                <w:rFonts w:ascii="Arial" w:eastAsia="Arial" w:hAnsi="Arial" w:cs="Arial"/>
                <w:b/>
                <w:bCs/>
                <w:color w:val="1F3864"/>
              </w:rPr>
              <w:t>labour</w:t>
            </w:r>
            <w:proofErr w:type="spellEnd"/>
            <w:r>
              <w:rPr>
                <w:rFonts w:ascii="Arial" w:eastAsia="Arial" w:hAnsi="Arial" w:cs="Arial"/>
                <w:b/>
                <w:bCs/>
                <w:color w:val="1F3864"/>
              </w:rPr>
              <w:t xml:space="preserve"> share</w:t>
            </w:r>
          </w:p>
        </w:tc>
        <w:tc>
          <w:tcPr>
            <w:tcW w:w="67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1BD43B65" w14:textId="77777777" w:rsidR="00165024" w:rsidRDefault="00000000">
            <w:r>
              <w:rPr>
                <w:rFonts w:ascii="Arial" w:eastAsia="Arial" w:hAnsi="Arial" w:cs="Arial"/>
                <w:color w:val="222222"/>
              </w:rPr>
              <w:t>Aggregate income distribution: workers' share of output</w:t>
            </w:r>
          </w:p>
        </w:tc>
      </w:tr>
      <w:tr w:rsidR="00165024" w14:paraId="7770E223" w14:textId="77777777">
        <w:tblPrEx>
          <w:tblCellMar>
            <w:top w:w="0" w:type="dxa"/>
            <w:bottom w:w="0" w:type="dxa"/>
          </w:tblCellMar>
        </w:tblPrEx>
        <w:tc>
          <w:tcPr>
            <w:tcW w:w="26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262D9CE3" w14:textId="77777777" w:rsidR="00165024" w:rsidRDefault="00000000">
            <w:r>
              <w:rPr>
                <w:rFonts w:ascii="Arial" w:eastAsia="Arial" w:hAnsi="Arial" w:cs="Arial"/>
                <w:b/>
                <w:bCs/>
                <w:color w:val="1F3864"/>
              </w:rPr>
              <w:t>Median job tenure</w:t>
            </w:r>
          </w:p>
        </w:tc>
        <w:tc>
          <w:tcPr>
            <w:tcW w:w="67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3EE878D9" w14:textId="77777777" w:rsidR="00165024" w:rsidRDefault="00000000">
            <w:r>
              <w:rPr>
                <w:rFonts w:ascii="Arial" w:eastAsia="Arial" w:hAnsi="Arial" w:cs="Arial"/>
                <w:color w:val="222222"/>
              </w:rPr>
              <w:t>Stability of the employment relationship over time</w:t>
            </w:r>
          </w:p>
        </w:tc>
      </w:tr>
      <w:tr w:rsidR="00165024" w14:paraId="442E9567" w14:textId="77777777">
        <w:tblPrEx>
          <w:tblCellMar>
            <w:top w:w="0" w:type="dxa"/>
            <w:bottom w:w="0" w:type="dxa"/>
          </w:tblCellMar>
        </w:tblPrEx>
        <w:tc>
          <w:tcPr>
            <w:tcW w:w="26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40A05997" w14:textId="77777777" w:rsidR="00165024" w:rsidRDefault="00000000">
            <w:r>
              <w:rPr>
                <w:rFonts w:ascii="Arial" w:eastAsia="Arial" w:hAnsi="Arial" w:cs="Arial"/>
                <w:b/>
                <w:bCs/>
                <w:color w:val="1F3864"/>
              </w:rPr>
              <w:t>Job openings rate (JOLTS)</w:t>
            </w:r>
          </w:p>
        </w:tc>
        <w:tc>
          <w:tcPr>
            <w:tcW w:w="67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6299DFE1" w14:textId="77777777" w:rsidR="00165024" w:rsidRDefault="00000000">
            <w:proofErr w:type="spellStart"/>
            <w:r>
              <w:rPr>
                <w:rFonts w:ascii="Arial" w:eastAsia="Arial" w:hAnsi="Arial" w:cs="Arial"/>
                <w:color w:val="222222"/>
              </w:rPr>
              <w:t>Labour</w:t>
            </w:r>
            <w:proofErr w:type="spellEnd"/>
            <w:r>
              <w:rPr>
                <w:rFonts w:ascii="Arial" w:eastAsia="Arial" w:hAnsi="Arial" w:cs="Arial"/>
                <w:color w:val="222222"/>
              </w:rPr>
              <w:t xml:space="preserve"> market tightness / churn risk (inverted in primary spec)</w:t>
            </w:r>
          </w:p>
        </w:tc>
      </w:tr>
    </w:tbl>
    <w:p w14:paraId="4A266204" w14:textId="77777777" w:rsidR="00165024" w:rsidRDefault="00165024">
      <w:pPr>
        <w:spacing w:after="100"/>
      </w:pPr>
    </w:p>
    <w:p w14:paraId="3D8B05E0" w14:textId="77777777" w:rsidR="00165024" w:rsidRDefault="00000000">
      <w:pPr>
        <w:spacing w:after="160"/>
        <w:jc w:val="both"/>
      </w:pPr>
      <w:r>
        <w:rPr>
          <w:rFonts w:ascii="Arial" w:eastAsia="Arial" w:hAnsi="Arial" w:cs="Arial"/>
          <w:color w:val="222222"/>
          <w:sz w:val="22"/>
          <w:szCs w:val="22"/>
        </w:rPr>
        <w:lastRenderedPageBreak/>
        <w:t xml:space="preserve">The six components are not arbitrary. Each has a clear theoretical basis, a long enough history to support structural analysis, and an empirical relationship with job security that is not redundant with the others. Importantly, the index is not dominated by any one data source: the three JOLTS measures provide cyclical responsiveness; union membership, median tenure, and the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share provide structural depth.</w:t>
      </w:r>
    </w:p>
    <w:p w14:paraId="196D34B9" w14:textId="77777777" w:rsidR="00165024" w:rsidRDefault="00000000">
      <w:pPr>
        <w:spacing w:after="160"/>
        <w:jc w:val="both"/>
      </w:pPr>
      <w:r>
        <w:rPr>
          <w:rFonts w:ascii="Arial" w:eastAsia="Arial" w:hAnsi="Arial" w:cs="Arial"/>
          <w:b/>
          <w:bCs/>
          <w:color w:val="1F3864"/>
          <w:sz w:val="22"/>
          <w:szCs w:val="22"/>
        </w:rPr>
        <w:t xml:space="preserve">Why quarterly? </w:t>
      </w:r>
      <w:r>
        <w:rPr>
          <w:rFonts w:ascii="Arial" w:eastAsia="Arial" w:hAnsi="Arial" w:cs="Arial"/>
          <w:color w:val="222222"/>
          <w:sz w:val="22"/>
          <w:szCs w:val="22"/>
        </w:rPr>
        <w:t>Annual averaging conceals intra-year dynamics that matter. During 2020, the WJSI fell to 45.5 in Q2, then recovered to 89.9 by Q3 — a 44-point swing within a single calendar year. The annual average of 54.2 is technically correct but structurally misleading. Quarterly resolution allows policymakers to see turning points in real time, not in retrospect.</w:t>
      </w:r>
    </w:p>
    <w:p w14:paraId="0D8C6897" w14:textId="77777777" w:rsidR="00165024" w:rsidRDefault="00000000">
      <w:pPr>
        <w:spacing w:after="160"/>
        <w:jc w:val="both"/>
      </w:pPr>
      <w:r>
        <w:rPr>
          <w:rFonts w:ascii="Arial" w:eastAsia="Arial" w:hAnsi="Arial" w:cs="Arial"/>
          <w:b/>
          <w:bCs/>
          <w:color w:val="1F3864"/>
          <w:sz w:val="22"/>
          <w:szCs w:val="22"/>
        </w:rPr>
        <w:t xml:space="preserve">Why not just use U-6? </w:t>
      </w:r>
      <w:r>
        <w:rPr>
          <w:rFonts w:ascii="Arial" w:eastAsia="Arial" w:hAnsi="Arial" w:cs="Arial"/>
          <w:color w:val="222222"/>
          <w:sz w:val="22"/>
          <w:szCs w:val="22"/>
        </w:rPr>
        <w:t>U-6 — the broadest official unemployment measure — counts involuntary part-time workers and marginally attached workers who want jobs but are not currently searching. It is a wider measure of employment shortfall. The WJSI measures something different: the structural security of employment for people who have it. The two instruments are designed to be complementary. Empirically, the WJSI has a contemporaneous correlation of only −0.17 with U-6, confirming that it captures genuinely different information.</w:t>
      </w:r>
    </w:p>
    <w:p w14:paraId="5E9511FD" w14:textId="77777777" w:rsidR="00165024" w:rsidRDefault="00165024">
      <w:pPr>
        <w:pBdr>
          <w:bottom w:val="single" w:sz="6" w:space="1" w:color="BDD0E9"/>
        </w:pBdr>
        <w:spacing w:after="160"/>
      </w:pPr>
    </w:p>
    <w:p w14:paraId="17E00C67" w14:textId="77777777" w:rsidR="00165024" w:rsidRDefault="00000000">
      <w:pPr>
        <w:spacing w:before="280" w:after="80"/>
      </w:pPr>
      <w:r>
        <w:rPr>
          <w:rFonts w:ascii="Arial" w:eastAsia="Arial" w:hAnsi="Arial" w:cs="Arial"/>
          <w:b/>
          <w:bCs/>
          <w:color w:val="1F3864"/>
          <w:spacing w:val="40"/>
        </w:rPr>
        <w:t>4.  INITIAL RESULTS</w:t>
      </w:r>
    </w:p>
    <w:p w14:paraId="094877B4" w14:textId="77777777" w:rsidR="00165024" w:rsidRDefault="00000000">
      <w:pPr>
        <w:spacing w:after="160"/>
        <w:jc w:val="both"/>
      </w:pPr>
      <w:r>
        <w:rPr>
          <w:rFonts w:ascii="Arial" w:eastAsia="Arial" w:hAnsi="Arial" w:cs="Arial"/>
          <w:color w:val="222222"/>
          <w:sz w:val="22"/>
          <w:szCs w:val="22"/>
        </w:rPr>
        <w:t>The index runs from 2001 Q1 through 2025 Q4 — 100 quarterly observations spanning three recessions and two sustained recoveries. The headline findings are striking.</w:t>
      </w:r>
    </w:p>
    <w:p w14:paraId="3C24F547" w14:textId="77777777" w:rsidR="00165024" w:rsidRDefault="00000000">
      <w:pPr>
        <w:spacing w:after="160"/>
        <w:jc w:val="both"/>
      </w:pPr>
      <w:r>
        <w:rPr>
          <w:rFonts w:ascii="Arial" w:eastAsia="Arial" w:hAnsi="Arial" w:cs="Arial"/>
          <w:b/>
          <w:bCs/>
          <w:color w:val="1F3864"/>
          <w:sz w:val="22"/>
          <w:szCs w:val="22"/>
        </w:rPr>
        <w:t xml:space="preserve">Job security has been below its 2005 baseline continuously since 2015 Q1. </w:t>
      </w:r>
      <w:r>
        <w:rPr>
          <w:rFonts w:ascii="Arial" w:eastAsia="Arial" w:hAnsi="Arial" w:cs="Arial"/>
          <w:color w:val="222222"/>
          <w:sz w:val="22"/>
          <w:szCs w:val="22"/>
        </w:rPr>
        <w:t xml:space="preserve">That is a decade of uninterrupted structural deterioration — through a period that included historically low unemployment, record equity prices, and sustained GDP growth. The headline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market indicators described a strong economy; the structural foundations of job security were eroding throughout.</w:t>
      </w:r>
    </w:p>
    <w:p w14:paraId="70E28A2B" w14:textId="77777777" w:rsidR="00165024" w:rsidRDefault="00000000">
      <w:pPr>
        <w:spacing w:after="160"/>
        <w:jc w:val="both"/>
      </w:pPr>
      <w:r>
        <w:rPr>
          <w:rFonts w:ascii="Arial" w:eastAsia="Arial" w:hAnsi="Arial" w:cs="Arial"/>
          <w:b/>
          <w:bCs/>
          <w:color w:val="1F3864"/>
          <w:sz w:val="22"/>
          <w:szCs w:val="22"/>
        </w:rPr>
        <w:t xml:space="preserve">The 2020 COVID shock is captured with a resolution no annual index can match. </w:t>
      </w:r>
      <w:r>
        <w:rPr>
          <w:rFonts w:ascii="Arial" w:eastAsia="Arial" w:hAnsi="Arial" w:cs="Arial"/>
          <w:color w:val="222222"/>
          <w:sz w:val="22"/>
          <w:szCs w:val="22"/>
        </w:rPr>
        <w:t>The quarterly index fell 47 points in a single quarter (Q4 2019: 91.0 → Q1 2020: 44.1), troughed at 45.5 in Q2, then recovered 44 points by Q3 as JOLTS data rebounded with reopening. The annual average of 54.2 combines these three very different realities into a single number.</w:t>
      </w:r>
    </w:p>
    <w:p w14:paraId="3DDB8A9C" w14:textId="77777777" w:rsidR="00165024" w:rsidRDefault="00000000">
      <w:pPr>
        <w:spacing w:after="160"/>
        <w:jc w:val="both"/>
      </w:pPr>
      <w:r>
        <w:rPr>
          <w:rFonts w:ascii="Arial" w:eastAsia="Arial" w:hAnsi="Arial" w:cs="Arial"/>
          <w:b/>
          <w:bCs/>
          <w:color w:val="1F3864"/>
          <w:sz w:val="22"/>
          <w:szCs w:val="22"/>
        </w:rPr>
        <w:t xml:space="preserve">The post-2022 deterioration is more severe than the headline data suggests. </w:t>
      </w:r>
      <w:r>
        <w:rPr>
          <w:rFonts w:ascii="Arial" w:eastAsia="Arial" w:hAnsi="Arial" w:cs="Arial"/>
          <w:color w:val="222222"/>
          <w:sz w:val="22"/>
          <w:szCs w:val="22"/>
        </w:rPr>
        <w:t xml:space="preserve">The index peaked at 93.2 in Q4 2021 — the height of the Great Resignation, when workers had unusually high bargaining power. By Q4 2024, it had fallen to 75.7 — a 17.5-point decline over three years, driven by the collapse in voluntary quits, continued erosion of union membership, and a </w:t>
      </w:r>
      <w:proofErr w:type="spellStart"/>
      <w:r>
        <w:rPr>
          <w:rFonts w:ascii="Arial" w:eastAsia="Arial" w:hAnsi="Arial" w:cs="Arial"/>
          <w:color w:val="222222"/>
          <w:sz w:val="22"/>
          <w:szCs w:val="22"/>
        </w:rPr>
        <w:t>labour</w:t>
      </w:r>
      <w:proofErr w:type="spellEnd"/>
      <w:r>
        <w:rPr>
          <w:rFonts w:ascii="Arial" w:eastAsia="Arial" w:hAnsi="Arial" w:cs="Arial"/>
          <w:color w:val="222222"/>
          <w:sz w:val="22"/>
          <w:szCs w:val="22"/>
        </w:rPr>
        <w:t xml:space="preserve"> share index near its lowest level since the 1960s. Despite near-record-low unemployment, American workers are measurably less secure today than at any point since the Great Financial Crisis.</w:t>
      </w:r>
    </w:p>
    <w:p w14:paraId="2A61473C" w14:textId="77777777" w:rsidR="00165024" w:rsidRDefault="0016502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6960"/>
      </w:tblGrid>
      <w:tr w:rsidR="00165024" w14:paraId="257D7DB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0F683FD" w14:textId="77777777" w:rsidR="00165024" w:rsidRDefault="00000000">
            <w:r>
              <w:rPr>
                <w:rFonts w:ascii="Arial" w:eastAsia="Arial" w:hAnsi="Arial" w:cs="Arial"/>
                <w:b/>
                <w:bCs/>
                <w:color w:val="FFFFFF"/>
                <w:sz w:val="19"/>
                <w:szCs w:val="19"/>
              </w:rPr>
              <w:t>Quarter</w:t>
            </w:r>
          </w:p>
        </w:tc>
        <w:tc>
          <w:tcPr>
            <w:tcW w:w="10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C326DC8" w14:textId="77777777" w:rsidR="00165024" w:rsidRDefault="00000000">
            <w:pPr>
              <w:jc w:val="center"/>
            </w:pPr>
            <w:r>
              <w:rPr>
                <w:rFonts w:ascii="Arial" w:eastAsia="Arial" w:hAnsi="Arial" w:cs="Arial"/>
                <w:b/>
                <w:bCs/>
                <w:color w:val="FFFFFF"/>
                <w:sz w:val="19"/>
                <w:szCs w:val="19"/>
              </w:rPr>
              <w:t>WJSI</w:t>
            </w:r>
          </w:p>
        </w:tc>
        <w:tc>
          <w:tcPr>
            <w:tcW w:w="696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5AA68A5" w14:textId="77777777" w:rsidR="00165024" w:rsidRDefault="00000000">
            <w:r>
              <w:rPr>
                <w:rFonts w:ascii="Arial" w:eastAsia="Arial" w:hAnsi="Arial" w:cs="Arial"/>
                <w:b/>
                <w:bCs/>
                <w:color w:val="FFFFFF"/>
                <w:sz w:val="19"/>
                <w:szCs w:val="19"/>
              </w:rPr>
              <w:t>Reading</w:t>
            </w:r>
          </w:p>
        </w:tc>
      </w:tr>
      <w:tr w:rsidR="00165024" w14:paraId="0336CF23"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5A4CFEBE" w14:textId="77777777" w:rsidR="00165024" w:rsidRDefault="00000000">
            <w:r>
              <w:rPr>
                <w:rFonts w:ascii="Arial" w:eastAsia="Arial" w:hAnsi="Arial" w:cs="Arial"/>
                <w:color w:val="222222"/>
              </w:rPr>
              <w:t>2005 Q1–Q4</w:t>
            </w:r>
          </w:p>
        </w:tc>
        <w:tc>
          <w:tcPr>
            <w:tcW w:w="1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56D5A560" w14:textId="77777777" w:rsidR="00165024" w:rsidRDefault="00000000">
            <w:pPr>
              <w:jc w:val="center"/>
            </w:pPr>
            <w:r>
              <w:rPr>
                <w:rFonts w:ascii="Arial" w:eastAsia="Arial" w:hAnsi="Arial" w:cs="Arial"/>
                <w:b/>
                <w:bCs/>
                <w:color w:val="1F3864"/>
              </w:rPr>
              <w:t>~100</w:t>
            </w:r>
          </w:p>
        </w:tc>
        <w:tc>
          <w:tcPr>
            <w:tcW w:w="69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5D36325C" w14:textId="77777777" w:rsidR="00165024" w:rsidRDefault="00000000">
            <w:r>
              <w:rPr>
                <w:rFonts w:ascii="Arial" w:eastAsia="Arial" w:hAnsi="Arial" w:cs="Arial"/>
                <w:color w:val="222222"/>
              </w:rPr>
              <w:t>Base-year reference level</w:t>
            </w:r>
          </w:p>
        </w:tc>
      </w:tr>
      <w:tr w:rsidR="00165024" w14:paraId="07AF57EC"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68B531C7" w14:textId="77777777" w:rsidR="00165024" w:rsidRDefault="00000000">
            <w:r>
              <w:rPr>
                <w:rFonts w:ascii="Arial" w:eastAsia="Arial" w:hAnsi="Arial" w:cs="Arial"/>
                <w:color w:val="222222"/>
              </w:rPr>
              <w:t>2009 Q1</w:t>
            </w:r>
          </w:p>
        </w:tc>
        <w:tc>
          <w:tcPr>
            <w:tcW w:w="1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0A4384C0" w14:textId="77777777" w:rsidR="00165024" w:rsidRDefault="00000000">
            <w:pPr>
              <w:jc w:val="center"/>
            </w:pPr>
            <w:r>
              <w:rPr>
                <w:rFonts w:ascii="Arial" w:eastAsia="Arial" w:hAnsi="Arial" w:cs="Arial"/>
                <w:b/>
                <w:bCs/>
                <w:color w:val="7B1C1C"/>
              </w:rPr>
              <w:t>85.6</w:t>
            </w:r>
          </w:p>
        </w:tc>
        <w:tc>
          <w:tcPr>
            <w:tcW w:w="69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5B4881FB" w14:textId="77777777" w:rsidR="00165024" w:rsidRDefault="00000000">
            <w:r>
              <w:rPr>
                <w:rFonts w:ascii="Arial" w:eastAsia="Arial" w:hAnsi="Arial" w:cs="Arial"/>
                <w:color w:val="222222"/>
              </w:rPr>
              <w:t xml:space="preserve">Great Recession </w:t>
            </w:r>
            <w:proofErr w:type="gramStart"/>
            <w:r>
              <w:rPr>
                <w:rFonts w:ascii="Arial" w:eastAsia="Arial" w:hAnsi="Arial" w:cs="Arial"/>
                <w:color w:val="222222"/>
              </w:rPr>
              <w:t>trough;</w:t>
            </w:r>
            <w:proofErr w:type="gramEnd"/>
            <w:r>
              <w:rPr>
                <w:rFonts w:ascii="Arial" w:eastAsia="Arial" w:hAnsi="Arial" w:cs="Arial"/>
                <w:color w:val="222222"/>
              </w:rPr>
              <w:t xml:space="preserve"> layoffs peak, quits collapse</w:t>
            </w:r>
          </w:p>
        </w:tc>
      </w:tr>
      <w:tr w:rsidR="00165024" w14:paraId="5DB4F0A7"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6CCCB520" w14:textId="77777777" w:rsidR="00165024" w:rsidRDefault="00000000">
            <w:r>
              <w:rPr>
                <w:rFonts w:ascii="Arial" w:eastAsia="Arial" w:hAnsi="Arial" w:cs="Arial"/>
                <w:color w:val="222222"/>
              </w:rPr>
              <w:t>2019 Q4</w:t>
            </w:r>
          </w:p>
        </w:tc>
        <w:tc>
          <w:tcPr>
            <w:tcW w:w="1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044D75E7" w14:textId="77777777" w:rsidR="00165024" w:rsidRDefault="00000000">
            <w:pPr>
              <w:jc w:val="center"/>
            </w:pPr>
            <w:r>
              <w:rPr>
                <w:rFonts w:ascii="Arial" w:eastAsia="Arial" w:hAnsi="Arial" w:cs="Arial"/>
                <w:b/>
                <w:bCs/>
                <w:color w:val="7B1C1C"/>
              </w:rPr>
              <w:t>91.0</w:t>
            </w:r>
          </w:p>
        </w:tc>
        <w:tc>
          <w:tcPr>
            <w:tcW w:w="69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2AB0DA56" w14:textId="77777777" w:rsidR="00165024" w:rsidRDefault="00000000">
            <w:r>
              <w:rPr>
                <w:rFonts w:ascii="Arial" w:eastAsia="Arial" w:hAnsi="Arial" w:cs="Arial"/>
                <w:color w:val="222222"/>
              </w:rPr>
              <w:t>Pre-pandemic reading; already well below base</w:t>
            </w:r>
          </w:p>
        </w:tc>
      </w:tr>
      <w:tr w:rsidR="00165024" w14:paraId="5D8EA80E"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01812797" w14:textId="77777777" w:rsidR="00165024" w:rsidRDefault="00000000">
            <w:r>
              <w:rPr>
                <w:rFonts w:ascii="Arial" w:eastAsia="Arial" w:hAnsi="Arial" w:cs="Arial"/>
                <w:color w:val="222222"/>
              </w:rPr>
              <w:t>2020 Q1</w:t>
            </w:r>
          </w:p>
        </w:tc>
        <w:tc>
          <w:tcPr>
            <w:tcW w:w="1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52D87511" w14:textId="77777777" w:rsidR="00165024" w:rsidRDefault="00000000">
            <w:pPr>
              <w:jc w:val="center"/>
            </w:pPr>
            <w:r>
              <w:rPr>
                <w:rFonts w:ascii="Arial" w:eastAsia="Arial" w:hAnsi="Arial" w:cs="Arial"/>
                <w:b/>
                <w:bCs/>
                <w:color w:val="7B1C1C"/>
              </w:rPr>
              <w:t>44.1</w:t>
            </w:r>
          </w:p>
        </w:tc>
        <w:tc>
          <w:tcPr>
            <w:tcW w:w="69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550FE345" w14:textId="77777777" w:rsidR="00165024" w:rsidRDefault="00000000">
            <w:r>
              <w:rPr>
                <w:rFonts w:ascii="Arial" w:eastAsia="Arial" w:hAnsi="Arial" w:cs="Arial"/>
                <w:color w:val="222222"/>
              </w:rPr>
              <w:t>COVID shock — 47-point single-quarter fall</w:t>
            </w:r>
          </w:p>
        </w:tc>
      </w:tr>
      <w:tr w:rsidR="00165024" w14:paraId="259B69D8"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44D200B2" w14:textId="77777777" w:rsidR="00165024" w:rsidRDefault="00000000">
            <w:r>
              <w:rPr>
                <w:rFonts w:ascii="Arial" w:eastAsia="Arial" w:hAnsi="Arial" w:cs="Arial"/>
                <w:color w:val="222222"/>
              </w:rPr>
              <w:t>2020 Q2</w:t>
            </w:r>
          </w:p>
        </w:tc>
        <w:tc>
          <w:tcPr>
            <w:tcW w:w="1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47717DD0" w14:textId="77777777" w:rsidR="00165024" w:rsidRDefault="00000000">
            <w:pPr>
              <w:jc w:val="center"/>
            </w:pPr>
            <w:r>
              <w:rPr>
                <w:rFonts w:ascii="Arial" w:eastAsia="Arial" w:hAnsi="Arial" w:cs="Arial"/>
                <w:b/>
                <w:bCs/>
                <w:color w:val="7B1C1C"/>
              </w:rPr>
              <w:t>45.5</w:t>
            </w:r>
          </w:p>
        </w:tc>
        <w:tc>
          <w:tcPr>
            <w:tcW w:w="69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67F46389" w14:textId="77777777" w:rsidR="00165024" w:rsidRDefault="00000000">
            <w:r>
              <w:rPr>
                <w:rFonts w:ascii="Arial" w:eastAsia="Arial" w:hAnsi="Arial" w:cs="Arial"/>
                <w:color w:val="222222"/>
              </w:rPr>
              <w:t>Trough; annual average of 54.2 masks this depth</w:t>
            </w:r>
          </w:p>
        </w:tc>
      </w:tr>
      <w:tr w:rsidR="00165024" w14:paraId="4ACFE8ED"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56384C99" w14:textId="77777777" w:rsidR="00165024" w:rsidRDefault="00000000">
            <w:r>
              <w:rPr>
                <w:rFonts w:ascii="Arial" w:eastAsia="Arial" w:hAnsi="Arial" w:cs="Arial"/>
                <w:color w:val="222222"/>
              </w:rPr>
              <w:t>2020 Q3</w:t>
            </w:r>
          </w:p>
        </w:tc>
        <w:tc>
          <w:tcPr>
            <w:tcW w:w="1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48DF6E36" w14:textId="77777777" w:rsidR="00165024" w:rsidRDefault="00000000">
            <w:pPr>
              <w:jc w:val="center"/>
            </w:pPr>
            <w:r>
              <w:rPr>
                <w:rFonts w:ascii="Arial" w:eastAsia="Arial" w:hAnsi="Arial" w:cs="Arial"/>
                <w:b/>
                <w:bCs/>
                <w:color w:val="1A5C3A"/>
              </w:rPr>
              <w:t>89.9</w:t>
            </w:r>
          </w:p>
        </w:tc>
        <w:tc>
          <w:tcPr>
            <w:tcW w:w="69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3E93E549" w14:textId="77777777" w:rsidR="00165024" w:rsidRDefault="00000000">
            <w:r>
              <w:rPr>
                <w:rFonts w:ascii="Arial" w:eastAsia="Arial" w:hAnsi="Arial" w:cs="Arial"/>
                <w:color w:val="222222"/>
              </w:rPr>
              <w:t>Rapid JOLTS rebound as economy reopens</w:t>
            </w:r>
          </w:p>
        </w:tc>
      </w:tr>
      <w:tr w:rsidR="00165024" w14:paraId="3D339409"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2527A9E9" w14:textId="77777777" w:rsidR="00165024" w:rsidRDefault="00000000">
            <w:r>
              <w:rPr>
                <w:rFonts w:ascii="Arial" w:eastAsia="Arial" w:hAnsi="Arial" w:cs="Arial"/>
                <w:color w:val="222222"/>
              </w:rPr>
              <w:t>2021 Q4</w:t>
            </w:r>
          </w:p>
        </w:tc>
        <w:tc>
          <w:tcPr>
            <w:tcW w:w="1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7DAE1300" w14:textId="77777777" w:rsidR="00165024" w:rsidRDefault="00000000">
            <w:pPr>
              <w:jc w:val="center"/>
            </w:pPr>
            <w:r>
              <w:rPr>
                <w:rFonts w:ascii="Arial" w:eastAsia="Arial" w:hAnsi="Arial" w:cs="Arial"/>
                <w:b/>
                <w:bCs/>
                <w:color w:val="1A5C3A"/>
              </w:rPr>
              <w:t>93.2</w:t>
            </w:r>
          </w:p>
        </w:tc>
        <w:tc>
          <w:tcPr>
            <w:tcW w:w="69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1A1BF285" w14:textId="77777777" w:rsidR="00165024" w:rsidRDefault="00000000">
            <w:r>
              <w:rPr>
                <w:rFonts w:ascii="Arial" w:eastAsia="Arial" w:hAnsi="Arial" w:cs="Arial"/>
                <w:color w:val="222222"/>
              </w:rPr>
              <w:t>Great Resignation peak; quit rate at all-time high</w:t>
            </w:r>
          </w:p>
        </w:tc>
      </w:tr>
      <w:tr w:rsidR="00165024" w14:paraId="14A786E4"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7EC2EE30" w14:textId="77777777" w:rsidR="00165024" w:rsidRDefault="00000000">
            <w:r>
              <w:rPr>
                <w:rFonts w:ascii="Arial" w:eastAsia="Arial" w:hAnsi="Arial" w:cs="Arial"/>
                <w:color w:val="222222"/>
              </w:rPr>
              <w:lastRenderedPageBreak/>
              <w:t>2022 Q4</w:t>
            </w:r>
          </w:p>
        </w:tc>
        <w:tc>
          <w:tcPr>
            <w:tcW w:w="1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1738AE3C" w14:textId="77777777" w:rsidR="00165024" w:rsidRDefault="00000000">
            <w:pPr>
              <w:jc w:val="center"/>
            </w:pPr>
            <w:r>
              <w:rPr>
                <w:rFonts w:ascii="Arial" w:eastAsia="Arial" w:hAnsi="Arial" w:cs="Arial"/>
                <w:b/>
                <w:bCs/>
                <w:color w:val="7B1C1C"/>
              </w:rPr>
              <w:t>83.4</w:t>
            </w:r>
          </w:p>
        </w:tc>
        <w:tc>
          <w:tcPr>
            <w:tcW w:w="69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748104F1" w14:textId="77777777" w:rsidR="00165024" w:rsidRDefault="00000000">
            <w:r>
              <w:rPr>
                <w:rFonts w:ascii="Arial" w:eastAsia="Arial" w:hAnsi="Arial" w:cs="Arial"/>
                <w:color w:val="222222"/>
              </w:rPr>
              <w:t>Resignation fades; structural deterioration resumes</w:t>
            </w:r>
          </w:p>
        </w:tc>
      </w:tr>
      <w:tr w:rsidR="00165024" w14:paraId="584CF7C2"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79EE9D89" w14:textId="77777777" w:rsidR="00165024" w:rsidRDefault="00000000">
            <w:r>
              <w:rPr>
                <w:rFonts w:ascii="Arial" w:eastAsia="Arial" w:hAnsi="Arial" w:cs="Arial"/>
                <w:color w:val="222222"/>
              </w:rPr>
              <w:t>2024 Q4</w:t>
            </w:r>
          </w:p>
        </w:tc>
        <w:tc>
          <w:tcPr>
            <w:tcW w:w="100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521E8043" w14:textId="77777777" w:rsidR="00165024" w:rsidRDefault="00000000">
            <w:pPr>
              <w:jc w:val="center"/>
            </w:pPr>
            <w:r>
              <w:rPr>
                <w:rFonts w:ascii="Arial" w:eastAsia="Arial" w:hAnsi="Arial" w:cs="Arial"/>
                <w:b/>
                <w:bCs/>
                <w:color w:val="7B1C1C"/>
              </w:rPr>
              <w:t>75.7</w:t>
            </w:r>
          </w:p>
        </w:tc>
        <w:tc>
          <w:tcPr>
            <w:tcW w:w="6960" w:type="dxa"/>
            <w:tcBorders>
              <w:top w:val="single" w:sz="1" w:space="0" w:color="D0DEED"/>
              <w:left w:val="single" w:sz="1" w:space="0" w:color="D0DEED"/>
              <w:bottom w:val="single" w:sz="1" w:space="0" w:color="D0DEED"/>
              <w:right w:val="single" w:sz="1" w:space="0" w:color="D0DEED"/>
            </w:tcBorders>
            <w:shd w:val="clear" w:color="auto" w:fill="EBF2FA"/>
            <w:tcMar>
              <w:top w:w="80" w:type="dxa"/>
              <w:left w:w="140" w:type="dxa"/>
              <w:bottom w:w="80" w:type="dxa"/>
              <w:right w:w="140" w:type="dxa"/>
            </w:tcMar>
          </w:tcPr>
          <w:p w14:paraId="772B6EF7" w14:textId="77777777" w:rsidR="00165024" w:rsidRDefault="00000000">
            <w:r>
              <w:rPr>
                <w:rFonts w:ascii="Arial" w:eastAsia="Arial" w:hAnsi="Arial" w:cs="Arial"/>
                <w:color w:val="222222"/>
              </w:rPr>
              <w:t>Most recent full year-end; near Great Recession levels</w:t>
            </w:r>
          </w:p>
        </w:tc>
      </w:tr>
      <w:tr w:rsidR="00165024" w14:paraId="0CE31E1F" w14:textId="77777777">
        <w:tblPrEx>
          <w:tblCellMar>
            <w:top w:w="0" w:type="dxa"/>
            <w:bottom w:w="0" w:type="dxa"/>
          </w:tblCellMar>
        </w:tblPrEx>
        <w:tc>
          <w:tcPr>
            <w:tcW w:w="14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1BC9BB40" w14:textId="77777777" w:rsidR="00165024" w:rsidRDefault="00000000">
            <w:r>
              <w:rPr>
                <w:rFonts w:ascii="Arial" w:eastAsia="Arial" w:hAnsi="Arial" w:cs="Arial"/>
                <w:color w:val="222222"/>
              </w:rPr>
              <w:t>2025 Q4</w:t>
            </w:r>
          </w:p>
        </w:tc>
        <w:tc>
          <w:tcPr>
            <w:tcW w:w="100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25213DB3" w14:textId="77777777" w:rsidR="00165024" w:rsidRDefault="00000000">
            <w:pPr>
              <w:jc w:val="center"/>
            </w:pPr>
            <w:r>
              <w:rPr>
                <w:rFonts w:ascii="Arial" w:eastAsia="Arial" w:hAnsi="Arial" w:cs="Arial"/>
                <w:b/>
                <w:bCs/>
                <w:color w:val="7B1C1C"/>
              </w:rPr>
              <w:t>79.2</w:t>
            </w:r>
          </w:p>
        </w:tc>
        <w:tc>
          <w:tcPr>
            <w:tcW w:w="6960" w:type="dxa"/>
            <w:tcBorders>
              <w:top w:val="single" w:sz="1" w:space="0" w:color="D0DEED"/>
              <w:left w:val="single" w:sz="1" w:space="0" w:color="D0DEED"/>
              <w:bottom w:val="single" w:sz="1" w:space="0" w:color="D0DEED"/>
              <w:right w:val="single" w:sz="1" w:space="0" w:color="D0DEED"/>
            </w:tcBorders>
            <w:shd w:val="clear" w:color="auto" w:fill="FFFFFF"/>
            <w:tcMar>
              <w:top w:w="80" w:type="dxa"/>
              <w:left w:w="140" w:type="dxa"/>
              <w:bottom w:w="80" w:type="dxa"/>
              <w:right w:w="140" w:type="dxa"/>
            </w:tcMar>
          </w:tcPr>
          <w:p w14:paraId="0748BF64" w14:textId="77777777" w:rsidR="00165024" w:rsidRDefault="00000000">
            <w:r>
              <w:rPr>
                <w:rFonts w:ascii="Arial" w:eastAsia="Arial" w:hAnsi="Arial" w:cs="Arial"/>
                <w:color w:val="222222"/>
              </w:rPr>
              <w:t>Latest available; 4Q moving average: 78.9</w:t>
            </w:r>
          </w:p>
        </w:tc>
      </w:tr>
    </w:tbl>
    <w:p w14:paraId="000746FC" w14:textId="77777777" w:rsidR="00165024" w:rsidRDefault="00165024">
      <w:pPr>
        <w:spacing w:after="80"/>
      </w:pPr>
    </w:p>
    <w:p w14:paraId="323ADC1B" w14:textId="77777777" w:rsidR="00165024" w:rsidRDefault="00000000">
      <w:pPr>
        <w:spacing w:after="160"/>
        <w:jc w:val="both"/>
      </w:pPr>
      <w:r>
        <w:rPr>
          <w:rFonts w:ascii="Arial" w:eastAsia="Arial" w:hAnsi="Arial" w:cs="Arial"/>
          <w:color w:val="222222"/>
          <w:sz w:val="22"/>
          <w:szCs w:val="22"/>
        </w:rPr>
        <w:t>Perhaps most importantly: this measure appears to lead, not lag, consumer sentiment. At a nine-quarter lag, the WJSI correlates with the University of Michigan Consumer Sentiment Index at r = 0.41 (p &lt; 0.001). A Granger causality test at annual frequency confirms the direction: changes in job security predict subsequent changes in consumer confidence (F = 7.37, p = 0.014); the reverse does not hold (p = 0.41).</w:t>
      </w:r>
    </w:p>
    <w:p w14:paraId="7BE6A13B" w14:textId="77777777" w:rsidR="00165024" w:rsidRDefault="00165024">
      <w:pPr>
        <w:pBdr>
          <w:bottom w:val="single" w:sz="6" w:space="1" w:color="BDD0E9"/>
        </w:pBdr>
        <w:spacing w:after="160"/>
      </w:pPr>
    </w:p>
    <w:p w14:paraId="59C4450D" w14:textId="77777777" w:rsidR="00165024" w:rsidRDefault="00000000">
      <w:pPr>
        <w:spacing w:before="280" w:after="80"/>
      </w:pPr>
      <w:r>
        <w:rPr>
          <w:rFonts w:ascii="Arial" w:eastAsia="Arial" w:hAnsi="Arial" w:cs="Arial"/>
          <w:b/>
          <w:bCs/>
          <w:color w:val="1F3864"/>
          <w:spacing w:val="40"/>
        </w:rPr>
        <w:t>5.  WHERE THIS GOES NEXT</w:t>
      </w:r>
    </w:p>
    <w:p w14:paraId="591243AA" w14:textId="4E20910E" w:rsidR="009524AE" w:rsidRDefault="009524AE" w:rsidP="009524AE">
      <w:pPr>
        <w:spacing w:after="160"/>
        <w:jc w:val="both"/>
        <w:rPr>
          <w:rFonts w:ascii="Arial" w:eastAsia="Arial" w:hAnsi="Arial" w:cs="Arial"/>
          <w:color w:val="222222"/>
          <w:sz w:val="22"/>
          <w:szCs w:val="22"/>
        </w:rPr>
      </w:pPr>
      <w:r>
        <w:rPr>
          <w:rFonts w:ascii="Arial" w:eastAsia="Arial" w:hAnsi="Arial" w:cs="Arial"/>
          <w:color w:val="222222"/>
          <w:sz w:val="22"/>
          <w:szCs w:val="22"/>
        </w:rPr>
        <w:t xml:space="preserve">In trying to create a new index, we are naturally limited a </w:t>
      </w:r>
      <w:proofErr w:type="gramStart"/>
      <w:r>
        <w:rPr>
          <w:rFonts w:ascii="Arial" w:eastAsia="Arial" w:hAnsi="Arial" w:cs="Arial"/>
          <w:color w:val="222222"/>
          <w:sz w:val="22"/>
          <w:szCs w:val="22"/>
        </w:rPr>
        <w:t>25 year</w:t>
      </w:r>
      <w:proofErr w:type="gramEnd"/>
      <w:r>
        <w:rPr>
          <w:rFonts w:ascii="Arial" w:eastAsia="Arial" w:hAnsi="Arial" w:cs="Arial"/>
          <w:color w:val="222222"/>
          <w:sz w:val="22"/>
          <w:szCs w:val="22"/>
        </w:rPr>
        <w:t xml:space="preserve"> sample defined by steady structural decline in two key variables and somewhat correlated cyclical variables.  There’s certainly risk that we have found a statistical artifact in the lead/lag tests, although the mechanism is plausible.  Worker security does show </w:t>
      </w:r>
      <w:proofErr w:type="gramStart"/>
      <w:r>
        <w:rPr>
          <w:rFonts w:ascii="Arial" w:eastAsia="Arial" w:hAnsi="Arial" w:cs="Arial"/>
          <w:color w:val="222222"/>
          <w:sz w:val="22"/>
          <w:szCs w:val="22"/>
        </w:rPr>
        <w:t>deterioration</w:t>
      </w:r>
      <w:proofErr w:type="gramEnd"/>
      <w:r>
        <w:rPr>
          <w:rFonts w:ascii="Arial" w:eastAsia="Arial" w:hAnsi="Arial" w:cs="Arial"/>
          <w:color w:val="222222"/>
          <w:sz w:val="22"/>
          <w:szCs w:val="22"/>
        </w:rPr>
        <w:t xml:space="preserve"> and workers should feel this deterioration even before it shows up on sentiment surveys.  Most importantly, the index does appear to have some explanatory power that is not captured in existing macro headlines.  </w:t>
      </w:r>
    </w:p>
    <w:p w14:paraId="3A5F8ACE" w14:textId="7F765EA1" w:rsidR="009524AE" w:rsidRDefault="009524AE" w:rsidP="00AC47AB">
      <w:pPr>
        <w:pStyle w:val="ListParagraph"/>
        <w:numPr>
          <w:ilvl w:val="0"/>
          <w:numId w:val="2"/>
        </w:numPr>
        <w:spacing w:after="160"/>
        <w:jc w:val="both"/>
        <w:rPr>
          <w:rFonts w:ascii="Arial" w:eastAsia="Arial" w:hAnsi="Arial" w:cs="Arial"/>
          <w:color w:val="222222"/>
          <w:sz w:val="22"/>
          <w:szCs w:val="22"/>
        </w:rPr>
      </w:pPr>
      <w:r w:rsidRPr="00AC47AB">
        <w:rPr>
          <w:rFonts w:ascii="Arial" w:eastAsia="Arial" w:hAnsi="Arial" w:cs="Arial"/>
          <w:color w:val="222222"/>
          <w:sz w:val="22"/>
          <w:szCs w:val="22"/>
        </w:rPr>
        <w:t>Additional work should be done to consider other data sources that may have less correlation with unemployment</w:t>
      </w:r>
      <w:r w:rsidR="00AC47AB" w:rsidRPr="00AC47AB">
        <w:rPr>
          <w:rFonts w:ascii="Arial" w:eastAsia="Arial" w:hAnsi="Arial" w:cs="Arial"/>
          <w:color w:val="222222"/>
          <w:sz w:val="22"/>
          <w:szCs w:val="22"/>
        </w:rPr>
        <w:t xml:space="preserve">.  </w:t>
      </w:r>
      <w:r w:rsidR="00AC47AB">
        <w:rPr>
          <w:rFonts w:ascii="Arial" w:eastAsia="Arial" w:hAnsi="Arial" w:cs="Arial"/>
          <w:color w:val="222222"/>
          <w:sz w:val="22"/>
          <w:szCs w:val="22"/>
        </w:rPr>
        <w:t xml:space="preserve">For example, the role of defined benefit pensions, health care costs, or other measures of affordability could be included or compared.  Those measures may touch on economic security dynamics that are only partially overlapping with this job security measure.  </w:t>
      </w:r>
    </w:p>
    <w:p w14:paraId="10F0E620" w14:textId="4B8D8629" w:rsidR="00AC47AB" w:rsidRDefault="00AC47AB" w:rsidP="00AC47AB">
      <w:pPr>
        <w:pStyle w:val="ListParagraph"/>
        <w:numPr>
          <w:ilvl w:val="0"/>
          <w:numId w:val="2"/>
        </w:numPr>
        <w:spacing w:after="160"/>
        <w:jc w:val="both"/>
        <w:rPr>
          <w:rFonts w:ascii="Arial" w:eastAsia="Arial" w:hAnsi="Arial" w:cs="Arial"/>
          <w:color w:val="222222"/>
          <w:sz w:val="22"/>
          <w:szCs w:val="22"/>
        </w:rPr>
      </w:pPr>
      <w:r>
        <w:rPr>
          <w:rFonts w:ascii="Arial" w:eastAsia="Arial" w:hAnsi="Arial" w:cs="Arial"/>
          <w:color w:val="222222"/>
          <w:sz w:val="22"/>
          <w:szCs w:val="22"/>
        </w:rPr>
        <w:t xml:space="preserve">The sign of the JOLTS data elements could be contested.  Low labor turnover will naturally increase worker tenure, but the current labor market data dynamics suggest that low quits and low openings are signs of weakness.  </w:t>
      </w:r>
    </w:p>
    <w:p w14:paraId="0CD202D3" w14:textId="43AB0BF1" w:rsidR="00AC47AB" w:rsidRPr="00AC47AB" w:rsidRDefault="00AC47AB" w:rsidP="00AC47AB">
      <w:pPr>
        <w:pStyle w:val="ListParagraph"/>
        <w:numPr>
          <w:ilvl w:val="0"/>
          <w:numId w:val="2"/>
        </w:numPr>
        <w:spacing w:after="160"/>
        <w:jc w:val="both"/>
        <w:rPr>
          <w:rFonts w:ascii="Arial" w:eastAsia="Arial" w:hAnsi="Arial" w:cs="Arial"/>
          <w:color w:val="222222"/>
          <w:sz w:val="22"/>
          <w:szCs w:val="22"/>
        </w:rPr>
      </w:pPr>
      <w:r>
        <w:rPr>
          <w:rFonts w:ascii="Arial" w:eastAsia="Arial" w:hAnsi="Arial" w:cs="Arial"/>
          <w:color w:val="222222"/>
          <w:sz w:val="22"/>
          <w:szCs w:val="22"/>
        </w:rPr>
        <w:t xml:space="preserve">The ultimate goal with this index would be to measure job security in a manner that could be policy-relevant, but the mix of structural interpolation and quarterly cyclical components may be muddying the picture rather than clarifying. </w:t>
      </w:r>
    </w:p>
    <w:p w14:paraId="074348D6" w14:textId="77777777" w:rsidR="00165024" w:rsidRDefault="00165024">
      <w:pPr>
        <w:pBdr>
          <w:bottom w:val="single" w:sz="6" w:space="1" w:color="BDD0E9"/>
        </w:pBdr>
        <w:spacing w:after="160"/>
      </w:pPr>
    </w:p>
    <w:p w14:paraId="3B4DFC21" w14:textId="77777777" w:rsidR="00165024" w:rsidRDefault="00000000">
      <w:pPr>
        <w:spacing w:before="80"/>
        <w:jc w:val="center"/>
      </w:pPr>
      <w:r>
        <w:rPr>
          <w:rFonts w:ascii="Arial" w:eastAsia="Arial" w:hAnsi="Arial" w:cs="Arial"/>
          <w:i/>
          <w:iCs/>
          <w:color w:val="999999"/>
          <w:sz w:val="18"/>
          <w:szCs w:val="18"/>
        </w:rPr>
        <w:t>All findings are preliminary. This note is prepared for discussion purposes only.</w:t>
      </w:r>
    </w:p>
    <w:sectPr w:rsidR="0016502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ADDB9" w14:textId="77777777" w:rsidR="00633F3E" w:rsidRDefault="00633F3E">
      <w:r>
        <w:separator/>
      </w:r>
    </w:p>
  </w:endnote>
  <w:endnote w:type="continuationSeparator" w:id="0">
    <w:p w14:paraId="570D29C6" w14:textId="77777777" w:rsidR="00633F3E" w:rsidRDefault="0063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FB434" w14:textId="77777777" w:rsidR="00165024" w:rsidRDefault="00000000">
    <w:pPr>
      <w:pBdr>
        <w:top w:val="single" w:sz="2" w:space="4" w:color="BDD0E9"/>
      </w:pBdr>
      <w:tabs>
        <w:tab w:val="right" w:pos="9026"/>
      </w:tabs>
      <w:spacing w:before="120"/>
    </w:pPr>
    <w:r>
      <w:rPr>
        <w:rFonts w:ascii="Arial" w:eastAsia="Arial" w:hAnsi="Arial" w:cs="Arial"/>
        <w:color w:val="888888"/>
        <w:sz w:val="16"/>
        <w:szCs w:val="16"/>
      </w:rPr>
      <w:t>Data: BLS &amp; FRED (public). Code: github.com/</w:t>
    </w:r>
    <w:proofErr w:type="spellStart"/>
    <w:r>
      <w:rPr>
        <w:rFonts w:ascii="Arial" w:eastAsia="Arial" w:hAnsi="Arial" w:cs="Arial"/>
        <w:color w:val="888888"/>
        <w:sz w:val="16"/>
        <w:szCs w:val="16"/>
      </w:rPr>
      <w:t>amiasmg</w:t>
    </w:r>
    <w:proofErr w:type="spellEnd"/>
    <w:r>
      <w:rPr>
        <w:rFonts w:ascii="Arial" w:eastAsia="Arial" w:hAnsi="Arial" w:cs="Arial"/>
        <w:color w:val="888888"/>
        <w:sz w:val="16"/>
        <w:szCs w:val="16"/>
      </w:rPr>
      <w:t>/worker-job-security-index   April 2026</w:t>
    </w:r>
    <w:r>
      <w:rPr>
        <w:rFonts w:ascii="Arial" w:eastAsia="Arial" w:hAnsi="Arial" w:cs="Arial"/>
        <w:color w:val="888888"/>
        <w:sz w:val="16"/>
        <w:szCs w:val="16"/>
      </w:rPr>
      <w:tab/>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9F38D3">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51A71" w14:textId="77777777" w:rsidR="00633F3E" w:rsidRDefault="00633F3E">
      <w:r>
        <w:separator/>
      </w:r>
    </w:p>
  </w:footnote>
  <w:footnote w:type="continuationSeparator" w:id="0">
    <w:p w14:paraId="034A69D5" w14:textId="77777777" w:rsidR="00633F3E" w:rsidRDefault="00633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EF08" w14:textId="77777777" w:rsidR="00165024" w:rsidRDefault="00000000">
    <w:pPr>
      <w:pBdr>
        <w:bottom w:val="single" w:sz="4" w:space="4" w:color="1F3864"/>
      </w:pBdr>
      <w:tabs>
        <w:tab w:val="right" w:pos="9026"/>
      </w:tabs>
      <w:spacing w:after="120"/>
    </w:pPr>
    <w:r>
      <w:rPr>
        <w:rFonts w:ascii="Arial" w:eastAsia="Arial" w:hAnsi="Arial" w:cs="Arial"/>
        <w:b/>
        <w:bCs/>
        <w:color w:val="1F3864"/>
        <w:sz w:val="18"/>
        <w:szCs w:val="18"/>
      </w:rPr>
      <w:t>WORKER JOB SECURITY INDEX</w:t>
    </w:r>
    <w:r>
      <w:rPr>
        <w:rFonts w:ascii="Arial" w:eastAsia="Arial" w:hAnsi="Arial" w:cs="Arial"/>
        <w:color w:val="44546A"/>
        <w:sz w:val="18"/>
        <w:szCs w:val="18"/>
      </w:rPr>
      <w:tab/>
      <w:t>PRELIMINARY — FOR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590"/>
    <w:multiLevelType w:val="hybridMultilevel"/>
    <w:tmpl w:val="3A2638B8"/>
    <w:lvl w:ilvl="0" w:tplc="1E82D678">
      <w:start w:val="5"/>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355C40"/>
    <w:multiLevelType w:val="hybridMultilevel"/>
    <w:tmpl w:val="C09463C6"/>
    <w:lvl w:ilvl="0" w:tplc="17463A56">
      <w:start w:val="1"/>
      <w:numFmt w:val="bullet"/>
      <w:lvlText w:val="●"/>
      <w:lvlJc w:val="left"/>
      <w:pPr>
        <w:ind w:left="720" w:hanging="360"/>
      </w:pPr>
    </w:lvl>
    <w:lvl w:ilvl="1" w:tplc="3E5A4E3C">
      <w:start w:val="1"/>
      <w:numFmt w:val="bullet"/>
      <w:lvlText w:val="○"/>
      <w:lvlJc w:val="left"/>
      <w:pPr>
        <w:ind w:left="1440" w:hanging="360"/>
      </w:pPr>
    </w:lvl>
    <w:lvl w:ilvl="2" w:tplc="E2CE7A3E">
      <w:start w:val="1"/>
      <w:numFmt w:val="bullet"/>
      <w:lvlText w:val="■"/>
      <w:lvlJc w:val="left"/>
      <w:pPr>
        <w:ind w:left="2160" w:hanging="360"/>
      </w:pPr>
    </w:lvl>
    <w:lvl w:ilvl="3" w:tplc="2FFE9DF2">
      <w:start w:val="1"/>
      <w:numFmt w:val="bullet"/>
      <w:lvlText w:val="●"/>
      <w:lvlJc w:val="left"/>
      <w:pPr>
        <w:ind w:left="2880" w:hanging="360"/>
      </w:pPr>
    </w:lvl>
    <w:lvl w:ilvl="4" w:tplc="F244BE10">
      <w:start w:val="1"/>
      <w:numFmt w:val="bullet"/>
      <w:lvlText w:val="○"/>
      <w:lvlJc w:val="left"/>
      <w:pPr>
        <w:ind w:left="3600" w:hanging="360"/>
      </w:pPr>
    </w:lvl>
    <w:lvl w:ilvl="5" w:tplc="1396A20A">
      <w:start w:val="1"/>
      <w:numFmt w:val="bullet"/>
      <w:lvlText w:val="■"/>
      <w:lvlJc w:val="left"/>
      <w:pPr>
        <w:ind w:left="4320" w:hanging="360"/>
      </w:pPr>
    </w:lvl>
    <w:lvl w:ilvl="6" w:tplc="FAD2ED90">
      <w:start w:val="1"/>
      <w:numFmt w:val="bullet"/>
      <w:lvlText w:val="●"/>
      <w:lvlJc w:val="left"/>
      <w:pPr>
        <w:ind w:left="5040" w:hanging="360"/>
      </w:pPr>
    </w:lvl>
    <w:lvl w:ilvl="7" w:tplc="2B76AED0">
      <w:start w:val="1"/>
      <w:numFmt w:val="bullet"/>
      <w:lvlText w:val="●"/>
      <w:lvlJc w:val="left"/>
      <w:pPr>
        <w:ind w:left="5760" w:hanging="360"/>
      </w:pPr>
    </w:lvl>
    <w:lvl w:ilvl="8" w:tplc="F920DB60">
      <w:start w:val="1"/>
      <w:numFmt w:val="bullet"/>
      <w:lvlText w:val="●"/>
      <w:lvlJc w:val="left"/>
      <w:pPr>
        <w:ind w:left="6480" w:hanging="360"/>
      </w:pPr>
    </w:lvl>
  </w:abstractNum>
  <w:num w:numId="1" w16cid:durableId="1495409701">
    <w:abstractNumId w:val="1"/>
    <w:lvlOverride w:ilvl="0">
      <w:startOverride w:val="1"/>
    </w:lvlOverride>
  </w:num>
  <w:num w:numId="2" w16cid:durableId="42020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024"/>
    <w:rsid w:val="00165024"/>
    <w:rsid w:val="00633F3E"/>
    <w:rsid w:val="009524AE"/>
    <w:rsid w:val="009F38D3"/>
    <w:rsid w:val="00AC47AB"/>
    <w:rsid w:val="00C4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871A2D"/>
  <w15:docId w15:val="{7B141B7A-46BD-2B4C-AE57-E2386FA1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1663</Words>
  <Characters>9230</Characters>
  <Application>Microsoft Office Word</Application>
  <DocSecurity>0</DocSecurity>
  <Lines>219</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Amias Gerety</cp:lastModifiedBy>
  <cp:revision>2</cp:revision>
  <dcterms:created xsi:type="dcterms:W3CDTF">2026-04-24T16:30:00Z</dcterms:created>
  <dcterms:modified xsi:type="dcterms:W3CDTF">2026-04-24T16:56:00Z</dcterms:modified>
</cp:coreProperties>
</file>