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t xml:space="preserve">Land-use competition between food production and renewable energy deployment is a major challenge in semi-arid regions. This study develops a coupled six-model optimization framework for bifacial agrivoltaic (APV) systems integrated with on-farm anaerobic digestion (AD) across four climate zones — Konya (BSk), Almería (BSh), Ouagadougou (BSh), and Freiburg (Cfb) — using hourly PVGIS-SARAH3 data. Six design variables are jointly optimized with Differential Evolution to maximize a proposed three-component extended Land Equivalent Ratio (eLER), defined as the sum of crop, photovoltaic, and biogas land-equivalent terms. Optimized eLER values range from 1.641 to 1.764, while the agrivoltaic two-component LER alone remains above unity (1.030–1.088), confirming that the APV system outperforms separate monocultures even before biogas valorization. Within the present model and tomato parameterization, Freiburg achieves the highest eLER despite having the lowest solar resource, due to crop PAR saturation at higher-irradiance sites. The optimizer converges to the minimum feasible row-spacing bound at all sites. A 4E analysis shows PV yields of 1</w:t>
      </w:r>
      <w:r>
        <w:t xml:space="preserve">,</w:t>
      </w:r>
      <w:r>
        <w:t xml:space="preserve">002–1</w:t>
      </w:r>
      <w:r>
        <w:t xml:space="preserve">,</w:t>
      </w:r>
      <w:r>
        <w:t xml:space="preserve">433 MWh ha</w:t>
      </w:r>
      <m:oMath>
        <m:sSup>
          <m:e>
            <m:r>
              <m:t>​</m:t>
            </m:r>
          </m:e>
          <m:sup>
            <m:r>
              <m:rPr>
                <m:sty m:val="p"/>
              </m:rPr>
              <m:t>−</m:t>
            </m:r>
            <m:r>
              <m:t>1</m:t>
            </m:r>
          </m:sup>
        </m:sSup>
      </m:oMath>
      <w:r>
        <w:t xml:space="preserve">, net present values of 134 k $–802 k $, and internal rates of return of 11.0 %–28.1 % under the baseline scenario, rising to 12.7 %–29.9 % under a carbon-credit scenario. Growing-season water savings of 81 mm–159 mm correspond to 15.6 %–22.4 % of seasonal evapotranspiration demand. All results are model-based and cross-validated against independent literature datasets and an external solar-modelling library; the integrated APV–AD system has not yet been field-demonstrated.</w:t>
      </w:r>
    </w:p>
    <w:p>
      <w:pPr>
        <w:pStyle w:val="Abstract"/>
      </w:pPr>
      <w:r>
        <w:rPr>
          <w:b/>
          <w:bCs/>
        </w:rPr>
        <w:t xml:space="preserve">Keywords:</w:t>
      </w:r>
      <w:r>
        <w:t xml:space="preserve"> </w:t>
      </w:r>
      <w:r>
        <w:t xml:space="preserve">agrivoltaics; anaerobic digestion; extended</w:t>
      </w:r>
      <w:r>
        <w:t xml:space="preserve"> </w:t>
      </w:r>
      <w:r>
        <w:t xml:space="preserve">land equivalent ratio; food–energy–water nexus; differential evolution;</w:t>
      </w:r>
      <w:r>
        <w:t xml:space="preserve"> </w:t>
      </w:r>
      <w:r>
        <w:t xml:space="preserve">semi-arid climate; PAR saturation; 4E analysis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2026-08-06T11:51:56Z</dcterms:created>
  <dcterms:modified xsi:type="dcterms:W3CDTF">2026-08-06T11:51:56Z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Land-use competition between food production and renewable energy deployment is a major challenge in semi-arid regions. This study develops a coupled six-model optimization framework for bifacial agrivoltaic (APV) systems integrated with on-farm anaerobic digestion (AD) across four climate zones — Konya (BSk), Almería (BSh), Ouagadougou (BSh), and Freiburg (Cfb) — using hourly PVGIS-SARAH3 data. Six design variables are jointly optimized with Differential Evolution to maximize a proposed three-component extended Land Equivalent Ratio (eLER), defined as the sum of crop, photovoltaic, and biogas land-equivalent terms. Optimized eLER values range from 1.641 to 1.764, while the agrivoltaic two-component LER alone remains above unity (1.030–1.088), confirming that the APV system outperforms separate monocultures even before biogas valorization. Within the present model and tomato parameterization, Freiburg achieves the highest eLER despite having the lowest solar resource, due to crop PAR saturation at higher-irradiance sites. The optimizer converges to the minimum feasible row-spacing bound at all sites. A 4E analysis shows PV yields of 1,002–1,433 MWh ha^{-1}, net present values of 134 k $–802 k $, and internal rates of return of 11.0 %–28.1 % under the baseline scenario, rising to 12.7 %–29.9 % under a carbon-credit scenario. Growing-season water savings of 81 mm–159 mm correspond to 15.6 %–22.4 % of seasonal evapotranspiration demand. All results are model-based and cross-validated against independent literature datasets and an external solar-modelling library; the integrated APV–AD system has not yet been field-demonstrated.Keywords: agrivoltaics; anaerobic digestion; extended land equivalent ratio; food–energy–water nexus; differential evolution; semi-arid climate; PAR saturation; 4E analysis</vt:lpwstr>
  </property>
</Properties>
</file>