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sec:intro"/>
    <w:p>
      <w:pPr>
        <w:pStyle w:val="Heading1"/>
      </w:pPr>
      <w:r>
        <w:t xml:space="preserve">Introduction</w:t>
      </w:r>
    </w:p>
    <w:bookmarkStart w:id="9" w:name="X2a77caf74e8e09bff15c82fa51bf825239eff5b"/>
    <w:p>
      <w:pPr>
        <w:pStyle w:val="Heading2"/>
      </w:pPr>
      <w:r>
        <w:t xml:space="preserve">The Global Challenge: Food, Energy, and Water Under Climate Pressure</w:t>
      </w:r>
    </w:p>
    <w:p>
      <w:pPr>
        <w:pStyle w:val="FirstParagraph"/>
      </w:pPr>
      <w:r>
        <w:t xml:space="preserve">By 2050, global food production must increase by approximately</w:t>
      </w:r>
      <w:r>
        <w:t xml:space="preserve"> </w:t>
      </w:r>
      <w:r>
        <w:t xml:space="preserve">50% to feed a projected population of nearly ten billion, while freshwater</w:t>
      </w:r>
      <w:r>
        <w:t xml:space="preserve"> </w:t>
      </w:r>
      <w:r>
        <w:t xml:space="preserve">withdrawals for agriculture — already accounting for 70% of the world’s</w:t>
      </w:r>
      <w:r>
        <w:t xml:space="preserve"> </w:t>
      </w:r>
      <w:r>
        <w:t xml:space="preserve">accessible surface water — are expected to intensify</w:t>
      </w:r>
      <w:r>
        <w:t xml:space="preserve"> </w:t>
      </w:r>
      <w:r>
        <w:t xml:space="preserve">further </w:t>
      </w:r>
      <w:r>
        <w:t xml:space="preserve">. In semi-arid and arid regions, which</w:t>
      </w:r>
      <w:r>
        <w:t xml:space="preserve"> </w:t>
      </w:r>
      <w:r>
        <w:t xml:space="preserve">host some of the fastest-growing populations on Earth, this pressure is</w:t>
      </w:r>
      <w:r>
        <w:t xml:space="preserve"> </w:t>
      </w:r>
      <w:r>
        <w:t xml:space="preserve">compounded by a pre-existing structural deficit: annual potential</w:t>
      </w:r>
      <w:r>
        <w:t xml:space="preserve"> </w:t>
      </w:r>
      <w:r>
        <w:t xml:space="preserve">evapotranspiration exceeds precipitation, making every millimetre of saved</w:t>
      </w:r>
      <w:r>
        <w:t xml:space="preserve"> </w:t>
      </w:r>
      <w:r>
        <w:t xml:space="preserve">irrigation water both economically and ecologically significant.</w:t>
      </w:r>
    </w:p>
    <w:p>
      <w:pPr>
        <w:pStyle w:val="BodyText"/>
      </w:pPr>
      <w:r>
        <w:t xml:space="preserve">At the same time, the global energy transition is accelerating the</w:t>
      </w:r>
      <w:r>
        <w:t xml:space="preserve"> </w:t>
      </w:r>
      <w:r>
        <w:t xml:space="preserve">deployment of ground-mounted solar photovoltaic (PV) installations.</w:t>
      </w:r>
      <w:r>
        <w:t xml:space="preserve"> </w:t>
      </w:r>
      <w:r>
        <w:t xml:space="preserve">Solar PV has become the least-cost source of new electricity generation</w:t>
      </w:r>
      <w:r>
        <w:t xml:space="preserve"> </w:t>
      </w:r>
      <w:r>
        <w:t xml:space="preserve">across large parts of the semi-arid belt — from Southern Europe and the</w:t>
      </w:r>
      <w:r>
        <w:t xml:space="preserve"> </w:t>
      </w:r>
      <w:r>
        <w:t xml:space="preserve">Middle East to Sub-Saharan Africa and Central Asia </w:t>
      </w:r>
      <w:r>
        <w:t xml:space="preserve">.</w:t>
      </w:r>
      <w:r>
        <w:t xml:space="preserve"> </w:t>
      </w:r>
      <w:r>
        <w:t xml:space="preserve">However, ground-mounted installations require productive agricultural land,</w:t>
      </w:r>
      <w:r>
        <w:t xml:space="preserve"> </w:t>
      </w:r>
      <w:r>
        <w:t xml:space="preserve">and the spatial overlap between high-irradiance zones and high-value</w:t>
      </w:r>
      <w:r>
        <w:t xml:space="preserve"> </w:t>
      </w:r>
      <w:r>
        <w:t xml:space="preserve">irrigated cropland is not coincidental: both are concentrated in the</w:t>
      </w:r>
      <w:r>
        <w:t xml:space="preserve"> </w:t>
      </w:r>
      <w:r>
        <w:t xml:space="preserve">same semi-arid river basins and coastal plains </w:t>
      </w:r>
      <w:r>
        <w:t xml:space="preserve">. The result is a land-use conflict that threatens to replace</w:t>
      </w:r>
      <w:r>
        <w:t xml:space="preserve"> </w:t>
      </w:r>
      <w:r>
        <w:t xml:space="preserve">one resource challenge with another.</w:t>
      </w:r>
    </w:p>
    <w:bookmarkEnd w:id="9"/>
    <w:bookmarkStart w:id="10" w:name="X56c5348f9bed4dbff8ca3636e81e2a1f291f01a"/>
    <w:p>
      <w:pPr>
        <w:pStyle w:val="Heading2"/>
      </w:pPr>
      <w:r>
        <w:t xml:space="preserve">Agrivoltaics: Dissolving the Land-Use Conflict</w:t>
      </w:r>
    </w:p>
    <w:p>
      <w:pPr>
        <w:pStyle w:val="FirstParagraph"/>
      </w:pPr>
      <w:r>
        <w:t xml:space="preserve">Agrivoltaics — the deliberate co-location of photovoltaic</w:t>
      </w:r>
      <w:r>
        <w:t xml:space="preserve"> </w:t>
      </w:r>
      <w:r>
        <w:t xml:space="preserve">modules and agricultural crops on the same land parcel — was proposed</w:t>
      </w:r>
      <w:r>
        <w:t xml:space="preserve"> </w:t>
      </w:r>
      <w:r>
        <w:t xml:space="preserve">precisely to dissolve this tension. Conceived by</w:t>
      </w:r>
      <w:r>
        <w:t xml:space="preserve"> </w:t>
      </w:r>
      <w:r>
        <w:t xml:space="preserve"> </w:t>
      </w:r>
      <w:r>
        <w:t xml:space="preserve">and experimentally validated by</w:t>
      </w:r>
      <w:r>
        <w:t xml:space="preserve"> </w:t>
      </w:r>
      <w:r>
        <w:t xml:space="preserve">, the approach rests on</w:t>
      </w:r>
      <w:r>
        <w:t xml:space="preserve"> </w:t>
      </w:r>
      <w:r>
        <w:t xml:space="preserve">the observation that partial shade from elevated PV panels can simultaneously</w:t>
      </w:r>
      <w:r>
        <w:t xml:space="preserve"> </w:t>
      </w:r>
      <w:r>
        <w:t xml:space="preserve">generate electricity, reduce crop heat stress, curb soil moisture evaporation,</w:t>
      </w:r>
      <w:r>
        <w:t xml:space="preserve"> </w:t>
      </w:r>
      <w:r>
        <w:t xml:space="preserve">and increase water-use efficiency for a wide range of</w:t>
      </w:r>
      <w:r>
        <w:t xml:space="preserve"> </w:t>
      </w:r>
      <w:r>
        <w:t xml:space="preserve">species </w:t>
      </w:r>
      <w:r>
        <w:t xml:space="preserve">.</w:t>
      </w:r>
    </w:p>
    <w:p>
      <w:pPr>
        <w:pStyle w:val="BodyText"/>
      </w:pPr>
      <w:r>
        <w:t xml:space="preserve">The standard metric for quantifying this dual benefit is the Land Equivalent</w:t>
      </w:r>
      <w:r>
        <w:t xml:space="preserve"> </w:t>
      </w:r>
      <w:r>
        <w:t xml:space="preserve">Ratio (LER), which measures how much land under separate monocultures would</w:t>
      </w:r>
      <w:r>
        <w:t xml:space="preserve"> </w:t>
      </w:r>
      <w:r>
        <w:t xml:space="preserve">be required to produce the same combined output as an integrated</w:t>
      </w:r>
      <w:r>
        <w:t xml:space="preserve"> </w:t>
      </w:r>
      <w:r>
        <w:t xml:space="preserve">system </w:t>
      </w:r>
      <w:r>
        <w:t xml:space="preserve">. Published agrivoltaic LER values range from 1.2 to</w:t>
      </w:r>
      <w:r>
        <w:t xml:space="preserve"> </w:t>
      </w:r>
      <w:r>
        <w:t xml:space="preserve">1.94, with the highest values consistently associated with bifacial modules,</w:t>
      </w:r>
      <w:r>
        <w:t xml:space="preserve"> </w:t>
      </w:r>
      <w:r>
        <w:t xml:space="preserve">crop-specific panel geometry, and shade-tolerant</w:t>
      </w:r>
      <w:r>
        <w:t xml:space="preserve"> </w:t>
      </w:r>
      <w:r>
        <w:t xml:space="preserve">species </w:t>
      </w:r>
      <w:r>
        <w:t xml:space="preserve">. A two-component LER of 1.94 means</w:t>
      </w:r>
      <w:r>
        <w:t xml:space="preserve"> </w:t>
      </w:r>
      <w:r>
        <w:t xml:space="preserve">the integrated system uses land 94% more efficiently than two separate</w:t>
      </w:r>
      <w:r>
        <w:t xml:space="preserve"> </w:t>
      </w:r>
      <w:r>
        <w:t xml:space="preserve">operations.</w:t>
      </w:r>
    </w:p>
    <w:p>
      <w:pPr>
        <w:pStyle w:val="BodyText"/>
      </w:pPr>
      <w:r>
        <w:t xml:space="preserve">Despite this progress, agrivoltaic research has a systematic blind spot:</w:t>
      </w:r>
      <w:r>
        <w:t xml:space="preserve"> </w:t>
      </w:r>
      <w:r>
        <w:t xml:space="preserve">the organic residue stream. In a typical tomato production system, crop</w:t>
      </w:r>
      <w:r>
        <w:t xml:space="preserve"> </w:t>
      </w:r>
      <w:r>
        <w:t xml:space="preserve">residues — stems, leaves, non-marketable fruit — amount to approximately</w:t>
      </w:r>
      <w:r>
        <w:t xml:space="preserve"> </w:t>
      </w:r>
      <w:r>
        <w:t xml:space="preserve">80% of the harvested fresh mass </w:t>
      </w:r>
      <w:r>
        <w:t xml:space="preserve">. When returned to the</w:t>
      </w:r>
      <w:r>
        <w:t xml:space="preserve"> </w:t>
      </w:r>
      <w:r>
        <w:t xml:space="preserve">soil, this biomass undergoes aerobic decomposition that can release methane</w:t>
      </w:r>
      <w:r>
        <w:t xml:space="preserve"> </w:t>
      </w:r>
      <w:r>
        <w:t xml:space="preserve">and nitrous oxide. When combusted, the embodied energy is lost. Neither</w:t>
      </w:r>
      <w:r>
        <w:t xml:space="preserve"> </w:t>
      </w:r>
      <w:r>
        <w:t xml:space="preserve">outcome is consistent with the circular economy ambitions that motivate</w:t>
      </w:r>
      <w:r>
        <w:t xml:space="preserve"> </w:t>
      </w:r>
      <w:r>
        <w:t xml:space="preserve">agrivoltaic deployment in the first place.</w:t>
      </w:r>
    </w:p>
    <w:bookmarkEnd w:id="10"/>
    <w:bookmarkStart w:id="11" w:name="X013897bd45d0a4cdc6e10403db784a52ec23218"/>
    <w:p>
      <w:pPr>
        <w:pStyle w:val="Heading2"/>
      </w:pPr>
      <w:r>
        <w:t xml:space="preserve">Anaerobic Digestion: Closing the Residue Loop</w:t>
      </w:r>
    </w:p>
    <w:p>
      <w:pPr>
        <w:pStyle w:val="FirstParagraph"/>
      </w:pPr>
      <w:r>
        <w:t xml:space="preserve">Anaerobic digestion (AD) converts organic biomass into biogas</w:t>
      </w:r>
      <w:r>
        <w:t xml:space="preserve"> </w:t>
      </w:r>
      <w:r>
        <w:t xml:space="preserve">and digestate, a nutrient-rich bio-fertilizer. For agricultural systems,</w:t>
      </w:r>
      <w:r>
        <w:t xml:space="preserve"> </w:t>
      </w:r>
      <w:r>
        <w:t xml:space="preserve">on-farm AD offers three interconnected benefits: it valorizes residues that</w:t>
      </w:r>
      <w:r>
        <w:t xml:space="preserve"> </w:t>
      </w:r>
      <w:r>
        <w:t xml:space="preserve">would otherwise be wasted, provides dispatchable energy that can offset grid</w:t>
      </w:r>
      <w:r>
        <w:t xml:space="preserve"> </w:t>
      </w:r>
      <w:r>
        <w:t xml:space="preserve">imports, and returns nitrogen, phosphorus, and potassium to the soil in</w:t>
      </w:r>
      <w:r>
        <w:t xml:space="preserve"> </w:t>
      </w:r>
      <w:r>
        <w:t xml:space="preserve">plant-available form </w:t>
      </w:r>
      <w:r>
        <w:t xml:space="preserve">.</w:t>
      </w:r>
    </w:p>
    <w:p>
      <w:pPr>
        <w:pStyle w:val="BodyText"/>
      </w:pPr>
      <w:r>
        <w:t xml:space="preserve">The strategic importance of agricultural biomethane is substantial.</w:t>
      </w:r>
      <w:r>
        <w:t xml:space="preserve"> </w:t>
      </w:r>
      <w:r>
        <w:t xml:space="preserve">The EU REPowerEU Plan targets 35 billion 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of sustainable biomethane</w:t>
      </w:r>
      <w:r>
        <w:t xml:space="preserve"> </w:t>
      </w:r>
      <w:r>
        <w:t xml:space="preserve">per year by 2030 </w:t>
      </w:r>
      <w:r>
        <w:t xml:space="preserve">, and Germany’s EEG 2023 and the EU RED III</w:t>
      </w:r>
      <w:r>
        <w:t xml:space="preserve"> </w:t>
      </w:r>
      <w:r>
        <w:t xml:space="preserve">provide feed-in premiums where biomethane commands approximately 5.5 times</w:t>
      </w:r>
      <w:r>
        <w:t xml:space="preserve"> </w:t>
      </w:r>
      <w:r>
        <w:t xml:space="preserve">the electricity purchase price </w:t>
      </w:r>
      <w:r>
        <w:t xml:space="preserve">.</w:t>
      </w:r>
      <w:r>
        <w:t xml:space="preserve"> </w:t>
      </w:r>
      <w:r>
        <w:t xml:space="preserve">In Sub-Saharan Africa, biogas from agricultural residues provides an</w:t>
      </w:r>
      <w:r>
        <w:t xml:space="preserve"> </w:t>
      </w:r>
      <w:r>
        <w:t xml:space="preserve">alternative to imported LPG and diesel in the same farming communities</w:t>
      </w:r>
      <w:r>
        <w:t xml:space="preserve"> </w:t>
      </w:r>
      <w:r>
        <w:t xml:space="preserve">that stand to benefit most from agrivoltaics </w:t>
      </w:r>
      <w:r>
        <w:t xml:space="preserve">.</w:t>
      </w:r>
    </w:p>
    <w:p>
      <w:pPr>
        <w:pStyle w:val="BodyText"/>
      </w:pPr>
      <w:r>
        <w:t xml:space="preserve">A critical thermal challenge limits AD in temperate climates: maintaining</w:t>
      </w:r>
      <w:r>
        <w:t xml:space="preserve"> </w:t>
      </w:r>
      <w:r>
        <w:t xml:space="preserve">mesophilic conditions (35–40 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C) against winter ambient</w:t>
      </w:r>
      <w:r>
        <w:t xml:space="preserve"> </w:t>
      </w:r>
      <w:r>
        <w:t xml:space="preserve">temperatures below 0 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C requires a reliable heat supply.</w:t>
      </w:r>
      <w:r>
        <w:t xml:space="preserve"> </w:t>
      </w:r>
      <w:r>
        <w:t xml:space="preserve">Conventionally, up to 30% of biogas is combusted for self-heating,</w:t>
      </w:r>
      <w:r>
        <w:t xml:space="preserve"> </w:t>
      </w:r>
      <w:r>
        <w:t xml:space="preserve">reducing net energy yield </w:t>
      </w:r>
      <w:r>
        <w:t xml:space="preserve">. PV electricity, abundant</w:t>
      </w:r>
      <w:r>
        <w:t xml:space="preserve"> </w:t>
      </w:r>
      <w:r>
        <w:t xml:space="preserve">in summer when heating demand is lowest, is a natural complement to</w:t>
      </w:r>
      <w:r>
        <w:t xml:space="preserve"> </w:t>
      </w:r>
      <w:r>
        <w:t xml:space="preserve">this requirement.</w:t>
      </w:r>
    </w:p>
    <w:bookmarkEnd w:id="11"/>
    <w:bookmarkStart w:id="12" w:name="the-missing-integration-apv-meets-ad"/>
    <w:p>
      <w:pPr>
        <w:pStyle w:val="Heading2"/>
      </w:pPr>
      <w:r>
        <w:t xml:space="preserve">The Missing Integration: APV Meets AD</w:t>
      </w:r>
    </w:p>
    <w:p>
      <w:pPr>
        <w:pStyle w:val="FirstParagraph"/>
      </w:pPr>
      <w:r>
        <w:t xml:space="preserve">The co-location of agrivoltaics and anaerobic digestion is</w:t>
      </w:r>
      <w:r>
        <w:t xml:space="preserve"> </w:t>
      </w:r>
      <w:r>
        <w:t xml:space="preserve">logically compelling: APV produces electricity and shade; the crop produces</w:t>
      </w:r>
      <w:r>
        <w:t xml:space="preserve"> </w:t>
      </w:r>
      <w:r>
        <w:t xml:space="preserve">residues; the digester converts residues to biogas and digestate; digestate</w:t>
      </w:r>
      <w:r>
        <w:t xml:space="preserve"> </w:t>
      </w:r>
      <w:r>
        <w:t xml:space="preserve">fertilizes the crop. The AD footprint is small and can be sited beneath or</w:t>
      </w:r>
      <w:r>
        <w:t xml:space="preserve"> </w:t>
      </w:r>
      <w:r>
        <w:t xml:space="preserve">adjacent to the APV array at no additional land cost.</w:t>
      </w:r>
    </w:p>
    <w:p>
      <w:pPr>
        <w:pStyle w:val="BodyText"/>
      </w:pPr>
      <w:r>
        <w:t xml:space="preserve">Yet the two technologies have been studied in isolation. Agrivoltaic studies</w:t>
      </w:r>
      <w:r>
        <w:t xml:space="preserve"> </w:t>
      </w:r>
      <w:r>
        <w:t xml:space="preserve">focus on PV yield and crop PAR, ignoring the residue</w:t>
      </w:r>
      <w:r>
        <w:t xml:space="preserve"> </w:t>
      </w:r>
      <w:r>
        <w:t xml:space="preserve">stream </w:t>
      </w:r>
      <w:r>
        <w:t xml:space="preserve">. AD studies that include</w:t>
      </w:r>
      <w:r>
        <w:t xml:space="preserve"> </w:t>
      </w:r>
      <w:r>
        <w:t xml:space="preserve">a PV component treat the solar array as a generic electricity source without</w:t>
      </w:r>
      <w:r>
        <w:t xml:space="preserve"> </w:t>
      </w:r>
      <w:r>
        <w:t xml:space="preserve">modeling agrivoltaic geometry or crop yield</w:t>
      </w:r>
      <w:r>
        <w:t xml:space="preserve"> </w:t>
      </w:r>
      <w:r>
        <w:t xml:space="preserve">effects </w:t>
      </w:r>
      <w:r>
        <w:t xml:space="preserve">. One early study to couple APV and AD</w:t>
      </w:r>
      <w:r>
        <w:t xml:space="preserve"> </w:t>
      </w:r>
      <w:r>
        <w:t xml:space="preserve">optimization was</w:t>
      </w:r>
      <w:r>
        <w:t xml:space="preserve"> </w:t>
      </w:r>
      <w:r>
        <w:t xml:space="preserve">, limited to one Mediterranean site</w:t>
      </w:r>
      <w:r>
        <w:t xml:space="preserve"> </w:t>
      </w:r>
      <w:r>
        <w:t xml:space="preserve">without crop yield modeling or a land-use efficiency metric. The consequence</w:t>
      </w:r>
      <w:r>
        <w:t xml:space="preserve"> </w:t>
      </w:r>
      <w:r>
        <w:t xml:space="preserve">is a systematic gap: no unified metric captures all three land-use outputs,</w:t>
      </w:r>
      <w:r>
        <w:t xml:space="preserve"> </w:t>
      </w:r>
      <w:r>
        <w:t xml:space="preserve">no optimizer jointly searches both design spaces, and no multi-climate</w:t>
      </w:r>
      <w:r>
        <w:t xml:space="preserve"> </w:t>
      </w:r>
      <w:r>
        <w:t xml:space="preserve">comparison exists.</w:t>
      </w:r>
    </w:p>
    <w:bookmarkEnd w:id="12"/>
    <w:bookmarkStart w:id="13" w:name="research-gaps"/>
    <w:p>
      <w:pPr>
        <w:pStyle w:val="Heading2"/>
      </w:pPr>
      <w:r>
        <w:t xml:space="preserve">Research Gaps</w:t>
      </w:r>
    </w:p>
    <w:p>
      <w:pPr>
        <w:pStyle w:val="FirstParagraph"/>
      </w:pPr>
      <w:r>
        <w:t xml:space="preserve">Six specific knowledge gaps motivate this study: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No unified land-use metric for integrated APV–AD.</w:t>
      </w:r>
      <w:r>
        <w:t xml:space="preserve"> </w:t>
      </w:r>
      <w:r>
        <w:t xml:space="preserve">The classical two-component LER omits biogas energy. A three-component</w:t>
      </w:r>
      <w:r>
        <w:t xml:space="preserve"> </w:t>
      </w:r>
      <w:r>
        <w:t xml:space="preserve">metric is needed to capture the full multi-output land productivity.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No joint design optimization.</w:t>
      </w:r>
      <w:r>
        <w:t xml:space="preserve"> </w:t>
      </w:r>
      <w:r>
        <w:t xml:space="preserve">APV geometry and AD design are coupled through crop yield, residue</w:t>
      </w:r>
      <w:r>
        <w:t xml:space="preserve"> </w:t>
      </w:r>
      <w:r>
        <w:t xml:space="preserve">production, and digester heating. Separate optimization misses</w:t>
      </w:r>
      <w:r>
        <w:t xml:space="preserve"> </w:t>
      </w:r>
      <w:r>
        <w:t xml:space="preserve">cross-variable interactions that determine system-level efficiency.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No multi-climate comparative analysis.</w:t>
      </w:r>
      <w:r>
        <w:t xml:space="preserve"> </w:t>
      </w:r>
      <w:r>
        <w:t xml:space="preserve">The sensitivity of the APV–AD synergy to solar resource, temperature,</w:t>
      </w:r>
      <w:r>
        <w:t xml:space="preserve"> </w:t>
      </w:r>
      <w:r>
        <w:t xml:space="preserve">and growing-season length has not been systematically characterized</w:t>
      </w:r>
      <w:r>
        <w:t xml:space="preserve"> </w:t>
      </w:r>
      <w:r>
        <w:t xml:space="preserve">across contrasting climate zones.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No thermal coupling characterization across the</w:t>
      </w:r>
      <w:r>
        <w:rPr>
          <w:b/>
          <w:bCs/>
        </w:rPr>
        <w:t xml:space="preserve"> </w:t>
      </w:r>
      <w:r>
        <w:rPr>
          <w:b/>
          <w:bCs/>
        </w:rPr>
        <w:t xml:space="preserve">continental temperature range.</w:t>
      </w:r>
      <w:r>
        <w:t xml:space="preserve"> </w:t>
      </w:r>
      <w:r>
        <w:t xml:space="preserve">Arrhenius BMP suppression ranges from negligible (tropical semi-arid)</w:t>
      </w:r>
      <w:r>
        <w:t xml:space="preserve"> </w:t>
      </w:r>
      <w:r>
        <w:t xml:space="preserve">to severe (cold temperate). This variability has not been quantified</w:t>
      </w:r>
      <w:r>
        <w:t xml:space="preserve"> </w:t>
      </w:r>
      <w:r>
        <w:t xml:space="preserve">across a four-zone study.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No corrected water savings metric.</w:t>
      </w:r>
      <w:r>
        <w:t xml:space="preserve"> </w:t>
      </w:r>
      <w:r>
        <w:t xml:space="preserve">Prior studies report water savings as a fraction of annual ET</w:t>
      </w:r>
      <m:oMath>
        <m:sSub>
          <m:e>
            <m:r>
              <m:t>​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systematically underestimating the agronomic benefit by diluting</w:t>
      </w:r>
      <w:r>
        <w:t xml:space="preserve"> </w:t>
      </w:r>
      <w:r>
        <w:t xml:space="preserve">growing-season savings with off-season months.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No modelling of the AD-to-crop nutrient feedback.</w:t>
      </w:r>
      <w:r>
        <w:t xml:space="preserve"> </w:t>
      </w:r>
      <w:r>
        <w:t xml:space="preserve">The digestate-to-soil loop is absent from all existing agrivoltaic</w:t>
      </w:r>
      <w:r>
        <w:t xml:space="preserve"> </w:t>
      </w:r>
      <w:r>
        <w:t xml:space="preserve">studies, preventing a true circular economy assessment.</w:t>
      </w:r>
    </w:p>
    <w:p>
      <w:pPr>
        <w:pStyle w:val="FirstParagraph"/>
      </w:pPr>
      <w:r>
        <w:t xml:space="preserve">This paper addresses gaps G1–G5. Gap G6 is deferred to future</w:t>
      </w:r>
      <w:r>
        <w:t xml:space="preserve"> </w:t>
      </w:r>
      <w:r>
        <w:t xml:space="preserve">experimental work requiring multi-season field data from co-located</w:t>
      </w:r>
      <w:r>
        <w:t xml:space="preserve"> </w:t>
      </w:r>
      <w:r>
        <w:t xml:space="preserve">APV–AD installations.</w:t>
      </w:r>
    </w:p>
    <w:bookmarkEnd w:id="13"/>
    <w:bookmarkStart w:id="14" w:name="contributions-of-this-work"/>
    <w:p>
      <w:pPr>
        <w:pStyle w:val="Heading2"/>
      </w:pPr>
      <w:r>
        <w:t xml:space="preserve">Contributions of This Work</w:t>
      </w:r>
    </w:p>
    <w:p>
      <w:pPr>
        <w:pStyle w:val="FirstParagraph"/>
      </w:pPr>
      <w:r>
        <w:t xml:space="preserve">The specific, verifiable contributions of this paper are: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Proposed three-component eLER metric</w:t>
      </w:r>
      <w:r>
        <w:t xml:space="preserve"> </w:t>
      </w:r>
      <w:r>
        <w:t xml:space="preserve">(G1):</w:t>
      </w:r>
      <w:r>
        <w:t xml:space="preserve"> </w:t>
      </w:r>
      <m:oMath>
        <m:r>
          <m:t>e</m:t>
        </m:r>
        <m:r>
          <m:t>L</m:t>
        </m:r>
        <m:r>
          <m:t>E</m:t>
        </m:r>
        <m:r>
          <m:t>R</m:t>
        </m:r>
        <m:r>
          <m:rPr>
            <m:sty m:val="p"/>
          </m:rPr>
          <m:t>=</m:t>
        </m:r>
        <m:r>
          <m:t>L</m:t>
        </m:r>
        <m:r>
          <m:t>E</m:t>
        </m:r>
        <m:sSub>
          <m:e>
            <m:r>
              <m:t>R</m:t>
            </m:r>
          </m:e>
          <m:sub>
            <m:r>
              <m:rPr>
                <m:nor/>
                <m:sty m:val="p"/>
              </m:rPr>
              <m:t>crop</m:t>
            </m:r>
          </m:sub>
        </m:sSub>
        <m:r>
          <m:rPr>
            <m:sty m:val="p"/>
          </m:rPr>
          <m:t>+</m:t>
        </m:r>
        <m:r>
          <m:t>L</m:t>
        </m:r>
        <m:r>
          <m:t>E</m:t>
        </m:r>
        <m:sSub>
          <m:e>
            <m:r>
              <m:t>R</m:t>
            </m:r>
          </m:e>
          <m:sub>
            <m:r>
              <m:rPr>
                <m:nor/>
                <m:sty m:val="p"/>
              </m:rPr>
              <m:t>PV</m:t>
            </m:r>
          </m:sub>
        </m:sSub>
        <m:r>
          <m:rPr>
            <m:sty m:val="p"/>
          </m:rPr>
          <m:t>+</m:t>
        </m:r>
        <m:r>
          <m:t>L</m:t>
        </m:r>
        <m:r>
          <m:t>E</m:t>
        </m:r>
        <m:sSub>
          <m:e>
            <m:r>
              <m:t>R</m:t>
            </m:r>
          </m:e>
          <m:sub>
            <m:r>
              <m:rPr>
                <m:nor/>
                <m:sty m:val="p"/>
              </m:rPr>
              <m:t>biogas</m:t>
            </m:r>
          </m:sub>
        </m:sSub>
      </m:oMath>
      <w:r>
        <w:t xml:space="preserve">,</w:t>
      </w:r>
      <w:r>
        <w:t xml:space="preserve"> </w:t>
      </w:r>
      <w:r>
        <w:t xml:space="preserve">referenced against three independent monocultures using a</w:t>
      </w:r>
      <w:r>
        <w:t xml:space="preserve"> </w:t>
      </w:r>
      <w:r>
        <w:t xml:space="preserve">non-circular PV reference (Definition A).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Integrated six-variable Differential Evolution optimizer</w:t>
      </w:r>
      <w:r>
        <w:t xml:space="preserve"> </w:t>
      </w:r>
      <w:r>
        <w:t xml:space="preserve">(G2): simultaneously searches APV geometry and AD design spaces</w:t>
      </w:r>
      <w:r>
        <w:t xml:space="preserve"> </w:t>
      </w:r>
      <w:r>
        <w:t xml:space="preserve">with OLR and inter-row clearance constraints.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Four-climate-zone comparative analysis</w:t>
      </w:r>
      <w:r>
        <w:t xml:space="preserve"> </w:t>
      </w:r>
      <w:r>
        <w:t xml:space="preserve">(G3): Konya</w:t>
      </w:r>
      <w:r>
        <w:t xml:space="preserve"> </w:t>
      </w:r>
      <w:r>
        <w:t xml:space="preserve">(BSk), Almería (BSh), Ouagadougou (BSh), and Freiburg (Cfb),</w:t>
      </w:r>
      <w:r>
        <w:t xml:space="preserve"> </w:t>
      </w:r>
      <w:r>
        <w:t xml:space="preserve">spanning 12 °N–48 °N.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PAR-saturation mechanism</w:t>
      </w:r>
      <w:r>
        <w:t xml:space="preserve"> </w:t>
      </w:r>
      <w:r>
        <w:t xml:space="preserve">(G3, G4): identification</w:t>
      </w:r>
      <w:r>
        <w:t xml:space="preserve"> </w:t>
      </w:r>
      <w:r>
        <w:t xml:space="preserve">and quantification of the counter-intuitive non-monotone relationship</w:t>
      </w:r>
      <w:r>
        <w:t xml:space="preserve"> </w:t>
      </w:r>
      <w:r>
        <w:t xml:space="preserve">between solar resource and eLER, driven by tomato light saturation</w:t>
      </w:r>
      <w:r>
        <w:t xml:space="preserve"> </w:t>
      </w:r>
      <w:r>
        <w:t xml:space="preserve">at 174 W   m</w:t>
      </w:r>
      <w:r>
        <w:rPr>
          <w:vertAlign w:val="superscript"/>
        </w:rPr>
        <w:t xml:space="preserve">−2</w:t>
      </w:r>
      <w:r>
        <w:t xml:space="preserve">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4E performance framework</w:t>
      </w:r>
      <w:r>
        <w:t xml:space="preserve"> </w:t>
      </w:r>
      <w:r>
        <w:t xml:space="preserve">(G3–G5): Energetic,</w:t>
      </w:r>
      <w:r>
        <w:t xml:space="preserve"> </w:t>
      </w:r>
      <w:r>
        <w:t xml:space="preserve">Economic, Energo-economic (LCOE, biogas cost), and Environmental</w:t>
      </w:r>
      <w:r>
        <w:t xml:space="preserve"> </w:t>
      </w:r>
      <w:r>
        <w:t xml:space="preserve">(CO</w:t>
      </w:r>
      <m:oMath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avoidance, carbon credit) metrics computed jointly for</w:t>
      </w:r>
      <w:r>
        <w:t xml:space="preserve"> </w:t>
      </w:r>
      <w:r>
        <w:t xml:space="preserve">all four sites and seven valorization scenarios.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Corrected water savings metric</w:t>
      </w:r>
      <w:r>
        <w:t xml:space="preserve"> </w:t>
      </w:r>
      <w:r>
        <w:t xml:space="preserve">(G5):</w:t>
      </w:r>
      <w:r>
        <w:t xml:space="preserve"> </w:t>
      </w:r>
      <m:oMath>
        <m:r>
          <m:t>L</m:t>
        </m:r>
        <m:r>
          <m:t>E</m:t>
        </m:r>
        <m:sSub>
          <m:e>
            <m:r>
              <m:t>R</m:t>
            </m:r>
          </m:e>
          <m:sub>
            <m:r>
              <m:rPr>
                <m:nor/>
                <m:sty m:val="p"/>
              </m:rPr>
              <m:t>water</m:t>
            </m:r>
          </m:sub>
        </m:sSub>
      </m:oMath>
      <w:r>
        <w:t xml:space="preserve"> </w:t>
      </w:r>
      <w:r>
        <w:t xml:space="preserve">referenced to growing-season ET</w:t>
      </w:r>
      <m:oMath>
        <m:sSub>
          <m:e>
            <m:r>
              <m:t>​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correcting the systematic underestimation of up to 3.5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found with annual ET</w:t>
      </w:r>
      <m:oMath>
        <m:sSub>
          <m:e>
            <m:r>
              <m:t>​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4"/>
    <w:bookmarkStart w:id="15" w:name="paper-organization"/>
    <w:p>
      <w:pPr>
        <w:pStyle w:val="Heading2"/>
      </w:pPr>
      <w:r>
        <w:t xml:space="preserve">Paper Organization</w:t>
      </w:r>
    </w:p>
    <w:p>
      <w:pPr>
        <w:pStyle w:val="FirstParagraph"/>
      </w:pPr>
      <w:r>
        <w:t xml:space="preserve">Section </w:t>
      </w:r>
      <w:hyperlink w:anchor="sec:related">
        <w:r>
          <w:rPr>
            <w:rStyle w:val="Hyperlink"/>
          </w:rPr>
          <w:t xml:space="preserve">[sec:related]</w:t>
        </w:r>
      </w:hyperlink>
      <w:r>
        <w:t xml:space="preserve"> </w:t>
      </w:r>
      <w:r>
        <w:t xml:space="preserve">reviews the literature on</w:t>
      </w:r>
      <w:r>
        <w:t xml:space="preserve"> </w:t>
      </w:r>
      <w:r>
        <w:t xml:space="preserve">agrivoltaic systems, AD integration with solar energy, and LER methodology.</w:t>
      </w:r>
      <w:r>
        <w:t xml:space="preserve"> </w:t>
      </w:r>
      <w:r>
        <w:t xml:space="preserve">Section </w:t>
      </w:r>
      <w:hyperlink w:anchor="sec:method">
        <w:r>
          <w:rPr>
            <w:rStyle w:val="Hyperlink"/>
          </w:rPr>
          <w:t xml:space="preserve">[sec:method]</w:t>
        </w:r>
      </w:hyperlink>
      <w:r>
        <w:t xml:space="preserve"> </w:t>
      </w:r>
      <w:r>
        <w:t xml:space="preserve">presents the six sub-models, the DE optimizer,</w:t>
      </w:r>
      <w:r>
        <w:t xml:space="preserve"> </w:t>
      </w:r>
      <w:r>
        <w:t xml:space="preserve">and the 4E framework. Section </w:t>
      </w:r>
      <w:hyperlink w:anchor="sec:results">
        <w:r>
          <w:rPr>
            <w:rStyle w:val="Hyperlink"/>
          </w:rPr>
          <w:t xml:space="preserve">[sec:results]</w:t>
        </w:r>
      </w:hyperlink>
      <w:r>
        <w:t xml:space="preserve"> </w:t>
      </w:r>
      <w:r>
        <w:t xml:space="preserve">reports optimized designs,</w:t>
      </w:r>
      <w:r>
        <w:t xml:space="preserve"> </w:t>
      </w:r>
      <w:r>
        <w:t xml:space="preserve">eLER decomposition, energy and water performance, and scenario economics</w:t>
      </w:r>
      <w:r>
        <w:t xml:space="preserve"> </w:t>
      </w:r>
      <w:r>
        <w:t xml:space="preserve">for all four sites. Section </w:t>
      </w:r>
      <w:hyperlink w:anchor="sec:discussion">
        <w:r>
          <w:rPr>
            <w:rStyle w:val="Hyperlink"/>
          </w:rPr>
          <w:t xml:space="preserve">[sec:discussion]</w:t>
        </w:r>
      </w:hyperlink>
      <w:r>
        <w:t xml:space="preserve"> </w:t>
      </w:r>
      <w:r>
        <w:t xml:space="preserve">interprets the</w:t>
      </w:r>
      <w:r>
        <w:t xml:space="preserve"> </w:t>
      </w:r>
      <w:r>
        <w:t xml:space="preserve">PAR-saturation mechanism, boundary-convergence behavior, and model</w:t>
      </w:r>
      <w:r>
        <w:t xml:space="preserve"> </w:t>
      </w:r>
      <w:r>
        <w:t xml:space="preserve">limitations. Section </w:t>
      </w:r>
      <w:hyperlink w:anchor="sec:conclusion">
        <w:r>
          <w:rPr>
            <w:rStyle w:val="Hyperlink"/>
          </w:rPr>
          <w:t xml:space="preserve">[sec:conclusion]</w:t>
        </w:r>
      </w:hyperlink>
      <w:r>
        <w:t xml:space="preserve"> </w:t>
      </w:r>
      <w:r>
        <w:t xml:space="preserve">states the conclusions.</w:t>
      </w:r>
      <w:r>
        <w:t xml:space="preserve"> </w:t>
      </w:r>
      <w:r>
        <w:t xml:space="preserve">Appendix </w:t>
      </w:r>
      <w:hyperlink w:anchor="app:de">
        <w:r>
          <w:rPr>
            <w:rStyle w:val="Hyperlink"/>
          </w:rPr>
          <w:t xml:space="preserve">[app:de]</w:t>
        </w:r>
      </w:hyperlink>
      <w:r>
        <w:t xml:space="preserve"> </w:t>
      </w:r>
      <w:r>
        <w:t xml:space="preserve">provides the complete DE pseudocode and Appendix </w:t>
      </w:r>
      <w:hyperlink w:anchor="app:params">
        <w:r>
          <w:rPr>
            <w:rStyle w:val="Hyperlink"/>
          </w:rPr>
          <w:t xml:space="preserve">[app:params]</w:t>
        </w:r>
      </w:hyperlink>
      <w:r>
        <w:t xml:space="preserve"> </w:t>
      </w:r>
      <w:r>
        <w:t xml:space="preserve">the complete list of fixed parameters.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2026-08-06T11:51:56Z</dcterms:created>
  <dcterms:modified xsi:type="dcterms:W3CDTF">2026-08-06T11:51:56Z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