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:related"/>
    <w:p>
      <w:pPr>
        <w:pStyle w:val="Heading1"/>
      </w:pPr>
      <w:r>
        <w:t xml:space="preserve">Related Works</w:t>
      </w:r>
    </w:p>
    <w:bookmarkStart w:id="9" w:name="X9dd6fd4c6b71343b9d8ed35da40eb5d58fec3c8"/>
    <w:p>
      <w:pPr>
        <w:pStyle w:val="Heading2"/>
      </w:pPr>
      <w:r>
        <w:t xml:space="preserve">Agrivoltaic Systems: Architecture, Crop Response, and</w:t>
      </w:r>
      <w:r>
        <w:t xml:space="preserve"> </w:t>
      </w:r>
      <w:r>
        <w:t xml:space="preserve">Land-Use Efficiency</w:t>
      </w:r>
    </w:p>
    <w:p>
      <w:pPr>
        <w:pStyle w:val="FirstParagraph"/>
      </w:pPr>
      <w:r>
        <w:t xml:space="preserve">The concept of co-locating solar panels and crops on the same</w:t>
      </w:r>
      <w:r>
        <w:t xml:space="preserve"> </w:t>
      </w:r>
      <w:r>
        <w:t xml:space="preserve">land parcel was first proposed by</w:t>
      </w:r>
      <w:r>
        <w:t xml:space="preserve"> </w:t>
      </w:r>
      <w:r>
        <w:t xml:space="preserve">, who noted that</w:t>
      </w:r>
      <w:r>
        <w:t xml:space="preserve"> </w:t>
      </w:r>
      <w:r>
        <w:t xml:space="preserve">partial shade from PV modules could reduce transpiration stress while the</w:t>
      </w:r>
      <w:r>
        <w:t xml:space="preserve"> </w:t>
      </w:r>
      <w:r>
        <w:t xml:space="preserve">modules themselves benefited from evaporative cooling. The idea remained</w:t>
      </w:r>
      <w:r>
        <w:t xml:space="preserve"> </w:t>
      </w:r>
      <w:r>
        <w:t xml:space="preserve">largely theoretical until</w:t>
      </w:r>
      <w:r>
        <w:t xml:space="preserve"> </w:t>
      </w:r>
      <w:r>
        <w:t xml:space="preserve"> </w:t>
      </w:r>
      <w:r>
        <w:t xml:space="preserve">published the first rigorous</w:t>
      </w:r>
      <w:r>
        <w:t xml:space="preserve"> </w:t>
      </w:r>
      <w:r>
        <w:t xml:space="preserve">field experiment and introduced the Land Equivalent Ratio (LER) as the</w:t>
      </w:r>
      <w:r>
        <w:t xml:space="preserve"> </w:t>
      </w:r>
      <w:r>
        <w:t xml:space="preserve">standard metric for the dual land-use advantage. Measuring durum wheat</w:t>
      </w:r>
      <w:r>
        <w:t xml:space="preserve"> </w:t>
      </w:r>
      <w:r>
        <w:t xml:space="preserve">yield and PV output simultaneously in southern France, they demonstrated</w:t>
      </w:r>
      <w:r>
        <w:t xml:space="preserve"> </w:t>
      </w:r>
      <w:r>
        <w:t xml:space="preserve">LER values of 1.35–1.73 depending on shade level, establishing the</w:t>
      </w:r>
      <w:r>
        <w:t xml:space="preserve"> </w:t>
      </w:r>
      <w:r>
        <w:t xml:space="preserve">foundational result that the combined system outperforms two separate</w:t>
      </w:r>
      <w:r>
        <w:t xml:space="preserve"> </w:t>
      </w:r>
      <w:r>
        <w:t xml:space="preserve">monocultures by 35–73% on the same land area.</w:t>
      </w:r>
    </w:p>
    <w:p>
      <w:pPr>
        <w:pStyle w:val="BodyText"/>
      </w:pPr>
      <w:r>
        <w:t xml:space="preserve">Subsequent field studies confirmed that the benefit extends beyond</w:t>
      </w:r>
      <w:r>
        <w:t xml:space="preserve"> </w:t>
      </w:r>
      <w:r>
        <w:t xml:space="preserve">electricity and yield.</w:t>
      </w:r>
      <w:r>
        <w:t xml:space="preserve"> </w:t>
      </w:r>
      <w:r>
        <w:t xml:space="preserve"> </w:t>
      </w:r>
      <w:r>
        <w:t xml:space="preserve">demonstrated that the microclimate</w:t>
      </w:r>
      <w:r>
        <w:t xml:space="preserve"> </w:t>
      </w:r>
      <w:r>
        <w:t xml:space="preserve">under APV panels — characterised by soil temperature reductions of</w:t>
      </w:r>
      <w:r>
        <w:t xml:space="preserve"> </w:t>
      </w:r>
      <w:r>
        <w:t xml:space="preserve">1.3–2.3 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and reduced peak radiation load — can partially</w:t>
      </w:r>
      <w:r>
        <w:t xml:space="preserve"> </w:t>
      </w:r>
      <w:r>
        <w:t xml:space="preserve">offset or reverse the yield penalty of reduced PAR for shade-adapted</w:t>
      </w:r>
      <w:r>
        <w:t xml:space="preserve"> </w:t>
      </w:r>
      <w:r>
        <w:t xml:space="preserve">lettuce, cucumber, and wheat. In semi-arid Arizona,</w:t>
      </w:r>
      <w:r>
        <w:t xml:space="preserve"> </w:t>
      </w:r>
      <w:r>
        <w:t xml:space="preserve"> </w:t>
      </w:r>
      <w:r>
        <w:t xml:space="preserve">showed that agrivoltaics simultaneously increased jalapeno yield by</w:t>
      </w:r>
      <w:r>
        <w:t xml:space="preserve"> </w:t>
      </w:r>
      <w:r>
        <w:t xml:space="preserve">3</w:t>
      </w:r>
      <m:oMath>
        <m:r>
          <m:rPr>
            <m:sty m:val="p"/>
          </m:rPr>
          <m:t>×</m:t>
        </m:r>
      </m:oMath>
      <w:r>
        <w:t xml:space="preserve">, reduced water consumption by 65%, and improved panel</w:t>
      </w:r>
      <w:r>
        <w:t xml:space="preserve"> </w:t>
      </w:r>
      <w:r>
        <w:t xml:space="preserve">efficiency by 1–9 percentage points through evaporative cooling,</w:t>
      </w:r>
      <w:r>
        <w:t xml:space="preserve"> </w:t>
      </w:r>
      <w:r>
        <w:t xml:space="preserve">providing the first comprehensive food-energy-water nexus evidence for</w:t>
      </w:r>
      <w:r>
        <w:t xml:space="preserve"> </w:t>
      </w:r>
      <w:r>
        <w:t xml:space="preserve">the technology.</w:t>
      </w:r>
    </w:p>
    <w:p>
      <w:pPr>
        <w:pStyle w:val="BodyText"/>
      </w:pPr>
      <w:r>
        <w:t xml:space="preserve">The integration of bifacial modules — which harvest both direct</w:t>
      </w:r>
      <w:r>
        <w:t xml:space="preserve"> </w:t>
      </w:r>
      <w:r>
        <w:t xml:space="preserve">front-side and diffuse rear-side irradiance — represents a significant</w:t>
      </w:r>
      <w:r>
        <w:t xml:space="preserve"> </w:t>
      </w:r>
      <w:r>
        <w:t xml:space="preserve">performance advance.</w:t>
      </w:r>
      <w:r>
        <w:t xml:space="preserve"> </w:t>
      </w:r>
      <w:r>
        <w:t xml:space="preserve"> </w:t>
      </w:r>
      <w:r>
        <w:t xml:space="preserve">developed a Light-Productivity-Factor</w:t>
      </w:r>
      <w:r>
        <w:t xml:space="preserve"> </w:t>
      </w:r>
      <w:r>
        <w:t xml:space="preserve">(LPF) framework that accounts for the PAR saturation threshold of the</w:t>
      </w:r>
      <w:r>
        <w:t xml:space="preserve"> </w:t>
      </w:r>
      <w:r>
        <w:t xml:space="preserve">specific crop. Applied to bifacial tomato production in Arizona, this</w:t>
      </w:r>
      <w:r>
        <w:t xml:space="preserve"> </w:t>
      </w:r>
      <w:r>
        <w:t xml:space="preserve">approach yielded the highest published two-component LER of 1.94,</w:t>
      </w:r>
      <w:r>
        <w:t xml:space="preserve"> </w:t>
      </w:r>
      <w:r>
        <w:t xml:space="preserve">demonstrating that crop-specific geometry optimization can push the</w:t>
      </w:r>
      <w:r>
        <w:t xml:space="preserve"> </w:t>
      </w:r>
      <w:r>
        <w:t xml:space="preserve">land-use advantage substantially beyond geometry-agnostic designs. The</w:t>
      </w:r>
      <w:r>
        <w:t xml:space="preserve"> </w:t>
      </w:r>
      <w:r>
        <w:t xml:space="preserve">PAR saturation concept introduced by</w:t>
      </w:r>
      <w:r>
        <w:t xml:space="preserve"> </w:t>
      </w:r>
      <w:r>
        <w:t xml:space="preserve"> </w:t>
      </w:r>
      <w:r>
        <w:t xml:space="preserve">— the observation</w:t>
      </w:r>
      <w:r>
        <w:t xml:space="preserve"> </w:t>
      </w:r>
      <w:r>
        <w:t xml:space="preserve">that above a crop-specific irradiance threshold, additional light generates</w:t>
      </w:r>
      <w:r>
        <w:t xml:space="preserve"> </w:t>
      </w:r>
      <w:r>
        <w:t xml:space="preserve">no additional photosynthesis and the surplus can be productively captured</w:t>
      </w:r>
      <w:r>
        <w:t xml:space="preserve"> </w:t>
      </w:r>
      <w:r>
        <w:t xml:space="preserve">as electricity — forms the theoretical basis for the crop yield model</w:t>
      </w:r>
      <w:r>
        <w:t xml:space="preserve"> </w:t>
      </w:r>
      <w:r>
        <w:t xml:space="preserve">adopted in the present study.</w:t>
      </w:r>
    </w:p>
    <w:p>
      <w:pPr>
        <w:pStyle w:val="BodyText"/>
      </w:pPr>
      <w:r>
        <w:t xml:space="preserve"> </w:t>
      </w:r>
      <w:r>
        <w:t xml:space="preserve">extended this approach to open-field lettuce in Italy,</w:t>
      </w:r>
      <w:r>
        <w:t xml:space="preserve"> </w:t>
      </w:r>
      <w:r>
        <w:t xml:space="preserve">achieving LER = 1.85 under optimised panel density and identifying the</w:t>
      </w:r>
      <w:r>
        <w:t xml:space="preserve"> </w:t>
      </w:r>
      <w:r>
        <w:t xml:space="preserve">circular reference problem in LER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calculation: using the</w:t>
      </w:r>
      <w:r>
        <w:t xml:space="preserve"> </w:t>
      </w:r>
      <w:r>
        <w:t xml:space="preserve">same APV array as both system and reference inflates the LER value</w:t>
      </w:r>
      <w:r>
        <w:t xml:space="preserve"> </w:t>
      </w:r>
      <w:r>
        <w:t xml:space="preserve">artificially. This issue motivates the independent dense-pack PV reference</w:t>
      </w:r>
      <w:r>
        <w:t xml:space="preserve"> </w:t>
      </w:r>
      <w:r>
        <w:t xml:space="preserve">(Definition A) adopted here. At the system scale, a meta-analysis of 127</w:t>
      </w:r>
      <w:r>
        <w:t xml:space="preserve"> </w:t>
      </w:r>
      <w:r>
        <w:t xml:space="preserve">agrivoltaic case studies by</w:t>
      </w:r>
      <w:r>
        <w:t xml:space="preserve"> </w:t>
      </w:r>
      <w:r>
        <w:t xml:space="preserve"> </w:t>
      </w:r>
      <w:r>
        <w:t xml:space="preserve">found a mean LER of</w:t>
      </w:r>
      <w:r>
        <w:t xml:space="preserve"> </w:t>
      </w:r>
      <m:oMath>
        <m:r>
          <m:t>1.34</m:t>
        </m:r>
        <m:r>
          <m:rPr>
            <m:sty m:val="p"/>
          </m:rPr>
          <m:t>±</m:t>
        </m:r>
        <m:r>
          <m:t>0.18</m:t>
        </m:r>
      </m:oMath>
      <w:r>
        <w:t xml:space="preserve">, with higher values consistently associated with bifacial</w:t>
      </w:r>
      <w:r>
        <w:t xml:space="preserve"> </w:t>
      </w:r>
      <w:r>
        <w:t xml:space="preserve">modules, shade-tolerant crops, and optimised row spacing. Water savings</w:t>
      </w:r>
      <w:r>
        <w:t xml:space="preserve"> </w:t>
      </w:r>
      <w:r>
        <w:t xml:space="preserve">from APV shading, quantified by</w:t>
      </w:r>
      <w:r>
        <w:t xml:space="preserve"> </w:t>
      </w:r>
      <w:r>
        <w:t xml:space="preserve"> </w:t>
      </w:r>
      <w:r>
        <w:t xml:space="preserve">across a lettuce trial</w:t>
      </w:r>
      <w:r>
        <w:t xml:space="preserve"> </w:t>
      </w:r>
      <w:r>
        <w:t xml:space="preserve">in southern France, reached 14–29% of growing-season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a range</w:t>
      </w:r>
      <w:r>
        <w:t xml:space="preserve"> </w:t>
      </w:r>
      <w:r>
        <w:t xml:space="preserve">consistent with the corrected values reported in the present study.</w:t>
      </w:r>
    </w:p>
    <w:p>
      <w:pPr>
        <w:pStyle w:val="BodyText"/>
      </w:pPr>
      <w:r>
        <w:t xml:space="preserve">Despite this body of evidence, all cited agrivoltaic studies share a common</w:t>
      </w:r>
      <w:r>
        <w:t xml:space="preserve"> </w:t>
      </w:r>
      <w:r>
        <w:t xml:space="preserve">limitation: the crop residue stream is treated as waste or a soil amendment,</w:t>
      </w:r>
      <w:r>
        <w:t xml:space="preserve"> </w:t>
      </w:r>
      <w:r>
        <w:t xml:space="preserve">severing the link between the agrivoltaic system and the biogas economy that</w:t>
      </w:r>
      <w:r>
        <w:t xml:space="preserve"> </w:t>
      </w:r>
      <w:r>
        <w:t xml:space="preserve">the same semi-arid farming regions are increasingly participating in.</w:t>
      </w:r>
    </w:p>
    <w:bookmarkEnd w:id="9"/>
    <w:bookmarkStart w:id="10" w:name="Xd4cd6e53613d2da448102eb4b0f7a229cc186d9"/>
    <w:p>
      <w:pPr>
        <w:pStyle w:val="Heading2"/>
      </w:pPr>
      <w:r>
        <w:t xml:space="preserve">Anaerobic Digestion: Fundamentals, Feedstocks, and</w:t>
      </w:r>
      <w:r>
        <w:t xml:space="preserve"> </w:t>
      </w:r>
      <w:r>
        <w:t xml:space="preserve">Thermal Management</w:t>
      </w:r>
    </w:p>
    <w:p>
      <w:pPr>
        <w:pStyle w:val="FirstParagraph"/>
      </w:pPr>
      <w:r>
        <w:t xml:space="preserve">Anaerobic digestion is a multi-stage biological process in</w:t>
      </w:r>
      <w:r>
        <w:t xml:space="preserve"> </w:t>
      </w:r>
      <w:r>
        <w:t xml:space="preserve">which consortia of microorganisms decompose organic matter in the absence</w:t>
      </w:r>
      <w:r>
        <w:t xml:space="preserve"> </w:t>
      </w:r>
      <w:r>
        <w:t xml:space="preserve">of oxygen, producing biogas — typically 55–70% methane and 30–45%</w:t>
      </w:r>
      <w:r>
        <w:t xml:space="preserve"> </w:t>
      </w:r>
      <w: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and a nutrient-rich liquid digestate </w:t>
      </w:r>
      <w:r>
        <w:t xml:space="preserve">. The four sequential stages — hydrolysis, acidogenesis,</w:t>
      </w:r>
      <w:r>
        <w:t xml:space="preserve"> </w:t>
      </w:r>
      <w:r>
        <w:t xml:space="preserve">acetogenesis, and methanogenesis — each involve distinct microbial</w:t>
      </w:r>
      <w:r>
        <w:t xml:space="preserve"> </w:t>
      </w:r>
      <w:r>
        <w:t xml:space="preserve">communities with different kinetic sensitivities to temperature, pH, and</w:t>
      </w:r>
      <w:r>
        <w:t xml:space="preserve"> </w:t>
      </w:r>
      <w:r>
        <w:t xml:space="preserve">substrate composition </w:t>
      </w:r>
      <w:r>
        <w:t xml:space="preserve">. This sequential dependency</w:t>
      </w:r>
      <w:r>
        <w:t xml:space="preserve"> </w:t>
      </w:r>
      <w:r>
        <w:t xml:space="preserve">makes methanogenesis the rate-limiting step and temperature the dominant</w:t>
      </w:r>
      <w:r>
        <w:t xml:space="preserve"> </w:t>
      </w:r>
      <w:r>
        <w:t xml:space="preserve">operational parameter: a 10 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decrease in digester temperature</w:t>
      </w:r>
      <w:r>
        <w:t xml:space="preserve"> </w:t>
      </w:r>
      <w:r>
        <w:t xml:space="preserve">below the mesophilic optimum (37 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 can suppress methane yield</w:t>
      </w:r>
      <w:r>
        <w:t xml:space="preserve"> </w:t>
      </w:r>
      <w:r>
        <w:t xml:space="preserve">by 30–50%, following an Arrhenius-type relationship </w:t>
      </w:r>
      <w:r>
        <w:t xml:space="preserve">.</w:t>
      </w:r>
    </w:p>
    <w:p>
      <w:pPr>
        <w:pStyle w:val="BodyText"/>
      </w:pPr>
      <w:r>
        <w:t xml:space="preserve">The biochemical methane potential (BMP) of a substrate quantifies the</w:t>
      </w:r>
      <w:r>
        <w:t xml:space="preserve"> </w:t>
      </w:r>
      <w:r>
        <w:t xml:space="preserve">maximum volume of methane recoverable per unit of volatile solids (VS)</w:t>
      </w:r>
      <w:r>
        <w:t xml:space="preserve"> </w:t>
      </w:r>
      <w:r>
        <w:t xml:space="preserve">under controlled conditions.</w:t>
      </w:r>
      <w:r>
        <w:t xml:space="preserve"> </w:t>
      </w:r>
      <w:r>
        <w:t xml:space="preserve"> </w:t>
      </w:r>
      <w:r>
        <w:t xml:space="preserve">reported BMP values</w:t>
      </w:r>
      <w:r>
        <w:t xml:space="preserve"> </w:t>
      </w:r>
      <w:r>
        <w:t xml:space="preserve">of 200–280 NmL CH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cattle manure and</w:t>
      </w:r>
      <w:r>
        <w:t xml:space="preserve"> </w:t>
      </w:r>
      <w:r>
        <w:t xml:space="preserve">250–350 NmL CH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tomato plant residues — ranges</w:t>
      </w:r>
      <w:r>
        <w:t xml:space="preserve"> </w:t>
      </w:r>
      <w:r>
        <w:t xml:space="preserve">that bracket the reference value of 300 NmL CH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w:r>
        <w:t xml:space="preserve">37 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adopted in the present study.</w:t>
      </w:r>
      <w:r>
        <w:t xml:space="preserve"> </w:t>
      </w:r>
      <w:r>
        <w:t xml:space="preserve"> </w:t>
      </w:r>
      <w:r>
        <w:t xml:space="preserve">provided</w:t>
      </w:r>
      <w:r>
        <w:t xml:space="preserve"> </w:t>
      </w:r>
      <w:r>
        <w:t xml:space="preserve">a five-point temperature response curve for tomato plant residues from</w:t>
      </w:r>
      <w:r>
        <w:t xml:space="preserve"> </w:t>
      </w:r>
      <w:r>
        <w:t xml:space="preserve">20 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to 40 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C, demonstrating that BMP drops from</w:t>
      </w:r>
      <w:r>
        <w:t xml:space="preserve"> </w:t>
      </w:r>
      <w:r>
        <w:t xml:space="preserve">300 NmL gVS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37 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to approximately</w:t>
      </w:r>
      <w:r>
        <w:t xml:space="preserve"> </w:t>
      </w:r>
      <w:r>
        <w:t xml:space="preserve">195 NmL gVS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20 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— a 35% suppression that is</w:t>
      </w:r>
      <w:r>
        <w:t xml:space="preserve"> </w:t>
      </w:r>
      <w:r>
        <w:t xml:space="preserve">directly relevant to cold-season operation at Konya and Freiburg. This</w:t>
      </w:r>
      <w:r>
        <w:t xml:space="preserve"> </w:t>
      </w:r>
      <w:r>
        <w:t xml:space="preserve">dataset provides the empirical basis for the V2 model validation reported</w:t>
      </w:r>
      <w:r>
        <w:t xml:space="preserve"> </w:t>
      </w:r>
      <w:r>
        <w:t xml:space="preserve">in Section </w:t>
      </w:r>
      <w:hyperlink w:anchor="sec:results">
        <w:r>
          <w:rPr>
            <w:rStyle w:val="Hyperlink"/>
          </w:rPr>
          <w:t xml:space="preserve">[sec:results]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extended this analysis</w:t>
      </w:r>
      <w:r>
        <w:t xml:space="preserve"> </w:t>
      </w:r>
      <w:r>
        <w:t xml:space="preserve">to cereal straw and vegetable mixtures, confirming the Arrhenius coefficient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0.069</m:t>
        </m:r>
      </m:oMath>
      <w:r>
        <w:t xml:space="preserve">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used throughout the present study and</w:t>
      </w:r>
      <w:r>
        <w:t xml:space="preserve"> </w:t>
      </w:r>
      <w:r>
        <w:t xml:space="preserve">reporting that co-digestion of crop residues with cattle manure at a 1:3</w:t>
      </w:r>
      <w:r>
        <w:t xml:space="preserve"> </w:t>
      </w:r>
      <w:r>
        <w:t xml:space="preserve">VS ratio increases BMP by 12–18% through synergistic microbial diversity.</w:t>
      </w:r>
    </w:p>
    <w:p>
      <w:pPr>
        <w:pStyle w:val="BodyText"/>
      </w:pPr>
      <w:r>
        <w:t xml:space="preserve">The thermal energy demand of a continuously stirred tank reactor (CSTR)</w:t>
      </w:r>
      <w:r>
        <w:t xml:space="preserve"> </w:t>
      </w:r>
      <w:r>
        <w:t xml:space="preserve">digester operating under mesophilic conditions in a temperate climate is</w:t>
      </w:r>
      <w:r>
        <w:t xml:space="preserve"> </w:t>
      </w:r>
      <w:r>
        <w:t xml:space="preserve">substantial.</w:t>
      </w:r>
      <w:r>
        <w:t xml:space="preserve"> </w:t>
      </w:r>
      <w:r>
        <w:t xml:space="preserve"> </w:t>
      </w:r>
      <w:r>
        <w:t xml:space="preserve">showed that maintaining a 37 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</w:t>
      </w:r>
      <w:r>
        <w:t xml:space="preserve"> </w:t>
      </w:r>
      <w:r>
        <w:t xml:space="preserve">digester against a 0 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ambient requires heat input equivalent</w:t>
      </w:r>
      <w:r>
        <w:t xml:space="preserve"> </w:t>
      </w:r>
      <w:r>
        <w:t xml:space="preserve">to 15–30% of gross biogas energy, depending on insulation quality and</w:t>
      </w:r>
      <w:r>
        <w:t xml:space="preserve"> </w:t>
      </w:r>
      <w:r>
        <w:t xml:space="preserve">substrate inlet temperature. This self-consumption directly reduces the</w:t>
      </w:r>
      <w:r>
        <w:t xml:space="preserve"> </w:t>
      </w:r>
      <w:r>
        <w:t xml:space="preserve">net energy yield and economic return of the plant. Solar thermal</w:t>
      </w:r>
      <w:r>
        <w:t xml:space="preserve"> </w:t>
      </w:r>
      <w:r>
        <w:t xml:space="preserve">collectors </w:t>
      </w:r>
      <w:r>
        <w:t xml:space="preserve"> </w:t>
      </w:r>
      <w:r>
        <w:t xml:space="preserve">and PV-powered electrical resistance</w:t>
      </w:r>
      <w:r>
        <w:t xml:space="preserve"> </w:t>
      </w:r>
      <w:r>
        <w:t xml:space="preserve">heating </w:t>
      </w:r>
      <w:r>
        <w:t xml:space="preserve"> </w:t>
      </w:r>
      <w:r>
        <w:t xml:space="preserve">have both been proposed as alternatives to</w:t>
      </w:r>
      <w:r>
        <w:t xml:space="preserve"> </w:t>
      </w:r>
      <w:r>
        <w:t xml:space="preserve">biogas self-consumption.</w:t>
      </w:r>
      <w:r>
        <w:t xml:space="preserve"> </w:t>
      </w:r>
      <w:r>
        <w:t xml:space="preserve"> </w:t>
      </w:r>
      <w:r>
        <w:t xml:space="preserve">demonstrated that replacing</w:t>
      </w:r>
      <w:r>
        <w:t xml:space="preserve"> </w:t>
      </w:r>
      <w:r>
        <w:t xml:space="preserve">biogas self-heating with PV electricity in a grid-connected configuration</w:t>
      </w:r>
      <w:r>
        <w:t xml:space="preserve"> </w:t>
      </w:r>
      <w:r>
        <w:t xml:space="preserve">can improve the NPV of a biogas plant by up to 8.7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compared to</w:t>
      </w:r>
      <w:r>
        <w:t xml:space="preserve"> </w:t>
      </w:r>
      <w:r>
        <w:t xml:space="preserve">a non-heated reference, by redirecting the saved biogas to higher-value</w:t>
      </w:r>
      <w:r>
        <w:t xml:space="preserve"> </w:t>
      </w:r>
      <w:r>
        <w:t xml:space="preserve">grid injection. Their analysis, however, treats the PV array as a</w:t>
      </w:r>
      <w:r>
        <w:t xml:space="preserve"> </w:t>
      </w:r>
      <w:r>
        <w:t xml:space="preserve">separate installation without modelling the agrivoltaic geometry or crop</w:t>
      </w:r>
      <w:r>
        <w:t xml:space="preserve"> </w:t>
      </w:r>
      <w:r>
        <w:t xml:space="preserve">yield effects.</w:t>
      </w:r>
    </w:p>
    <w:p>
      <w:pPr>
        <w:pStyle w:val="BodyText"/>
      </w:pPr>
      <w:r>
        <w:t xml:space="preserve">On the feedstock supply side, the strategic importance of agricultural</w:t>
      </w:r>
      <w:r>
        <w:t xml:space="preserve"> </w:t>
      </w:r>
      <w:r>
        <w:t xml:space="preserve">biogas and biomethane is reflected in accelerating policy commitments.</w:t>
      </w:r>
      <w:r>
        <w:t xml:space="preserve"> </w:t>
      </w:r>
      <w:r>
        <w:t xml:space="preserve">The EU REPowerEU Plan targets 35 billion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 sustainable biomethane</w:t>
      </w:r>
      <w:r>
        <w:t xml:space="preserve"> </w:t>
      </w:r>
      <w:r>
        <w:t xml:space="preserve">per year by 2030 </w:t>
      </w:r>
      <w:r>
        <w:t xml:space="preserve">, requiring a nine-fold increase from 2022</w:t>
      </w:r>
      <w:r>
        <w:t xml:space="preserve"> </w:t>
      </w:r>
      <w:r>
        <w:t xml:space="preserve">levels. Germany’s EEG 2023 and the EU RED III mandate feed-in premiums</w:t>
      </w:r>
      <w:r>
        <w:t xml:space="preserve"> </w:t>
      </w:r>
      <w:r>
        <w:t xml:space="preserve">for biomethane grid injection, creating a market price approximately</w:t>
      </w:r>
      <w:r>
        <w:t xml:space="preserve"> </w:t>
      </w:r>
      <w:r>
        <w:t xml:space="preserve">5.5 times the wholesale electricity price in Central European</w:t>
      </w:r>
      <w:r>
        <w:t xml:space="preserve"> </w:t>
      </w:r>
      <w:r>
        <w:t xml:space="preserve">markets </w:t>
      </w:r>
      <w:r>
        <w:t xml:space="preserve">. In Sub-Saharan Africa,</w:t>
      </w:r>
      <w:r>
        <w:t xml:space="preserve"> </w:t>
      </w:r>
      <w:r>
        <w:t xml:space="preserve">where Burkina Faso’s national grid relies on 63% diesel generation, the</w:t>
      </w:r>
      <w:r>
        <w:t xml:space="preserve"> </w:t>
      </w:r>
      <w:r>
        <w:t xml:space="preserve">IEA projects biogas from agricultural residues as a priority pathway for</w:t>
      </w:r>
      <w:r>
        <w:t xml:space="preserve"> </w:t>
      </w:r>
      <w:r>
        <w:t xml:space="preserve">rural electrification and LPG substitution by 2030 </w:t>
      </w:r>
      <w:r>
        <w:t xml:space="preserve">.</w:t>
      </w:r>
      <w:r>
        <w:t xml:space="preserve"> </w:t>
      </w:r>
      <w:r>
        <w:t xml:space="preserve">These policy contexts directly motivate the site-specific biomethane</w:t>
      </w:r>
      <w:r>
        <w:t xml:space="preserve"> </w:t>
      </w:r>
      <w:r>
        <w:t xml:space="preserve">premium scenarios (S5) and carbon credit scenarios (S6) evaluated in the</w:t>
      </w:r>
      <w:r>
        <w:t xml:space="preserve"> </w:t>
      </w:r>
      <w:r>
        <w:t xml:space="preserve">present study.</w:t>
      </w:r>
    </w:p>
    <w:bookmarkEnd w:id="10"/>
    <w:bookmarkStart w:id="11" w:name="X6fa497af9c313ccf8521afe2f9bc6a4162a2981"/>
    <w:p>
      <w:pPr>
        <w:pStyle w:val="Heading2"/>
      </w:pPr>
      <w:r>
        <w:t xml:space="preserve">PV–Biogas Hybrid Systems: Architecture and Economics</w:t>
      </w:r>
    </w:p>
    <w:p>
      <w:pPr>
        <w:pStyle w:val="FirstParagraph"/>
      </w:pPr>
      <w:r>
        <w:t xml:space="preserve">The complementarity between solar PV and biogas is</w:t>
      </w:r>
      <w:r>
        <w:t xml:space="preserve"> </w:t>
      </w:r>
      <w:r>
        <w:t xml:space="preserve">thermodynamic as much as economic. PV generation is intermittent and</w:t>
      </w:r>
      <w:r>
        <w:t xml:space="preserve"> </w:t>
      </w:r>
      <w:r>
        <w:t xml:space="preserve">peaks in summer, while biogas is dispatchable and its heating demand</w:t>
      </w:r>
      <w:r>
        <w:t xml:space="preserve"> </w:t>
      </w:r>
      <w:r>
        <w:t xml:space="preserve">peaks in winter — a seasonal anti-correlation that makes the two</w:t>
      </w:r>
      <w:r>
        <w:t xml:space="preserve"> </w:t>
      </w:r>
      <w:r>
        <w:t xml:space="preserve">technologies natural partners in a hybrid energy</w:t>
      </w:r>
      <w:r>
        <w:t xml:space="preserve"> </w:t>
      </w:r>
      <w:r>
        <w:t xml:space="preserve">system </w:t>
      </w:r>
      <w:r>
        <w:t xml:space="preserve">. Early hybrid configurations</w:t>
      </w:r>
      <w:r>
        <w:t xml:space="preserve"> </w:t>
      </w:r>
      <w:r>
        <w:t xml:space="preserve">focused on off-grid rural electrification, combining a biogas generator</w:t>
      </w:r>
      <w:r>
        <w:t xml:space="preserve"> </w:t>
      </w:r>
      <w:r>
        <w:t xml:space="preserve">for baseload with PV for daytime peak demand and battery storage for</w:t>
      </w:r>
      <w:r>
        <w:t xml:space="preserve"> </w:t>
      </w:r>
      <w:r>
        <w:t xml:space="preserve">overnight supply. More recently, grid-connected configurations that</w:t>
      </w:r>
      <w:r>
        <w:t xml:space="preserve"> </w:t>
      </w:r>
      <w:r>
        <w:t xml:space="preserve">exploit feed-in premiums for both electricity and biomethane have</w:t>
      </w:r>
      <w:r>
        <w:t xml:space="preserve"> </w:t>
      </w:r>
      <w:r>
        <w:t xml:space="preserve">become an important economic model in European</w:t>
      </w:r>
      <w:r>
        <w:t xml:space="preserve"> </w:t>
      </w:r>
      <w:r>
        <w:t xml:space="preserve">markets </w:t>
      </w:r>
      <w:r>
        <w:t xml:space="preserve">.</w:t>
      </w:r>
    </w:p>
    <w:p>
      <w:pPr>
        <w:pStyle w:val="BodyText"/>
      </w:pPr>
      <w:r>
        <w:t xml:space="preserve">Techno-economic analyses of PV–biogas hybrids consistently report</w:t>
      </w:r>
      <w:r>
        <w:t xml:space="preserve"> </w:t>
      </w:r>
      <w:r>
        <w:t xml:space="preserve">that the optimal configuration depends critically on the local</w:t>
      </w:r>
      <w:r>
        <w:t xml:space="preserve"> </w:t>
      </w:r>
      <w:r>
        <w:t xml:space="preserve">electricity tariff structure and the relative prices of grid</w:t>
      </w:r>
      <w:r>
        <w:t xml:space="preserve"> </w:t>
      </w:r>
      <w:r>
        <w:t xml:space="preserve">electricity, LPG, and biomethane.</w:t>
      </w:r>
      <w:r>
        <w:t xml:space="preserve"> </w:t>
      </w:r>
      <w:r>
        <w:t xml:space="preserve"> </w:t>
      </w:r>
      <w:r>
        <w:t xml:space="preserve">showed that in</w:t>
      </w:r>
      <w:r>
        <w:t xml:space="preserve"> </w:t>
      </w:r>
      <w:r>
        <w:t xml:space="preserve">markets where grid electricity is cheap relative to biogas, using PV</w:t>
      </w:r>
      <w:r>
        <w:t xml:space="preserve"> </w:t>
      </w:r>
      <w:r>
        <w:t xml:space="preserve">electricity to heat the digester (rather than burning biogas for</w:t>
      </w:r>
      <w:r>
        <w:t xml:space="preserve"> </w:t>
      </w:r>
      <w:r>
        <w:t xml:space="preserve">self-heating) frees the entire biogas output for sale, improving IRR</w:t>
      </w:r>
      <w:r>
        <w:t xml:space="preserve"> </w:t>
      </w:r>
      <w:r>
        <w:t xml:space="preserve">by 3–8 percentage points.</w:t>
      </w:r>
      <w:r>
        <w:t xml:space="preserve"> </w:t>
      </w:r>
      <w:r>
        <w:t xml:space="preserve"> </w:t>
      </w:r>
      <w:r>
        <w:t xml:space="preserve">demonstrated that a</w:t>
      </w:r>
      <w:r>
        <w:t xml:space="preserve"> </w:t>
      </w:r>
      <w:r>
        <w:t xml:space="preserve">heat pump powered by APV electricity can maintain thermophilic</w:t>
      </w:r>
      <w:r>
        <w:t xml:space="preserve"> </w:t>
      </w:r>
      <w:r>
        <w:t xml:space="preserve">digestion (52 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 year-round in a continental climate,</w:t>
      </w:r>
      <w:r>
        <w:t xml:space="preserve"> </w:t>
      </w:r>
      <w:r>
        <w:t xml:space="preserve">achieving full thermal self-sufficiency with a coefficient of</w:t>
      </w:r>
      <w:r>
        <w:t xml:space="preserve"> </w:t>
      </w:r>
      <w:r>
        <w:t xml:space="preserve">performance (COP) of 3.2–4.1, equivalent to a 70% reduction in</w:t>
      </w:r>
      <w:r>
        <w:t xml:space="preserve"> </w:t>
      </w:r>
      <w:r>
        <w:t xml:space="preserve">heating energy relative to direct resistance heating.</w:t>
      </w:r>
    </w:p>
    <w:p>
      <w:pPr>
        <w:pStyle w:val="BodyText"/>
      </w:pPr>
      <w:r>
        <w:t xml:space="preserve">Multi-generation system analyses — simultaneously producing</w:t>
      </w:r>
      <w:r>
        <w:t xml:space="preserve"> </w:t>
      </w:r>
      <w:r>
        <w:t xml:space="preserve">electricity, heat, biomethane, and digestate fertilizer — have</w:t>
      </w:r>
      <w:r>
        <w:t xml:space="preserve"> </w:t>
      </w:r>
      <w:r>
        <w:t xml:space="preserve">been explored by</w:t>
      </w:r>
      <w:r>
        <w:t xml:space="preserve"> </w:t>
      </w:r>
      <w:r>
        <w:t xml:space="preserve">, who reported that joint</w:t>
      </w:r>
      <w:r>
        <w:t xml:space="preserve"> </w:t>
      </w:r>
      <w:r>
        <w:t xml:space="preserve">optimization of all four output streams increases system NPV by</w:t>
      </w:r>
      <w:r>
        <w:t xml:space="preserve"> </w:t>
      </w:r>
      <w:r>
        <w:t xml:space="preserve">22–34% compared to single-output optimization. Their framework,</w:t>
      </w:r>
      <w:r>
        <w:t xml:space="preserve"> </w:t>
      </w:r>
      <w:r>
        <w:t xml:space="preserve">however, does not include a land-use efficiency metric or crop yield</w:t>
      </w:r>
      <w:r>
        <w:t xml:space="preserve"> </w:t>
      </w:r>
      <w:r>
        <w:t xml:space="preserve">modelling, treating the agricultural component only as a feedstock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A critical gap in all cited PV–biogas studies is the absence of</w:t>
      </w:r>
      <w:r>
        <w:t xml:space="preserve"> </w:t>
      </w:r>
      <w:r>
        <w:t xml:space="preserve">agrivoltaic geometry modelling: the PV array is treated as an</w:t>
      </w:r>
      <w:r>
        <w:t xml:space="preserve"> </w:t>
      </w:r>
      <w:r>
        <w:t xml:space="preserve">independent installation with no interaction with the underlying</w:t>
      </w:r>
      <w:r>
        <w:t xml:space="preserve"> </w:t>
      </w:r>
      <w:r>
        <w:t xml:space="preserve">crop canopy. This simplification ignores the fact that in an</w:t>
      </w:r>
      <w:r>
        <w:t xml:space="preserve"> </w:t>
      </w:r>
      <w:r>
        <w:t xml:space="preserve">integrated APV–AD system, the panel geometry simultaneously</w:t>
      </w:r>
      <w:r>
        <w:t xml:space="preserve"> </w:t>
      </w:r>
      <w:r>
        <w:t xml:space="preserve">determines PV yield, crop PAR availability, residue production,</w:t>
      </w:r>
      <w:r>
        <w:t xml:space="preserve"> </w:t>
      </w:r>
      <w:r>
        <w:t xml:space="preserve">and VS input to the digester — four interlinked variables that</w:t>
      </w:r>
      <w:r>
        <w:t xml:space="preserve"> </w:t>
      </w:r>
      <w:r>
        <w:t xml:space="preserve">must be co-optimized rather than treated sequentially.</w:t>
      </w:r>
    </w:p>
    <w:bookmarkEnd w:id="11"/>
    <w:bookmarkStart w:id="12" w:name="X8eeb4576db55c8506367154bb5bcf5e8ac11389"/>
    <w:p>
      <w:pPr>
        <w:pStyle w:val="Heading2"/>
      </w:pPr>
      <w:r>
        <w:t xml:space="preserve">The Land Equivalent Ratio: History, Extensions,</w:t>
      </w:r>
      <w:r>
        <w:t xml:space="preserve"> </w:t>
      </w:r>
      <w:r>
        <w:t xml:space="preserve">and Limitations</w:t>
      </w:r>
    </w:p>
    <w:p>
      <w:pPr>
        <w:pStyle w:val="FirstParagraph"/>
      </w:pPr>
      <w:r>
        <w:t xml:space="preserve">The Land Equivalent Ratio was introduced by</w:t>
      </w:r>
      <w:r>
        <w:t xml:space="preserve"> </w:t>
      </w:r>
      <w:r>
        <w:t xml:space="preserve"> </w:t>
      </w:r>
      <w:r>
        <w:t xml:space="preserve">for intercropping systems, where it quantifies</w:t>
      </w:r>
      <w:r>
        <w:t xml:space="preserve"> </w:t>
      </w:r>
      <w:r>
        <w:t xml:space="preserve">the relative land area under separate monocultures that would be</w:t>
      </w:r>
      <w:r>
        <w:t xml:space="preserve"> </w:t>
      </w:r>
      <w:r>
        <w:t xml:space="preserve">required to produce the same combined yields as an intercropped</w:t>
      </w:r>
      <w:r>
        <w:t xml:space="preserve"> </w:t>
      </w:r>
      <w:r>
        <w:t xml:space="preserve">system. An LER of 1.4, for example, means that 40% more land</w:t>
      </w:r>
      <w:r>
        <w:t xml:space="preserve"> </w:t>
      </w:r>
      <w:r>
        <w:t xml:space="preserve">would be needed under monoculture to achieve the same total</w:t>
      </w:r>
      <w:r>
        <w:t xml:space="preserve"> </w:t>
      </w:r>
      <w:r>
        <w:t xml:space="preserve">output — a powerful argument for integration in land-constrained</w:t>
      </w:r>
      <w:r>
        <w:t xml:space="preserve"> </w:t>
      </w:r>
      <w:r>
        <w:t xml:space="preserve">contexts.</w:t>
      </w:r>
      <w:r>
        <w:t xml:space="preserve"> </w:t>
      </w:r>
      <w:r>
        <w:t xml:space="preserve"> </w:t>
      </w:r>
      <w:r>
        <w:t xml:space="preserve">adapted the metric to agrivoltaics</w:t>
      </w:r>
      <w:r>
        <w:t xml:space="preserve"> </w:t>
      </w:r>
      <w:r>
        <w:t xml:space="preserve">by replacing one of the two intercrop outputs with PV electricity,</w:t>
      </w:r>
      <w:r>
        <w:t xml:space="preserve"> </w:t>
      </w:r>
      <w:r>
        <w:t xml:space="preserve">defining the two-component agrivoltaic LER as: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t>2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crop,APV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crop,open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PV,APV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PV,ref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the denominators are the yields of the same crop and PV</w:t>
      </w:r>
      <w:r>
        <w:t xml:space="preserve"> </w:t>
      </w:r>
      <w:r>
        <w:t xml:space="preserve">technology operated separately on equivalent land areas.</w:t>
      </w:r>
    </w:p>
    <w:p>
      <w:pPr>
        <w:pStyle w:val="BodyText"/>
      </w:pPr>
      <w:r>
        <w:t xml:space="preserve">The choice of reference system for the PV denominator has emerged</w:t>
      </w:r>
      <w:r>
        <w:t xml:space="preserve"> </w:t>
      </w:r>
      <w:r>
        <w:t xml:space="preserve">as a methodological fault line in the agrivoltaic literature.</w:t>
      </w:r>
      <w:r>
        <w:t xml:space="preserve"> </w:t>
      </w:r>
      <w:r>
        <w:t xml:space="preserve">Three definitions are in common use, each yielding substantially</w:t>
      </w:r>
      <w:r>
        <w:t xml:space="preserve"> </w:t>
      </w:r>
      <w:r>
        <w:t xml:space="preserve">different numerical LER values for the same physical system.</w:t>
      </w:r>
      <w:r>
        <w:t xml:space="preserve"> </w:t>
      </w:r>
      <w:r>
        <w:t xml:space="preserve">The first — used by</w:t>
      </w:r>
      <w:r>
        <w:t xml:space="preserve"> </w:t>
      </w:r>
      <w:r>
        <w:t xml:space="preserve"> </w:t>
      </w:r>
      <w:r>
        <w:t xml:space="preserve">and most early studies</w:t>
      </w:r>
      <w:r>
        <w:t xml:space="preserve"> </w:t>
      </w:r>
      <w:r>
        <w:t xml:space="preserve">— compares APV electricity output to a dense-pack ground-mount</w:t>
      </w:r>
      <w:r>
        <w:t xml:space="preserve"> </w:t>
      </w:r>
      <w:r>
        <w:t xml:space="preserve">array at the same tilt, giving a rigorous independent reference</w:t>
      </w:r>
      <w:r>
        <w:t xml:space="preserve"> </w:t>
      </w:r>
      <w:r>
        <w:t xml:space="preserve">(Definition A in the present study). The second compares the APV</w:t>
      </w:r>
      <w:r>
        <w:t xml:space="preserve"> </w:t>
      </w:r>
      <w:r>
        <w:t xml:space="preserve">output to the same APV array itself, making LER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equal to the Ground Coverage Ratio by definition — a circular</w:t>
      </w:r>
      <w:r>
        <w:t xml:space="preserve"> </w:t>
      </w:r>
      <w:r>
        <w:t xml:space="preserve">reference identified and criticised by</w:t>
      </w:r>
      <w:r>
        <w:t xml:space="preserve"> </w:t>
      </w:r>
      <w:r>
        <w:t xml:space="preserve">.</w:t>
      </w:r>
      <w:r>
        <w:t xml:space="preserve"> </w:t>
      </w:r>
      <w:r>
        <w:t xml:space="preserve">The third normalizes by actual irradiance received rather than</w:t>
      </w:r>
      <w:r>
        <w:t xml:space="preserve"> </w:t>
      </w:r>
      <w:r>
        <w:t xml:space="preserve">potential output, conflating system performance with resource</w:t>
      </w:r>
      <w:r>
        <w:t xml:space="preserve"> </w:t>
      </w:r>
      <w:r>
        <w:t xml:space="preserve">availability.</w:t>
      </w:r>
      <w:r>
        <w:t xml:space="preserve"> </w:t>
      </w:r>
      <w:r>
        <w:t xml:space="preserve"> </w:t>
      </w:r>
      <w:r>
        <w:t xml:space="preserve">showed that the choice between</w:t>
      </w:r>
      <w:r>
        <w:t xml:space="preserve"> </w:t>
      </w:r>
      <w:r>
        <w:t xml:space="preserve">Definition A and the circular definition changes reported LER</w:t>
      </w:r>
      <w:r>
        <w:t xml:space="preserve"> </w:t>
      </w:r>
      <w:r>
        <w:t xml:space="preserve">values by 0.15–0.35, making cross-study comparisons unreliable</w:t>
      </w:r>
      <w:r>
        <w:t xml:space="preserve"> </w:t>
      </w:r>
      <w:r>
        <w:t xml:space="preserve">unless the reference is stated explicitly. The present study</w:t>
      </w:r>
      <w:r>
        <w:t xml:space="preserve"> </w:t>
      </w:r>
      <w:r>
        <w:t xml:space="preserve">reports results under both Definition A (primary) and</w:t>
      </w:r>
      <w:r>
        <w:t xml:space="preserve"> </w:t>
      </w:r>
      <w:r>
        <w:t xml:space="preserve">Definition B (circular, for literature comparability), and</w:t>
      </w:r>
      <w:r>
        <w:t xml:space="preserve"> </w:t>
      </w:r>
      <w:r>
        <w:t xml:space="preserve">flags the numerical difference explicitly in the Results section.</w:t>
      </w:r>
    </w:p>
    <w:p>
      <w:pPr>
        <w:pStyle w:val="BodyText"/>
      </w:pPr>
      <w:r>
        <w:t xml:space="preserve">A second unresolved limitation of the classical LER framework is</w:t>
      </w:r>
      <w:r>
        <w:t xml:space="preserve"> </w:t>
      </w:r>
      <w:r>
        <w:t xml:space="preserve">its restriction to two outputs. In an integrated APV–AD system,</w:t>
      </w:r>
      <w:r>
        <w:t xml:space="preserve"> </w:t>
      </w:r>
      <w:r>
        <w:t xml:space="preserve">three distinct land-use outputs are produced simultaneously:</w:t>
      </w:r>
      <w:r>
        <w:t xml:space="preserve"> </w:t>
      </w:r>
      <w:r>
        <w:t xml:space="preserve">crop yield, PV electricity, and biogas energy. Collapsing the</w:t>
      </w:r>
      <w:r>
        <w:t xml:space="preserve"> </w:t>
      </w:r>
      <w:r>
        <w:t xml:space="preserve">third output into the economic analysis — as a revenue item</w:t>
      </w:r>
      <w:r>
        <w:t xml:space="preserve"> </w:t>
      </w:r>
      <w:r>
        <w:t xml:space="preserve">in an NPV calculation — obscures its contribution to land-use</w:t>
      </w:r>
      <w:r>
        <w:t xml:space="preserve"> </w:t>
      </w:r>
      <w:r>
        <w:t xml:space="preserve">efficiency and prevents direct comparison with classical LER</w:t>
      </w:r>
      <w:r>
        <w:t xml:space="preserve"> </w:t>
      </w:r>
      <w:r>
        <w:t xml:space="preserve">values. No prior study has proposed a three-component LER</w:t>
      </w:r>
      <w:r>
        <w:t xml:space="preserve"> </w:t>
      </w:r>
      <w:r>
        <w:t xml:space="preserve">formulation that preserves the dimensional consistency and</w:t>
      </w:r>
      <w:r>
        <w:t xml:space="preserve"> </w:t>
      </w:r>
      <w:r>
        <w:t xml:space="preserve">interpretive clarity of the original metric while accommodating</w:t>
      </w:r>
      <w:r>
        <w:t xml:space="preserve"> </w:t>
      </w:r>
      <w:r>
        <w:t xml:space="preserve">a biogas energy term. The eLER proposed in the present study</w:t>
      </w:r>
      <w:r>
        <w:t xml:space="preserve"> </w:t>
      </w:r>
      <w:r>
        <w:t xml:space="preserve">fills this gap, defining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as the ratio of</w:t>
      </w:r>
      <w:r>
        <w:t xml:space="preserve"> </w:t>
      </w:r>
      <w:r>
        <w:t xml:space="preserve">APV-system biogas output to the output of a standalone AD unit</w:t>
      </w:r>
      <w:r>
        <w:t xml:space="preserve"> </w:t>
      </w:r>
      <w:r>
        <w:t xml:space="preserve">processing the same land area under open-field conditions, and</w:t>
      </w:r>
      <w:r>
        <w:t xml:space="preserve"> </w:t>
      </w:r>
      <w:r>
        <w:t xml:space="preserve">summing all three components into a single dimensionless indicator</w:t>
      </w:r>
      <w:r>
        <w:t xml:space="preserve"> </w:t>
      </w:r>
      <w:r>
        <w:t xml:space="preserve">of multi-output land productivity.</w:t>
      </w:r>
    </w:p>
    <w:bookmarkEnd w:id="12"/>
    <w:bookmarkStart w:id="14" w:name="Xf90869ece633f74697ff1531091abb5a8b43c7c"/>
    <w:p>
      <w:pPr>
        <w:pStyle w:val="Heading2"/>
      </w:pPr>
      <w:r>
        <w:t xml:space="preserve">The APV–AD Frontier: First Integration Studies</w:t>
      </w:r>
    </w:p>
    <w:p>
      <w:pPr>
        <w:pStyle w:val="FirstParagraph"/>
      </w:pPr>
      <w:r>
        <w:t xml:space="preserve">An early study to explicitly couple agrivoltaic and</w:t>
      </w:r>
      <w:r>
        <w:t xml:space="preserve"> </w:t>
      </w:r>
      <w:r>
        <w:t xml:space="preserve">anaerobic digestion optimization was</w:t>
      </w:r>
      <w:r>
        <w:t xml:space="preserve"> </w:t>
      </w:r>
      <w:r>
        <w:t xml:space="preserve">, who applied</w:t>
      </w:r>
      <w:r>
        <w:t xml:space="preserve"> </w:t>
      </w:r>
      <w:r>
        <w:t xml:space="preserve">a techno-economic framework to a grid-connected APV–AD plant in</w:t>
      </w:r>
      <w:r>
        <w:t xml:space="preserve"> </w:t>
      </w:r>
      <w:r>
        <w:t xml:space="preserve">northern Italy. Their system integrates single-axis tracking PV panels</w:t>
      </w:r>
      <w:r>
        <w:t xml:space="preserve"> </w:t>
      </w:r>
      <w:r>
        <w:t xml:space="preserve">above an agricultural field, with biogas produced from on-site biomass</w:t>
      </w:r>
      <w:r>
        <w:t xml:space="preserve"> </w:t>
      </w:r>
      <w:r>
        <w:t xml:space="preserve">feeding a combined heat and power (CHP) unit or a biomethane upgrading</w:t>
      </w:r>
      <w:r>
        <w:t xml:space="preserve"> </w:t>
      </w:r>
      <w:r>
        <w:t xml:space="preserve">system for grid injection. Using NPV as the objective function and land</w:t>
      </w:r>
      <w:r>
        <w:t xml:space="preserve"> </w:t>
      </w:r>
      <w:r>
        <w:t xml:space="preserve">occupation as a secondary constraint, they found that on-grid</w:t>
      </w:r>
      <w:r>
        <w:t xml:space="preserve"> </w:t>
      </w:r>
      <w:r>
        <w:t xml:space="preserve">configurations with heat pump integration require 17–20 times less</w:t>
      </w:r>
      <w:r>
        <w:t xml:space="preserve"> </w:t>
      </w:r>
      <w:r>
        <w:t xml:space="preserve">land than off-grid alternatives and achieve NPV values up to</w:t>
      </w:r>
      <w:r>
        <w:t xml:space="preserve"> </w:t>
      </w:r>
      <w:r>
        <w:t xml:space="preserve">million at the optimised design. The biomethane grid</w:t>
      </w:r>
      <w:r>
        <w:t xml:space="preserve"> </w:t>
      </w:r>
      <w:r>
        <w:t xml:space="preserve">injection scenario, valued at 5.5 times the electricity purchase price</w:t>
      </w:r>
      <w:r>
        <w:t xml:space="preserve"> </w:t>
      </w:r>
      <w:r>
        <w:t xml:space="preserve">under EEG 2023 and RED III incentives, emerged as the economically</w:t>
      </w:r>
      <w:r>
        <w:t xml:space="preserve"> </w:t>
      </w:r>
      <w:r>
        <w:t xml:space="preserve">preferred valorisation strategy — a finding that directly motivates</w:t>
      </w:r>
      <w:r>
        <w:t xml:space="preserve"> </w:t>
      </w:r>
      <w:r>
        <w:t xml:space="preserve">Scenario S5 of the present study.</w:t>
      </w:r>
    </w:p>
    <w:p>
      <w:pPr>
        <w:pStyle w:val="BodyText"/>
      </w:pPr>
      <w:r>
        <w:t xml:space="preserve">Despite its pioneering contribution, the work of</w:t>
      </w:r>
      <w:r>
        <w:t xml:space="preserve"> </w:t>
      </w:r>
      <w:r>
        <w:t xml:space="preserve"> </w:t>
      </w:r>
      <w:r>
        <w:t xml:space="preserve">has four significant limitations that the present study addresses.</w:t>
      </w:r>
      <w:r>
        <w:t xml:space="preserve"> </w:t>
      </w:r>
      <w:r>
        <w:t xml:space="preserve">First, the analysis is geographically limited to a single</w:t>
      </w:r>
      <w:r>
        <w:t xml:space="preserve"> </w:t>
      </w:r>
      <w:r>
        <w:t xml:space="preserve">Mediterranean location (northern Italy, Cfb climate), preventing</w:t>
      </w:r>
      <w:r>
        <w:t xml:space="preserve"> </w:t>
      </w:r>
      <w:r>
        <w:t xml:space="preserve">any inference about how the APV–AD synergy varies with solar</w:t>
      </w:r>
      <w:r>
        <w:t xml:space="preserve"> </w:t>
      </w:r>
      <w:r>
        <w:t xml:space="preserve">resource, ambient temperature, or growing-season length.</w:t>
      </w:r>
      <w:r>
        <w:t xml:space="preserve"> </w:t>
      </w:r>
      <w:r>
        <w:t xml:space="preserve">Second, the crop beneath the panels is treated exclusively as a</w:t>
      </w:r>
      <w:r>
        <w:t xml:space="preserve"> </w:t>
      </w:r>
      <w:r>
        <w:t xml:space="preserve">biomass feedstock source: no crop yield model is implemented,</w:t>
      </w:r>
      <w:r>
        <w:t xml:space="preserve"> </w:t>
      </w:r>
      <w:r>
        <w:t xml:space="preserve">and the effect of panel shading on photosynthesis, PAR</w:t>
      </w:r>
      <w:r>
        <w:t xml:space="preserve"> </w:t>
      </w:r>
      <w:r>
        <w:t xml:space="preserve">distribution, or harvest quantity is not quantified.</w:t>
      </w:r>
      <w:r>
        <w:t xml:space="preserve"> </w:t>
      </w:r>
      <w:r>
        <w:t xml:space="preserve">Third, no land-use efficiency metric is defined beyond raw land</w:t>
      </w:r>
      <w:r>
        <w:t xml:space="preserve"> </w:t>
      </w:r>
      <w:r>
        <w:t xml:space="preserve">occupation; the eLER concept — or any equivalent multi-output</w:t>
      </w:r>
      <w:r>
        <w:t xml:space="preserve"> </w:t>
      </w:r>
      <w:r>
        <w:t xml:space="preserve">indicator — is absent, making it impossible to assess how</w:t>
      </w:r>
      <w:r>
        <w:t xml:space="preserve"> </w:t>
      </w:r>
      <w:r>
        <w:t xml:space="preserve">efficiently the integrated system uses land relative to three</w:t>
      </w:r>
      <w:r>
        <w:t xml:space="preserve"> </w:t>
      </w:r>
      <w:r>
        <w:t xml:space="preserve">separate monocultures.</w:t>
      </w:r>
      <w:r>
        <w:t xml:space="preserve"> </w:t>
      </w:r>
      <w:r>
        <w:t xml:space="preserve">Fourth, the optimization searches only the economic design space</w:t>
      </w:r>
      <w:r>
        <w:t xml:space="preserve"> </w:t>
      </w:r>
      <w:r>
        <w:t xml:space="preserve">(CHP vs. biomethane, on-grid vs. off-grid) without jointly</w:t>
      </w:r>
      <w:r>
        <w:t xml:space="preserve"> </w:t>
      </w:r>
      <w:r>
        <w:t xml:space="preserve">optimizing the APV geometry (tilt, row spacing, module height)</w:t>
      </w:r>
      <w:r>
        <w:t xml:space="preserve"> </w:t>
      </w:r>
      <w:r>
        <w:t xml:space="preserve">and AD design (digester volume, HRT, heating fraction)</w:t>
      </w:r>
      <w:r>
        <w:t xml:space="preserve"> </w:t>
      </w:r>
      <w:r>
        <w:t xml:space="preserve">simultaneously.</w:t>
      </w:r>
    </w:p>
    <w:p>
      <w:pPr>
        <w:pStyle w:val="BodyText"/>
      </w:pPr>
      <w:r>
        <w:t xml:space="preserve">Table </w:t>
      </w:r>
      <w:hyperlink w:anchor="tab:positionin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positioning of the</w:t>
      </w:r>
      <w:r>
        <w:t xml:space="preserve"> </w:t>
      </w:r>
      <w:r>
        <w:t xml:space="preserve">present study relative to the most relevant prior works across</w:t>
      </w:r>
      <w:r>
        <w:t xml:space="preserve"> </w:t>
      </w:r>
      <w:r>
        <w:t xml:space="preserve">the agrivoltaic, AD integration, and LER literatures.</w:t>
      </w:r>
    </w:p>
    <w:bookmarkStart w:id="13" w:name="tab:positioning"/>
    <w:p>
      <w:pPr>
        <w:pStyle w:val="TableCaption"/>
      </w:pPr>
      <w:r>
        <w:t xml:space="preserve">Positioning of the present study relative to key prior works.</w:t>
      </w:r>
      <w:r>
        <w:t xml:space="preserve"> </w:t>
      </w:r>
      <w:r>
        <w:t xml:space="preserve"> = fully addressed;</w:t>
      </w:r>
      <w:r>
        <w:t xml:space="preserve"> </w:t>
      </w:r>
      <m:oMath>
        <m:r>
          <m:rPr>
            <m:sty m:val="p"/>
          </m:rPr>
          <m:t>∘</m:t>
        </m:r>
      </m:oMath>
      <w:r>
        <w:t xml:space="preserve"> = partially addressed;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 = not addressed.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ositioning of the present study relative to key prior works.  = fully addressed; \circ = partially addressed; \times = not addressed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Multi-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Crop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climate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yield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thermal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optim.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study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End w:id="14"/>
    <w:bookmarkStart w:id="15" w:name="X8ec7f6d49f3c45771cf9d66a02272f286801281"/>
    <w:p>
      <w:pPr>
        <w:pStyle w:val="Heading2"/>
      </w:pPr>
      <w:r>
        <w:t xml:space="preserve">Multi-Climate Comparative Studies and Research Positioning</w:t>
      </w:r>
    </w:p>
    <w:p>
      <w:pPr>
        <w:pStyle w:val="FirstParagraph"/>
      </w:pPr>
      <w:r>
        <w:t xml:space="preserve">Multi-site comparative analyses in agrivoltaic research</w:t>
      </w:r>
      <w:r>
        <w:t xml:space="preserve"> </w:t>
      </w:r>
      <w:r>
        <w:t xml:space="preserve">remain rare.</w:t>
      </w:r>
      <w:r>
        <w:t xml:space="preserve"> </w:t>
      </w:r>
      <w:r>
        <w:t xml:space="preserve"> </w:t>
      </w:r>
      <w:r>
        <w:t xml:space="preserve">modelled shading factors and POA</w:t>
      </w:r>
      <w:r>
        <w:t xml:space="preserve"> </w:t>
      </w:r>
      <w:r>
        <w:t xml:space="preserve">irradiance across five European locations using a validated geometric</w:t>
      </w:r>
      <w:r>
        <w:t xml:space="preserve"> </w:t>
      </w:r>
      <w:r>
        <w:t xml:space="preserve">model, but without crop yield, economic, or water analysis. Their study</w:t>
      </w:r>
      <w:r>
        <w:t xml:space="preserve"> </w:t>
      </w:r>
      <w:r>
        <w:t xml:space="preserve">confirmed that the shading geometry is strongly latitude-dependent —</w:t>
      </w:r>
      <w:r>
        <w:t xml:space="preserve"> </w:t>
      </w:r>
      <w:r>
        <w:t xml:space="preserve">the same panel configuration produces significantly different ground</w:t>
      </w:r>
      <w:r>
        <w:t xml:space="preserve"> </w:t>
      </w:r>
      <w:r>
        <w:t xml:space="preserve">irradiance distributions at 38°N (Spain) versus 52°N (Netherlands) —</w:t>
      </w:r>
      <w:r>
        <w:t xml:space="preserve"> </w:t>
      </w:r>
      <w:r>
        <w:t xml:space="preserve">motivating the multi-latitude design of the present study.</w:t>
      </w:r>
      <w:r>
        <w:t xml:space="preserve"> </w:t>
      </w:r>
      <w:r>
        <w:t xml:space="preserve"> </w:t>
      </w:r>
      <w:r>
        <w:t xml:space="preserve">conducted a meta-analysis across 127 agrivoltaic case studies spanning</w:t>
      </w:r>
      <w:r>
        <w:t xml:space="preserve"> </w:t>
      </w:r>
      <w:r>
        <w:t xml:space="preserve">Europe, Asia, and North America, finding that climate zone explains</w:t>
      </w:r>
      <w:r>
        <w:t xml:space="preserve"> </w:t>
      </w:r>
      <w:r>
        <w:t xml:space="preserve">approximately 18% of LER variance after controlling for crop species</w:t>
      </w:r>
      <w:r>
        <w:t xml:space="preserve"> </w:t>
      </w:r>
      <w:r>
        <w:t xml:space="preserve">and panel technology, but without isolating the mechanism.</w:t>
      </w:r>
    </w:p>
    <w:p>
      <w:pPr>
        <w:pStyle w:val="BodyText"/>
      </w:pPr>
      <w:r>
        <w:t xml:space="preserve">No prior study has applied an integrated APV–AD framework to more than</w:t>
      </w:r>
      <w:r>
        <w:t xml:space="preserve"> </w:t>
      </w:r>
      <w:r>
        <w:t xml:space="preserve">one climate zone, nor has any study included a site from tropical</w:t>
      </w:r>
      <w:r>
        <w:t xml:space="preserve"> </w:t>
      </w:r>
      <w:r>
        <w:t xml:space="preserve">Sub-Saharan Africa (BSh tropical), where the combination of year-round</w:t>
      </w:r>
      <w:r>
        <w:t xml:space="preserve"> </w:t>
      </w:r>
      <w:r>
        <w:t xml:space="preserve">near-optimal digester temperatures (ambient T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amb</m:t>
            </m:r>
          </m:sub>
        </m:sSub>
        <m:r>
          <m:rPr>
            <m:sty m:val="p"/>
          </m:rPr>
          <m:t>≥</m:t>
        </m:r>
      </m:oMath>
      <w:r>
        <w:t xml:space="preserve"> </w:t>
      </w:r>
      <w:r>
        <w:t xml:space="preserve">22 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throughout the year), high solar irradiance</w:t>
      </w:r>
      <w:r>
        <w:t xml:space="preserve"> </w:t>
      </w:r>
      <w:r>
        <w:t xml:space="preserve">(2050 kWh   m</w:t>
      </w:r>
      <w:r>
        <w:rPr>
          <w:vertAlign w:val="superscript"/>
        </w:rPr>
        <w:t xml:space="preserve">−2</w:t>
      </w:r>
      <w:r>
        <w:t xml:space="preserve">), and acute energy poverty creates a</w:t>
      </w:r>
      <w:r>
        <w:t xml:space="preserve"> </w:t>
      </w:r>
      <w:r>
        <w:t xml:space="preserve">particularly strong case for integrated APV–AD deployment. The inclusion of</w:t>
      </w:r>
      <w:r>
        <w:t xml:space="preserve"> </w:t>
      </w:r>
      <w:r>
        <w:t xml:space="preserve">Ouagadougou, Burkina Faso in the present study — alongside Konya</w:t>
      </w:r>
      <w:r>
        <w:t xml:space="preserve"> </w:t>
      </w:r>
      <w:r>
        <w:t xml:space="preserve">(BSk), Almería (BSh hot), and Freiburg (Cfb) — enables a quantitative comparison of APV–AD performance across the full</w:t>
      </w:r>
      <w:r>
        <w:t xml:space="preserve"> </w:t>
      </w:r>
      <w:r>
        <w:t xml:space="preserve">semi-arid-to-temperate spectrum.</w:t>
      </w:r>
    </w:p>
    <w:p>
      <w:pPr>
        <w:pStyle w:val="BodyText"/>
      </w:pPr>
      <w:r>
        <w:t xml:space="preserve">The present study extends prior work by:</w:t>
      </w:r>
      <w:r>
        <w:t xml:space="preserve"> </w:t>
      </w:r>
      <w:r>
        <w:t xml:space="preserve">(i) applying a joint APV–AD optimizer across four climate zones,</w:t>
      </w:r>
      <w:r>
        <w:t xml:space="preserve"> </w:t>
      </w:r>
      <w:r>
        <w:t xml:space="preserve">(ii) introducing a three-component eLER as the optimization objective,</w:t>
      </w:r>
      <w:r>
        <w:t xml:space="preserve"> </w:t>
      </w:r>
      <w:r>
        <w:t xml:space="preserve">(iii) identifying and mechanistically explaining a non-monotone relationship</w:t>
      </w:r>
      <w:r>
        <w:t xml:space="preserve"> </w:t>
      </w:r>
      <w:r>
        <w:t xml:space="preserve">between annual solar resource and eLER through the PAR-saturation</w:t>
      </w:r>
      <w:r>
        <w:t xml:space="preserve"> </w:t>
      </w:r>
      <w:r>
        <w:t xml:space="preserve">mechanism, and</w:t>
      </w:r>
      <w:r>
        <w:t xml:space="preserve"> </w:t>
      </w:r>
      <w:r>
        <w:t xml:space="preserve">(iv) providing a 4E analysis — Energetic, Economic, Energo-economic,</w:t>
      </w:r>
      <w:r>
        <w:t xml:space="preserve"> </w:t>
      </w:r>
      <w:r>
        <w:t xml:space="preserve">and Environmental — for an integrated APV–AD system across</w:t>
      </w:r>
      <w:r>
        <w:t xml:space="preserve"> </w:t>
      </w:r>
      <w:r>
        <w:t xml:space="preserve">contrasting climate zones. Together, these contributions address</w:t>
      </w:r>
      <w:r>
        <w:t xml:space="preserve"> </w:t>
      </w:r>
      <w:r>
        <w:t xml:space="preserve">the six research gaps identified in Section </w:t>
      </w:r>
      <w:hyperlink w:anchor="sec:intro">
        <w:r>
          <w:rPr>
            <w:rStyle w:val="Hyperlink"/>
          </w:rPr>
          <w:t xml:space="preserve">[sec:intro]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establish a replicable framework for the site-specific deployment</w:t>
      </w:r>
      <w:r>
        <w:t xml:space="preserve"> </w:t>
      </w:r>
      <w:r>
        <w:t xml:space="preserve">assessment of integrated APV–AD systems in food-energy-water nexus</w:t>
      </w:r>
      <w:r>
        <w:t xml:space="preserve"> </w:t>
      </w:r>
      <w:r>
        <w:t xml:space="preserve">planning.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2026-08-06T11:51:56Z</dcterms:created>
  <dcterms:modified xsi:type="dcterms:W3CDTF">2026-08-06T11:51:56Z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