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ec:method"/>
    <w:p>
      <w:pPr>
        <w:pStyle w:val="Heading1"/>
      </w:pPr>
      <w:r>
        <w:t xml:space="preserve">Methodology</w:t>
      </w:r>
    </w:p>
    <w:bookmarkStart w:id="18" w:name="sec:sites"/>
    <w:p>
      <w:pPr>
        <w:pStyle w:val="Heading2"/>
      </w:pPr>
      <w:r>
        <w:t xml:space="preserve">Study Sites and Climate Data</w:t>
      </w:r>
    </w:p>
    <w:p>
      <w:pPr>
        <w:pStyle w:val="FirstParagraph"/>
      </w:pPr>
      <w:r>
        <w:t xml:space="preserve">Four sites were selected to span four distinct Köppen–Geiger</w:t>
      </w:r>
      <w:r>
        <w:t xml:space="preserve"> </w:t>
      </w:r>
      <w:r>
        <w:t xml:space="preserve">climate subtypes across a latitudinal range of 12 °N to</w:t>
      </w:r>
      <w:r>
        <w:t xml:space="preserve"> </w:t>
      </w:r>
      <w:r>
        <w:t xml:space="preserve">48 °N (Table </w:t>
      </w:r>
      <w:hyperlink w:anchor="tab:sites">
        <w:r>
          <w:rPr>
            <w:rStyle w:val="Hyperlink"/>
          </w:rPr>
          <w:t xml:space="preserve">1</w:t>
        </w:r>
      </w:hyperlink>
      <w:r>
        <w:t xml:space="preserve">, Figure </w:t>
      </w:r>
      <w:hyperlink w:anchor="fig:sitemap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The selection criterion was maximum climate diversity within the semi-arid</w:t>
      </w:r>
      <w:r>
        <w:t xml:space="preserve"> </w:t>
      </w:r>
      <w:r>
        <w:t xml:space="preserve">and adjacent temperate zones that represent the primary deployment contexts</w:t>
      </w:r>
      <w:r>
        <w:t xml:space="preserve"> </w:t>
      </w:r>
      <w:r>
        <w:t xml:space="preserve">for agrivoltaic systems: two hot and cold semi-arid sites (Almería</w:t>
      </w:r>
      <w:r>
        <w:t xml:space="preserve"> </w:t>
      </w:r>
      <w:r>
        <w:t xml:space="preserve">BSh and Konya BSk), one tropical semi-arid site (Ouagadougou BSh), and</w:t>
      </w:r>
      <w:r>
        <w:t xml:space="preserve"> </w:t>
      </w:r>
      <w:r>
        <w:t xml:space="preserve">one oceanic temperate site (Freiburg Cfb) included as a northern European</w:t>
      </w:r>
      <w:r>
        <w:t xml:space="preserve"> </w:t>
      </w:r>
      <w:r>
        <w:t xml:space="preserve">reference.</w:t>
      </w:r>
    </w:p>
    <w:bookmarkStart w:id="12" w:name="fig:sitemap"/>
    <w:p>
      <w:pPr>
        <w:pStyle w:val="CaptionedFigure"/>
      </w:pPr>
      <w:r>
        <w:drawing>
          <wp:inline>
            <wp:extent cx="4889326" cy="386636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fig01_site_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326" cy="3866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Location map of the four study sites overlaid on the</w:t>
      </w:r>
      <w:r>
        <w:t xml:space="preserve"> </w:t>
      </w:r>
      <w:r>
        <w:t xml:space="preserve">Köppen–Geiger climate classification. Semi-arid zones (BS)</w:t>
      </w:r>
      <w:r>
        <w:t xml:space="preserve"> </w:t>
      </w:r>
      <w:r>
        <w:t xml:space="preserve">are shaded in light yellow; the oceanic temperate zone (Cfb) in</w:t>
      </w:r>
      <w:r>
        <w:t xml:space="preserve"> </w:t>
      </w:r>
      <w:r>
        <w:t xml:space="preserve">light blue.</w:t>
      </w:r>
    </w:p>
    <w:bookmarkEnd w:id="12"/>
    <w:p>
      <w:pPr>
        <w:pStyle w:val="BodyText"/>
      </w:pPr>
      <w:r>
        <w:t xml:space="preserve">Hourly climate data were obtained from the PVGIS-SARAH3 Typical</w:t>
      </w:r>
      <w:r>
        <w:t xml:space="preserve"> </w:t>
      </w:r>
      <w:r>
        <w:t xml:space="preserve">Meteorological Year (TMY) database of the European Commission Joint</w:t>
      </w:r>
      <w:r>
        <w:t xml:space="preserve"> </w:t>
      </w:r>
      <w:r>
        <w:t xml:space="preserve">Research Centre </w:t>
      </w:r>
      <w:r>
        <w:t xml:space="preserve">. The SARAH3 satellite product</w:t>
      </w:r>
      <w:r>
        <w:t xml:space="preserve"> </w:t>
      </w:r>
      <w:r>
        <w:t xml:space="preserve">provides direct normal irradiance (DNI) and diffuse horizontal irradiance</w:t>
      </w:r>
      <w:r>
        <w:t xml:space="preserve"> </w:t>
      </w:r>
      <w:r>
        <w:t xml:space="preserve">(DHI) as independent retrievals, without decomposition from global</w:t>
      </w:r>
      <w:r>
        <w:t xml:space="preserve"> </w:t>
      </w:r>
      <w:r>
        <w:t xml:space="preserve">horizontal irradiance (GHI). This avoids the systematic decomposition</w:t>
      </w:r>
      <w:r>
        <w:t xml:space="preserve"> </w:t>
      </w:r>
      <w:r>
        <w:t xml:space="preserve">errors of up to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8% reported for empirical decomposition models</w:t>
      </w:r>
      <w:r>
        <w:t xml:space="preserve"> </w:t>
      </w:r>
      <w:r>
        <w:t xml:space="preserve">under broken cloud conditions </w:t>
      </w:r>
      <w:r>
        <w:t xml:space="preserve">. The mean bias error</w:t>
      </w:r>
      <w:r>
        <w:t xml:space="preserve"> </w:t>
      </w:r>
      <w:r>
        <w:t xml:space="preserve">of PVGIS-SARAH3 GHI estimates is below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5% for monthly averages</w:t>
      </w:r>
      <w:r>
        <w:t xml:space="preserve"> </w:t>
      </w:r>
      <w:r>
        <w:t xml:space="preserve">at all four study sites </w:t>
      </w:r>
      <w:r>
        <w:t xml:space="preserve">. The TMY file format provides</w:t>
      </w:r>
      <w:r>
        <w:t xml:space="preserve"> </w:t>
      </w:r>
      <w:r>
        <w:t xml:space="preserve">ten meteorological variables at hourly resolution (8760 rows per site):</w:t>
      </w:r>
      <w:r>
        <w:t xml:space="preserve"> </w:t>
      </w:r>
      <w:r>
        <w:t xml:space="preserve">air temperature T</w:t>
      </w:r>
      <m:oMath>
        <m:sSub>
          <m:e>
            <m:r>
              <m:t>​</m:t>
            </m:r>
          </m:e>
          <m:sub>
            <m:r>
              <m:t>2</m:t>
            </m:r>
            <m:r>
              <m:t>m</m:t>
            </m:r>
          </m:sub>
        </m:sSub>
      </m:oMath>
      <w:r>
        <w:t xml:space="preserve"> </w:t>
      </w:r>
      <w:r>
        <w:t xml:space="preserve">(°C), relative humidity RH (%),</w:t>
      </w:r>
      <w:r>
        <w:t xml:space="preserve"> </w:t>
      </w:r>
      <w:r>
        <w:t xml:space="preserve">GHI, DNI, DHI (W m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), downwelling infrared irradiance IR(h)</w:t>
      </w:r>
      <w:r>
        <w:t xml:space="preserve"> </w:t>
      </w:r>
      <w:r>
        <w:t xml:space="preserve">(W m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), 10-m wind speed WS</w:t>
      </w:r>
      <m:oMath>
        <m:sSub>
          <m:e>
            <m:r>
              <m:t>​</m:t>
            </m:r>
          </m:e>
          <m:sub>
            <m:r>
              <m:t>10</m:t>
            </m:r>
            <m:r>
              <m:t>m</m:t>
            </m:r>
          </m:sub>
        </m:sSub>
      </m:oMath>
      <w:r>
        <w:t xml:space="preserve"> </w:t>
      </w:r>
      <w:r>
        <w:t xml:space="preserve">(m s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wind</w:t>
      </w:r>
      <w:r>
        <w:t xml:space="preserve"> </w:t>
      </w:r>
      <w:r>
        <w:t xml:space="preserve">direction WD</w:t>
      </w:r>
      <m:oMath>
        <m:sSub>
          <m:e>
            <m:r>
              <m:t>​</m:t>
            </m:r>
          </m:e>
          <m:sub>
            <m:r>
              <m:t>10</m:t>
            </m:r>
            <m:r>
              <m:t>m</m:t>
            </m:r>
          </m:sub>
        </m:sSub>
      </m:oMath>
      <w:r>
        <w:t xml:space="preserve"> </w:t>
      </w:r>
      <w:r>
        <w:t xml:space="preserve">(°), and surface pressure SP (Pa).</w:t>
      </w:r>
    </w:p>
    <w:bookmarkStart w:id="13" w:name="tab:sites"/>
    <w:p>
      <w:pPr>
        <w:pStyle w:val="TableCaption"/>
      </w:pPr>
      <w:r>
        <w:t xml:space="preserve">Geographical and climatic characteristics of the four study</w:t>
      </w:r>
      <w:r>
        <w:t xml:space="preserve"> </w:t>
      </w:r>
      <w:r>
        <w:t xml:space="preserve">sites (PVGIS-SARAH3 TMY data).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ographical and climatic characteristics of the four study sites (PVGIS-SARAH3 TMY data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Konya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Almería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Ouagadougou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Freiburg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37.87°N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36.83°N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12.37°N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47.99°N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32.49°E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2.46°W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1.52°W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7.85°E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 (m a.s.l.)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Köppen 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GHI (kWh m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2 050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1 150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annual T (°C)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Summer T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Winter T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−</m:t>
              </m:r>
              <m:r>
                <m:t>12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ET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1 800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precip.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800</w:t>
            </w:r>
          </w:p>
        </w:tc>
      </w:tr>
    </w:tbl>
    <w:bookmarkEnd w:id="13"/>
    <w:bookmarkStart w:id="17" w:name="fig:climateprofiles"/>
    <w:p>
      <w:pPr>
        <w:pStyle w:val="CaptionedFigure"/>
      </w:pPr>
      <w:r>
        <w:drawing>
          <wp:inline>
            <wp:extent cx="5334000" cy="389880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/fig02_climate_profil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8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climate profiles for the four study sites from</w:t>
      </w:r>
      <w:r>
        <w:t xml:space="preserve"> </w:t>
      </w:r>
      <w:r>
        <w:t xml:space="preserve">PVGIS-SARAH3 TMY data. Upper row: monthly GHI (kWh m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with annual total annotated; lower row: mean monthly air temperature</w:t>
      </w:r>
      <w:r>
        <w:t xml:space="preserve"> </w:t>
      </w:r>
      <w:r>
        <w:t xml:space="preserve">(°C). Shaded bands indicate the tomato growing season</w:t>
      </w:r>
      <w:r>
        <w:t xml:space="preserve"> </w:t>
      </w:r>
      <w:r>
        <w:t xml:space="preserve">at each site.</w:t>
      </w:r>
    </w:p>
    <w:bookmarkEnd w:id="17"/>
    <w:p>
      <w:pPr>
        <w:pStyle w:val="BodyText"/>
      </w:pPr>
      <w:r>
        <w:t xml:space="preserve">The four sites span a mean annual temperature range of</w:t>
      </w:r>
      <w:r>
        <w:t xml:space="preserve"> </w:t>
      </w:r>
      <w:r>
        <w:t xml:space="preserve">11.4–28.5 °C, a GHI range of 1 150–2 050 kWh m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growing seasons of 122–189 days. This diversity ensures that the</w:t>
      </w:r>
      <w:r>
        <w:t xml:space="preserve"> </w:t>
      </w:r>
      <w:r>
        <w:t xml:space="preserve">model is tested across the full range of Arrhenius BMP suppression</w:t>
      </w:r>
      <w:r>
        <w:t xml:space="preserve"> </w:t>
      </w:r>
      <w:r>
        <w:t xml:space="preserve">(from negligible at Ouagadougou to severe at Freiburg in January)</w:t>
      </w:r>
      <w:r>
        <w:t xml:space="preserve"> </w:t>
      </w:r>
      <w:r>
        <w:t xml:space="preserve">and PAR saturation regimes (from frequent saturation at Ouagadougou</w:t>
      </w:r>
      <w:r>
        <w:t xml:space="preserve"> </w:t>
      </w:r>
      <w:r>
        <w:t xml:space="preserve">to rare saturation at Freiburg), providing the basis for the</w:t>
      </w:r>
      <w:r>
        <w:t xml:space="preserve"> </w:t>
      </w:r>
      <w:r>
        <w:t xml:space="preserve">multi-climate findings reported in Section </w:t>
      </w:r>
      <w:hyperlink w:anchor="sec:results">
        <w:r>
          <w:rPr>
            <w:rStyle w:val="Hyperlink"/>
          </w:rPr>
          <w:t xml:space="preserve">[sec:results]</w:t>
        </w:r>
      </w:hyperlink>
      <w:r>
        <w:t xml:space="preserve">.</w:t>
      </w:r>
    </w:p>
    <w:bookmarkEnd w:id="18"/>
    <w:bookmarkStart w:id="20" w:name="sec:crop"/>
    <w:p>
      <w:pPr>
        <w:pStyle w:val="Heading2"/>
      </w:pPr>
      <w:r>
        <w:t xml:space="preserve">Crop Parameters and Growing Seasons</w:t>
      </w:r>
    </w:p>
    <w:p>
      <w:pPr>
        <w:pStyle w:val="FirstParagraph"/>
      </w:pPr>
      <w:r>
        <w:t xml:space="preserve">Tomato (</w:t>
      </w:r>
      <w:r>
        <w:rPr>
          <w:i/>
          <w:iCs/>
        </w:rPr>
        <w:t xml:space="preserve">Solanum lycopersicum</w:t>
      </w:r>
      <w:r>
        <w:t xml:space="preserve">) was selected as the</w:t>
      </w:r>
      <w:r>
        <w:t xml:space="preserve"> </w:t>
      </w:r>
      <w:r>
        <w:t xml:space="preserve">reference crop for all four sites on the basis of three criteria: it is</w:t>
      </w:r>
      <w:r>
        <w:t xml:space="preserve"> </w:t>
      </w:r>
      <w:r>
        <w:t xml:space="preserve">cultivated commercially in all four study regions, its PAR saturation</w:t>
      </w:r>
      <w:r>
        <w:t xml:space="preserve"> </w:t>
      </w:r>
      <w:r>
        <w:t xml:space="preserve">point (174 W   m</w:t>
      </w:r>
      <w:r>
        <w:rPr>
          <w:vertAlign w:val="superscript"/>
        </w:rPr>
        <w:t xml:space="preserve">−2</w:t>
      </w:r>
      <w:r>
        <w:t xml:space="preserve">) is well-documented and places it in the</w:t>
      </w:r>
      <w:r>
        <w:t xml:space="preserve"> </w:t>
      </w:r>
      <w:r>
        <w:t xml:space="preserve">high-irradiance sensitivity range where APV shading effects are most</w:t>
      </w:r>
      <w:r>
        <w:t xml:space="preserve"> </w:t>
      </w:r>
      <w:r>
        <w:t xml:space="preserve">pronounced, and its residue-to-fruit ratio and BMP are among the</w:t>
      </w:r>
      <w:r>
        <w:t xml:space="preserve"> </w:t>
      </w:r>
      <w:r>
        <w:t xml:space="preserve">best-characterised in the agrivoltaic and AD</w:t>
      </w:r>
      <w:r>
        <w:t xml:space="preserve"> </w:t>
      </w:r>
      <w:r>
        <w:t xml:space="preserve">literatures </w:t>
      </w:r>
      <w:r>
        <w:t xml:space="preserve">.</w:t>
      </w:r>
    </w:p>
    <w:p>
      <w:pPr>
        <w:pStyle w:val="BodyText"/>
      </w:pPr>
      <w:r>
        <w:t xml:space="preserve">Site-specific planting and harvest dates follow local agricultural</w:t>
      </w:r>
      <w:r>
        <w:t xml:space="preserve"> </w:t>
      </w:r>
      <w:r>
        <w:t xml:space="preserve">calendars (Table </w:t>
      </w:r>
      <w:hyperlink w:anchor="tab:crop">
        <w:r>
          <w:rPr>
            <w:rStyle w:val="Hyperlink"/>
          </w:rPr>
          <w:t xml:space="preserve">2</w:t>
        </w:r>
      </w:hyperlink>
      <w:r>
        <w:t xml:space="preserve">). The three semi-arid sites use a fresh</w:t>
      </w:r>
      <w:r>
        <w:t xml:space="preserve"> </w:t>
      </w:r>
      <w:r>
        <w:t xml:space="preserve">fruit yield of 60 t   ha</w:t>
      </w:r>
      <w:r>
        <w:rPr>
          <w:vertAlign w:val="superscript"/>
        </w:rPr>
        <w:t xml:space="preserve">−1</w:t>
      </w:r>
      <w:r>
        <w:t xml:space="preserve">, consistent with irrigated greenhouse</w:t>
      </w:r>
      <w:r>
        <w:t xml:space="preserve"> </w:t>
      </w:r>
      <w:r>
        <w:t xml:space="preserve">and open-field production in Mediterranean and tropical semi-arid</w:t>
      </w:r>
      <w:r>
        <w:t xml:space="preserve"> </w:t>
      </w:r>
      <w:r>
        <w:t xml:space="preserve">contexts </w:t>
      </w:r>
      <w:r>
        <w:t xml:space="preserve">. Freiburg uses 30 t   ha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following German open-field production statistics </w:t>
      </w:r>
      <w:r>
        <w:t xml:space="preserve">.</w:t>
      </w:r>
    </w:p>
    <w:bookmarkStart w:id="19" w:name="tab:crop"/>
    <w:p>
      <w:pPr>
        <w:pStyle w:val="TableCaption"/>
      </w:pPr>
      <w:r>
        <w:t xml:space="preserve">Site-specific agronomic, economic, and environmental parameters.</w:t>
      </w:r>
      <w:r>
        <w:t xml:space="preserve"> </w:t>
      </w:r>
      <w:r>
        <w:t xml:space="preserve">Grid emission factors (EF) from</w:t>
      </w:r>
      <w:r>
        <w:t xml:space="preserve"> </w:t>
      </w:r>
      <w:r>
        <w:t xml:space="preserve"> </w:t>
      </w:r>
      <w:r>
        <w:t xml:space="preserve">and Umweltbundesamt (2023).</w:t>
      </w:r>
      <w:r>
        <w:t xml:space="preserve"> </w:t>
      </w:r>
      <w:r>
        <w:t xml:space="preserve">Carbon prices from EU ETS (2024) for Almería and Freiburg;</w:t>
      </w:r>
      <w:r>
        <w:t xml:space="preserve"> </w:t>
      </w:r>
      <w:r>
        <w:t xml:space="preserve">voluntary market rates for Konya and Ouagadougou.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te-specific agronomic, economic, and environmental parameters. Grid emission factors (EF) from  and Umweltbundesamt (2023). Carbon prices from EU ETS (2024) for Almería and Freiburg; voluntary market rates for Konya and Ouagadougou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Konya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Almería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Ouagadougou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Freiburg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Planting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Apr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Mar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Jul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Harvest 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Oct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Jun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Oct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Oct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 length (days)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Fruit yield (t ha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 ET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Residue ratio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res</m:t>
                  </m:r>
                </m:sub>
              </m:sSub>
            </m:oMath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0.80 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 matter</w:t>
            </w:r>
            <w:r>
              <w:t xml:space="preserve"> </w:t>
            </w:r>
            <m:oMath>
              <m:r>
                <m:t>D</m:t>
              </m:r>
              <m:r>
                <m:t>M</m:t>
              </m:r>
            </m:oMath>
            <w:r>
              <w:t xml:space="preserve"> </w:t>
            </w:r>
            <w:r>
              <w:t xml:space="preserve">(tomato residues)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0.06 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fraction</w:t>
            </w:r>
            <w:r>
              <w:t xml:space="preserve"> </w:t>
            </w:r>
            <m:oMath>
              <m:r>
                <m:t>V</m:t>
              </m:r>
              <m:sSub>
                <m:e>
                  <m:r>
                    <m:t>S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0.85 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Manure input (t ha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Manure</w:t>
            </w:r>
            <w:r>
              <w:t xml:space="preserve"> </w:t>
            </w:r>
            <m:oMath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0.20 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Manure</w:t>
            </w:r>
            <w:r>
              <w:t xml:space="preserve"> </w:t>
            </w:r>
            <m:oMath>
              <m:r>
                <m:t>V</m:t>
              </m:r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0.80 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 price ($ t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Electricity price ($ kWh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rate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EF (tCO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 MWh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price ($ tCO</w:t>
            </w:r>
            <m:oMath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bookmarkEnd w:id="19"/>
    <w:p>
      <w:pPr>
        <w:pStyle w:val="BodyText"/>
      </w:pPr>
      <w:r>
        <w:t xml:space="preserve">The feedstock to the anaerobic digester combines tomato crop residues</w:t>
      </w:r>
      <w:r>
        <w:t xml:space="preserve"> </w:t>
      </w:r>
      <w:r>
        <w:t xml:space="preserve">and cattle manure as a co-substrate. Manure co-digestion at a VS ratio</w:t>
      </w:r>
      <w:r>
        <w:t xml:space="preserve"> </w:t>
      </w:r>
      <w:r>
        <w:t xml:space="preserve">of approximately 1:2 (residues:manure) improves buffer capacity,</w:t>
      </w:r>
      <w:r>
        <w:t xml:space="preserve"> </w:t>
      </w:r>
      <w:r>
        <w:t xml:space="preserve">microbial diversity, and BMP by 12–18% compared to mono-digestion of</w:t>
      </w:r>
      <w:r>
        <w:t xml:space="preserve"> </w:t>
      </w:r>
      <w:r>
        <w:t xml:space="preserve">crop residues alone </w:t>
      </w:r>
      <w:r>
        <w:t xml:space="preserve">. The 10 t   ha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fresh</w:t>
      </w:r>
      <w:r>
        <w:t xml:space="preserve"> </w:t>
      </w:r>
      <w:r>
        <w:t xml:space="preserve">manure input corresponds to the production of approximately 2–3 cattle</w:t>
      </w:r>
      <w:r>
        <w:t xml:space="preserve"> </w:t>
      </w:r>
      <w:r>
        <w:t xml:space="preserve">heads per hectare, consistent with the mixed crop-livestock farming</w:t>
      </w:r>
      <w:r>
        <w:t xml:space="preserve"> </w:t>
      </w:r>
      <w:r>
        <w:t xml:space="preserve">systems prevalent in all four study regions. Total annual VS input per</w:t>
      </w:r>
      <w:r>
        <w:t xml:space="preserve"> </w:t>
      </w:r>
      <w:r>
        <w:t xml:space="preserve">hectare is: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L</m:t>
                  </m:r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crop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res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  <m:r>
                    <m:t>M</m:t>
                  </m:r>
                  <m:r>
                    <m:rPr>
                      <m:sty m:val="p"/>
                    </m:rPr>
                    <m:t>⋅</m:t>
                  </m:r>
                  <m:r>
                    <m:t>V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f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crop residues</m:t>
              </m:r>
            </m:lim>
          </m:limLow>
          <m:r>
            <m:rPr>
              <m:sty m:val="p"/>
            </m:rPr>
            <m:t>+</m:t>
          </m:r>
          <m:r>
            <m:t> </m:t>
          </m:r>
          <m:limLow>
            <m:e>
              <m:limLow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V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m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cattle manure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fresh fruit yield (kg ha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scales the actual residue production under APV shading, and</w:t>
      </w:r>
      <w: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fresh manure input (kg ha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At the optimised</w:t>
      </w:r>
      <w:r>
        <w:t xml:space="preserve"> </w:t>
      </w:r>
      <w:r>
        <w:t xml:space="preserve">designs reported in Section </w:t>
      </w:r>
      <w:hyperlink w:anchor="sec:results">
        <w:r>
          <w:rPr>
            <w:rStyle w:val="Hyperlink"/>
          </w:rPr>
          <w:t xml:space="preserve">[sec:results]</w:t>
        </w:r>
      </w:hyperlink>
      <w:r>
        <w:t xml:space="preserve">, VS inputs range from</w:t>
      </w:r>
      <w:r>
        <w:t xml:space="preserve"> </w:t>
      </w:r>
      <w:r>
        <w:t xml:space="preserve">1892 to 2573 kg   ha</w:t>
      </w:r>
      <w:r>
        <w:rPr>
          <w:vertAlign w:val="superscript"/>
        </w:rPr>
        <w:t xml:space="preserve">−1</w:t>
      </w:r>
      <w:r>
        <w:t xml:space="preserve">   yr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across the four sites,</w:t>
      </w:r>
      <w:r>
        <w:t xml:space="preserve"> </w:t>
      </w:r>
      <w:r>
        <w:t xml:space="preserve">with Freiburg’s lower fruit yield driving the minimum.</w:t>
      </w:r>
    </w:p>
    <w:bookmarkEnd w:id="20"/>
    <w:bookmarkStart w:id="21" w:name="sec:shading"/>
    <w:p>
      <w:pPr>
        <w:pStyle w:val="Heading2"/>
      </w:pPr>
      <w:r>
        <w:t xml:space="preserve">Solar Geometry and Shading Model</w:t>
      </w:r>
    </w:p>
    <w:p>
      <w:pPr>
        <w:pStyle w:val="FirstParagraph"/>
      </w:pPr>
      <w:r>
        <w:t xml:space="preserve">Accurate hourly solar position calculation underpins both</w:t>
      </w:r>
      <w:r>
        <w:t xml:space="preserve"> </w:t>
      </w:r>
      <w:r>
        <w:t xml:space="preserve">the PV transposition model and the inter-row shading factor. Solar</w:t>
      </w:r>
      <w:r>
        <w:t xml:space="preserve"> </w:t>
      </w:r>
      <w:r>
        <w:t xml:space="preserve">declination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computed using the Spencer (1971) harmonic</w:t>
      </w:r>
      <w:r>
        <w:t xml:space="preserve"> </w:t>
      </w:r>
      <w:r>
        <w:t xml:space="preserve">approximation: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δ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180</m:t>
                    </m:r>
                  </m:num>
                  <m:den>
                    <m:r>
                      <m:t>π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0.006918</m:t>
                </m:r>
                <m:r>
                  <m:rPr>
                    <m:sty m:val="p"/>
                  </m:rPr>
                  <m:t>−</m:t>
                </m:r>
                <m:r>
                  <m:t>0.399912</m:t>
                </m:r>
                <m:r>
                  <m:rPr>
                    <m:sty m:val="p"/>
                  </m:rPr>
                  <m:t>cos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0.070257</m:t>
                </m:r>
                <m:r>
                  <m:rPr>
                    <m:sty m:val="p"/>
                  </m:rPr>
                  <m:t>sin</m:t>
                </m:r>
                <m:r>
                  <m:t>B</m:t>
                </m:r>
              </m:e>
            </m:mr>
            <m:mr>
              <m:e>
                <m:r>
                  <m:rPr>
                    <m:sty m:val="p"/>
                  </m:rPr>
                  <m:t>−</m:t>
                </m:r>
                <m:r>
                  <m:t>0.006758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0.000907</m:t>
                </m:r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0.002697</m:t>
                </m:r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0.001480</m:t>
                </m:r>
                <m:r>
                  <m:rPr>
                    <m:sty m:val="p"/>
                  </m:rPr>
                  <m:t>sin</m:t>
                </m:r>
                <m:r>
                  <m:t>3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365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day of year. The hour angle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computed from true solar time, applying a longitude correction</w:t>
      </w:r>
      <w:r>
        <w:t xml:space="preserve"> </w:t>
      </w:r>
      <w:r>
        <w:t xml:space="preserve">and the Equation of Time. The solar elevation angle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at each</w:t>
      </w:r>
      <w:r>
        <w:t xml:space="preserve"> </w:t>
      </w:r>
      <w:r>
        <w:t xml:space="preserve">hourly timestep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ϕ</m:t>
          </m:r>
          <m:r>
            <m:rPr>
              <m:sty m:val="p"/>
            </m:rPr>
            <m:t>sin</m:t>
          </m:r>
          <m:r>
            <m:t>δ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cos</m:t>
          </m:r>
          <m:r>
            <m:t>δ</m:t>
          </m:r>
          <m:r>
            <m:rPr>
              <m:sty m:val="p"/>
            </m:rPr>
            <m:t>cos</m:t>
          </m:r>
          <m:r>
            <m:t>ω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 site latitude.</w:t>
      </w:r>
    </w:p>
    <w:p>
      <w:pPr>
        <w:pStyle w:val="BodyText"/>
      </w:pPr>
      <w:r>
        <w:t xml:space="preserve">The Ground Coverage Ratio (GCR) quantifies the fraction of ground</w:t>
      </w:r>
      <w:r>
        <w:t xml:space="preserve"> </w:t>
      </w:r>
      <w:r>
        <w:t xml:space="preserve">area covered by the projected module footprint: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C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β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row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2.278</m:t>
        </m:r>
        <m:r>
          <m:t> </m:t>
        </m:r>
        <m:r>
          <m:t>m</m:t>
        </m:r>
      </m:oMath>
      <w:r>
        <w:t xml:space="preserve"> </w:t>
      </w:r>
      <w:r>
        <w:t xml:space="preserve">is the module length (Jinko Tiger Neo</w:t>
      </w:r>
      <w:r>
        <w:t xml:space="preserve"> </w:t>
      </w:r>
      <w:r>
        <w:t xml:space="preserve">550 W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</m:t>
            </m:r>
          </m:sub>
        </m:sSub>
      </m:oMath>
      <w:r>
        <w:t xml:space="preserve">)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panel tilt angle. A physical</w:t>
      </w:r>
      <w:r>
        <w:t xml:space="preserve"> </w:t>
      </w:r>
      <w:r>
        <w:t xml:space="preserve">non-overlap constraint prevents adjacent rows from casting permanent</w:t>
      </w:r>
      <w:r>
        <w:t xml:space="preserve"> </w:t>
      </w:r>
      <w:r>
        <w:t xml:space="preserve">shade on each other at any sun angle: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row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L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+</m:t>
          </m:r>
          <m:r>
            <m:t>0.5</m:t>
          </m:r>
          <m:r>
            <m:t> </m:t>
          </m:r>
          <m:r>
            <m:t>m</m:t>
          </m:r>
        </m:oMath>
      </m:oMathPara>
    </w:p>
    <w:p>
      <w:pPr>
        <w:pStyle w:val="FirstParagraph"/>
      </w:pPr>
      <w:r>
        <w:t xml:space="preserve">where the 0.5 m clearance accounts for module frame width and</w:t>
      </w:r>
      <w:r>
        <w:t xml:space="preserve"> </w:t>
      </w:r>
      <w:r>
        <w:t xml:space="preserve">structural tolerance. This constraint is enforced as a feasibility</w:t>
      </w:r>
      <w:r>
        <w:t xml:space="preserve"> </w:t>
      </w:r>
      <w:r>
        <w:t xml:space="preserve">penalty in the optimizer (Section </w:t>
      </w:r>
      <w:hyperlink w:anchor="sec:optimizer">
        <w:r>
          <w:rPr>
            <w:rStyle w:val="Hyperlink"/>
          </w:rPr>
          <w:t xml:space="preserve">1.9</w:t>
        </w:r>
      </w:hyperlink>
      <w:r>
        <w:t xml:space="preserve">).</w:t>
      </w:r>
    </w:p>
    <w:p>
      <w:pPr>
        <w:pStyle w:val="BodyText"/>
      </w:pPr>
      <w:r>
        <w:t xml:space="preserve">The hourly ground shading fraction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fraction of ground area beneath the array that is shaded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follows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shad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Δ</m:t>
                  </m:r>
                  <m:r>
                    <m:t>γ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row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module bottom-edge height above ground (m),</w:t>
      </w:r>
      <w:r>
        <w:t xml:space="preserve"> </w:t>
      </w:r>
      <m:oMath>
        <m:r>
          <m:rPr>
            <m:sty m:val="p"/>
          </m:rPr>
          <m:t>Δ</m:t>
        </m:r>
        <m:r>
          <m:t>γ</m:t>
        </m:r>
      </m:oMath>
      <w:r>
        <w:t xml:space="preserve"> </w:t>
      </w:r>
      <w:r>
        <w:t xml:space="preserve">is the azimuth difference between the solar direction</w:t>
      </w:r>
      <w:r>
        <w:t xml:space="preserve"> </w:t>
      </w:r>
      <w:r>
        <w:t xml:space="preserve">and the row orientation (zero for south-facing rows, which is the</w:t>
      </w:r>
      <w:r>
        <w:t xml:space="preserve"> </w:t>
      </w:r>
      <w:r>
        <w:t xml:space="preserve">configuration adopted throughout), and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solar</w:t>
      </w:r>
      <w:r>
        <w:t xml:space="preserve"> </w:t>
      </w:r>
      <w:r>
        <w:t xml:space="preserve">elevation angle.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night (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)</w:t>
      </w:r>
      <w:r>
        <w:t xml:space="preserve"> </w:t>
      </w:r>
      <w:r>
        <w:t xml:space="preserve">and during high-sun periods when the solar elevation is sufficient</w:t>
      </w:r>
      <w:r>
        <w:t xml:space="preserve"> </w:t>
      </w:r>
      <w:r>
        <w:t xml:space="preserve">to eliminate inter-row shading entirely. The shading fraction directly</w:t>
      </w:r>
      <w:r>
        <w:t xml:space="preserve"> </w:t>
      </w:r>
      <w:r>
        <w:t xml:space="preserve">enters both the crop yield model (Section </w:t>
      </w:r>
      <w:hyperlink w:anchor="sec:cropyield">
        <w:r>
          <w:rPr>
            <w:rStyle w:val="Hyperlink"/>
          </w:rPr>
          <w:t xml:space="preserve">1.5</w:t>
        </w:r>
      </w:hyperlink>
      <w:r>
        <w:t xml:space="preserve">) and</w:t>
      </w:r>
      <w:r>
        <w:t xml:space="preserve"> </w:t>
      </w:r>
      <w:r>
        <w:t xml:space="preserve">the ET reduction model (Section </w:t>
      </w:r>
      <w:hyperlink w:anchor="sec:et">
        <w:r>
          <w:rPr>
            <w:rStyle w:val="Hyperlink"/>
          </w:rPr>
          <w:t xml:space="preserve">1.6</w:t>
        </w:r>
      </w:hyperlink>
      <w:r>
        <w:t xml:space="preserve">), propagating the</w:t>
      </w:r>
      <w:r>
        <w:t xml:space="preserve"> </w:t>
      </w:r>
      <w:r>
        <w:t xml:space="preserve">geometric design variables into all biological and energy outputs</w:t>
      </w:r>
      <w:r>
        <w:t xml:space="preserve"> </w:t>
      </w:r>
      <w:r>
        <w:t xml:space="preserve">of the coupled system.</w:t>
      </w:r>
    </w:p>
    <w:bookmarkEnd w:id="21"/>
    <w:bookmarkStart w:id="26" w:name="sec:pvmodel"/>
    <w:p>
      <w:pPr>
        <w:pStyle w:val="Heading2"/>
      </w:pPr>
      <w:r>
        <w:t xml:space="preserve">Photovoltaic Energy Model</w:t>
      </w:r>
    </w:p>
    <w:bookmarkStart w:id="22" w:name="plane-of-array-irradiance"/>
    <w:p>
      <w:pPr>
        <w:pStyle w:val="Heading3"/>
      </w:pPr>
      <w:r>
        <w:t xml:space="preserve">Plane-of-Array Irradiance</w:t>
      </w:r>
    </w:p>
    <w:p>
      <w:pPr>
        <w:pStyle w:val="FirstParagraph"/>
      </w:pPr>
      <w:r>
        <w:t xml:space="preserve">Plane-of-array (POA) irradiance on the tilted front surface</w:t>
      </w:r>
      <w:r>
        <w:t xml:space="preserve"> </w:t>
      </w:r>
      <w:r>
        <w:t xml:space="preserve">is computed using the isotropic sky model of</w:t>
      </w:r>
      <w:r>
        <w:t xml:space="preserve"> </w:t>
      </w:r>
      <w:r>
        <w:t xml:space="preserve">, which</w:t>
      </w:r>
      <w:r>
        <w:t xml:space="preserve"> </w:t>
      </w:r>
      <w:r>
        <w:t xml:space="preserve">decomposes incoming radiation into beam, diffuse, and ground-reflected</w:t>
      </w:r>
      <w:r>
        <w:t xml:space="preserve"> </w:t>
      </w:r>
      <w:r>
        <w:t xml:space="preserve">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front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N</m:t>
          </m:r>
          <m:r>
            <m:t>I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D</m:t>
          </m:r>
          <m:r>
            <m:t>H</m:t>
          </m:r>
          <m:r>
            <m:t>I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G</m:t>
          </m:r>
          <m:r>
            <m:t>H</m:t>
          </m:r>
          <m:r>
            <m:t>I</m:t>
          </m:r>
          <m:r>
            <m:t> </m:t>
          </m:r>
          <m:sSub>
            <m:e>
              <m:r>
                <m:t>ρ</m:t>
              </m:r>
            </m:e>
            <m:sub>
              <m:r>
                <m:t>g</m:t>
              </m:r>
            </m:sub>
          </m:sSub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angle of incidence on the tilted surface,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panel tilt angle, and</w:t>
      </w:r>
      <w: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is the ground</w:t>
      </w:r>
      <w:r>
        <w:t xml:space="preserve"> </w:t>
      </w:r>
      <w:r>
        <w:t xml:space="preserve">albedo </w:t>
      </w:r>
      <w:r>
        <w:t xml:space="preserve">. The angle of incidence for a fixed,</w:t>
      </w:r>
      <w:r>
        <w:t xml:space="preserve"> </w:t>
      </w:r>
      <w:r>
        <w:t xml:space="preserve">due-south-facing tilted surface is given by the closed-form</w:t>
      </w:r>
      <w:r>
        <w:t xml:space="preserve"> </w:t>
      </w:r>
      <w:r>
        <w:t xml:space="preserve">expression of</w:t>
      </w:r>
      <w:r>
        <w:t xml:space="preserve"> </w:t>
      </w:r>
      <w:r>
        <w:t xml:space="preserve">, expressed directly in terms of</w:t>
      </w:r>
      <w:r>
        <w:t xml:space="preserve"> </w:t>
      </w:r>
      <w:r>
        <w:t xml:space="preserve">declination</w:t>
      </w:r>
      <w:r>
        <w:t xml:space="preserve"> </w:t>
      </w:r>
      <m:oMath>
        <m:r>
          <m:t>δ</m:t>
        </m:r>
      </m:oMath>
      <w:r>
        <w:t xml:space="preserve">, latitude</w:t>
      </w:r>
      <w:r>
        <w:t xml:space="preserve"> </w:t>
      </w:r>
      <m:oMath>
        <m:r>
          <m:t>ϕ</m:t>
        </m:r>
      </m:oMath>
      <w:r>
        <w:t xml:space="preserve">, hour angle</w:t>
      </w:r>
      <w:r>
        <w:t xml:space="preserve"> </w:t>
      </w:r>
      <m:oMath>
        <m:r>
          <m:t>ω</m:t>
        </m:r>
      </m:oMath>
      <w:r>
        <w:t xml:space="preserve">, and</w:t>
      </w:r>
      <w:r>
        <w:t xml:space="preserve"> </w:t>
      </w:r>
      <w:r>
        <w:t xml:space="preserve">tilt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δ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δ</m:t>
          </m:r>
          <m:r>
            <m:rPr>
              <m:sty m:val="p"/>
            </m:rPr>
            <m:t>cos</m:t>
          </m:r>
          <m:r>
            <m:t>ω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expression is the closed-form relation used here for a fixed due-south collector at every</w:t>
      </w:r>
      <w:r>
        <w:t xml:space="preserve"> </w:t>
      </w:r>
      <w:r>
        <w:t xml:space="preserve">hour of the day. An earlier version of this model used the</w:t>
      </w:r>
      <w:r>
        <w:t xml:space="preserve"> </w:t>
      </w:r>
      <w:r>
        <w:t xml:space="preserve">solar-noon-only approximation</w:t>
      </w:r>
      <w:r>
        <w:t xml:space="preserve"> </w:t>
      </w:r>
      <m:oMath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sin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cos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sin</m:t>
        </m:r>
        <m:r>
          <m:t>β</m:t>
        </m:r>
      </m:oMath>
      <w:r>
        <w:t xml:space="preserve">,</w:t>
      </w:r>
      <w:r>
        <w:t xml:space="preserve"> </w:t>
      </w:r>
      <w:r>
        <w:t xml:space="preserve">which implicitly assumes the sun remains due south throughout the</w:t>
      </w:r>
      <w:r>
        <w:t xml:space="preserve"> </w:t>
      </w:r>
      <w:r>
        <w:t xml:space="preserve">day; this systematically overestimated front-surface beam</w:t>
      </w:r>
      <w:r>
        <w:t xml:space="preserve"> </w:t>
      </w:r>
      <w:r>
        <w:t xml:space="preserve">irradiance away from solar noon and has been corrected throughout</w:t>
      </w:r>
      <w:r>
        <w:t xml:space="preserve"> </w:t>
      </w:r>
      <w:r>
        <w:t xml:space="preserve">the present study.</w:t>
      </w:r>
    </w:p>
    <w:p>
      <w:pPr>
        <w:pStyle w:val="BodyText"/>
      </w:pPr>
      <w:r>
        <w:t xml:space="preserve">For bifacial modules, rear-side irradiance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rear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estimated from ground-reflected radiation modulated by the inter-row</w:t>
      </w:r>
      <w:r>
        <w:t xml:space="preserve"> </w:t>
      </w:r>
      <w:r>
        <w:t xml:space="preserve">shading fraction: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rear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t>H</m:t>
          </m:r>
          <m:r>
            <m:t>I</m:t>
          </m:r>
          <m:r>
            <m:t> </m:t>
          </m:r>
          <m:sSub>
            <m:e>
              <m:r>
                <m:t>ρ</m:t>
              </m:r>
            </m:e>
            <m:sub>
              <m:r>
                <m:t>g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shad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 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rear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rear</m:t>
            </m:r>
          </m:sub>
        </m:sSub>
        <m:r>
          <m:rPr>
            <m:sty m:val="p"/>
          </m:rPr>
          <m:t>=</m:t>
        </m:r>
        <m:r>
          <m:t>0.12</m:t>
        </m:r>
      </m:oMath>
      <w:r>
        <w:t xml:space="preserve"> </w:t>
      </w:r>
      <w:r>
        <w:t xml:space="preserve">is the rear irradiance fraction</w:t>
      </w:r>
      <w:r>
        <w:t xml:space="preserve"> </w:t>
      </w:r>
      <w:r>
        <w:t xml:space="preserve">relative to ground-reflected GHI, accounting for the view factor</w:t>
      </w:r>
      <w:r>
        <w:t xml:space="preserve"> </w:t>
      </w:r>
      <w:r>
        <w:t xml:space="preserve">from the rear surface to the ground beneath the</w:t>
      </w:r>
      <w:r>
        <w:t xml:space="preserve"> </w:t>
      </w:r>
      <w:r>
        <w:t xml:space="preserve">array </w:t>
      </w:r>
      <w:r>
        <w:t xml:space="preserve">. The effective bifacial irradiance</w:t>
      </w:r>
      <w:r>
        <w:t xml:space="preserve"> </w:t>
      </w:r>
      <w:r>
        <w:t xml:space="preserve">combining both surfaces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front</m:t>
              </m:r>
            </m:sub>
          </m:sSub>
          <m:r>
            <m:rPr>
              <m:sty m:val="p"/>
            </m:rPr>
            <m:t>+</m:t>
          </m:r>
          <m:r>
            <m:t>ϕ</m:t>
          </m:r>
          <m:r>
            <m:t> 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rear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0.70</m:t>
        </m:r>
      </m:oMath>
      <w:r>
        <w:t xml:space="preserve"> </w:t>
      </w:r>
      <w:r>
        <w:t xml:space="preserve">is the bifaciality factor of the Jinko Tiger</w:t>
      </w:r>
      <w:r>
        <w:t xml:space="preserve"> </w:t>
      </w:r>
      <w:r>
        <w:t xml:space="preserve">Neo 550 W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</m:t>
            </m:r>
          </m:sub>
        </m:sSub>
      </m:oMath>
      <w:r>
        <w:t xml:space="preserve"> </w:t>
      </w:r>
      <w:r>
        <w:t xml:space="preserve">module.</w:t>
      </w:r>
    </w:p>
    <w:bookmarkEnd w:id="22"/>
    <w:bookmarkStart w:id="23" w:name="cell-temperature"/>
    <w:p>
      <w:pPr>
        <w:pStyle w:val="Heading3"/>
      </w:pPr>
      <w:r>
        <w:t xml:space="preserve">Cell Temperature</w:t>
      </w:r>
    </w:p>
    <w:p>
      <w:pPr>
        <w:pStyle w:val="FirstParagraph"/>
      </w:pPr>
      <w:r>
        <w:t xml:space="preserve">Cell operating temperature is modelled using the</w:t>
      </w:r>
      <w:r>
        <w:t xml:space="preserve"> </w:t>
      </w:r>
      <w:r>
        <w:t xml:space="preserve">Faiman </w:t>
      </w:r>
      <w:r>
        <w:t xml:space="preserve"> </w:t>
      </w:r>
      <w:r>
        <w:t xml:space="preserve">approach, which accounts for</w:t>
      </w:r>
      <w:r>
        <w:t xml:space="preserve"> </w:t>
      </w:r>
      <w:r>
        <w:t xml:space="preserve">wind-dependent convective cooling: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amb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25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free convection</w:t>
      </w:r>
      <w:r>
        <w:t xml:space="preserve"> </w:t>
      </w:r>
      <w:r>
        <w:t xml:space="preserve">coefficient 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6.84</m:t>
        </m:r>
        <m:r>
          <m:t> </m:t>
        </m:r>
        <m:r>
          <m:t>W</m:t>
        </m:r>
        <m:r>
          <m:t> </m:t>
        </m:r>
        <m:r>
          <m:t>s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t xml:space="preserve">wind-dependent convective coefficient </w:t>
      </w:r>
      <w:r>
        <w:t xml:space="preserve">.</w:t>
      </w:r>
      <w:r>
        <w:t xml:space="preserve"> </w:t>
      </w:r>
      <w:r>
        <w:t xml:space="preserve">Wind speed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taken directly from the PVGIS-SARAH3 TMY</w:t>
      </w:r>
      <w:r>
        <w:t xml:space="preserve"> </w:t>
      </w:r>
      <w:r>
        <w:t xml:space="preserve">column WS</w:t>
      </w:r>
      <m:oMath>
        <m:sSub>
          <m:e>
            <m:r>
              <m:t>​</m:t>
            </m:r>
          </m:e>
          <m:sub>
            <m:r>
              <m:t>10</m:t>
            </m:r>
            <m:r>
              <m:t>m</m:t>
            </m:r>
          </m:sub>
        </m:sSub>
      </m:oMath>
      <w:r>
        <w:t xml:space="preserve"> </w:t>
      </w:r>
      <w:r>
        <w:t xml:space="preserve">and clipped to a minimum of</w:t>
      </w:r>
      <w:r>
        <w:t xml:space="preserve"> </w:t>
      </w:r>
      <w:r>
        <w:t xml:space="preserve">0.5 m   s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to prevent division by zero in calm</w:t>
      </w:r>
      <w:r>
        <w:t xml:space="preserve"> </w:t>
      </w:r>
      <w:r>
        <w:t xml:space="preserve">conditions.</w:t>
      </w:r>
    </w:p>
    <w:bookmarkEnd w:id="23"/>
    <w:bookmarkStart w:id="25" w:name="pv-power-output"/>
    <w:p>
      <w:pPr>
        <w:pStyle w:val="Heading3"/>
      </w:pPr>
      <w:r>
        <w:t xml:space="preserve">PV Power Output</w:t>
      </w:r>
    </w:p>
    <w:p>
      <w:pPr>
        <w:pStyle w:val="FirstParagraph"/>
      </w:pPr>
      <w:r>
        <w:t xml:space="preserve">Array power output at each hourly timestep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STC</m:t>
              </m:r>
            </m:sub>
          </m:sSub>
          <m:r>
            <m:t> </m:t>
          </m:r>
          <m:r>
            <m:t>N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cell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d>
            </m:e>
          </m:d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1000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STC</m:t>
            </m:r>
          </m:sub>
        </m:sSub>
        <m:r>
          <m:rPr>
            <m:sty m:val="p"/>
          </m:rPr>
          <m:t>=</m:t>
        </m:r>
        <m:r>
          <m:t>550</m:t>
        </m:r>
        <m:r>
          <m:t> 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rated module power</w:t>
      </w:r>
      <w:r>
        <w:t xml:space="preserve"> </w:t>
      </w:r>
      <w:r>
        <w:t xml:space="preserve">at Standard Test Conditions,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modules per</w:t>
      </w:r>
      <w:r>
        <w:t xml:space="preserve"> </w:t>
      </w:r>
      <w:r>
        <w:t xml:space="preserve">hectare (determined by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w:r>
        <w:t xml:space="preserve">Equation </w:t>
      </w:r>
      <w:hyperlink w:anchor="eq:gcr">
        <w:r>
          <w:rPr>
            <w:rStyle w:val="Hyperlink"/>
          </w:rPr>
          <w:t xml:space="preserve">[eq:gcr]</w:t>
        </w:r>
      </w:hyperlink>
      <w:r>
        <w:t xml:space="preserve">),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loss</m:t>
            </m:r>
          </m:sub>
        </m:sSub>
        <m:r>
          <m:rPr>
            <m:sty m:val="p"/>
          </m:rPr>
          <m:t>=</m:t>
        </m:r>
        <m:r>
          <m:t>0.12</m:t>
        </m:r>
      </m:oMath>
      <w:r>
        <w:t xml:space="preserve"> </w:t>
      </w:r>
      <w:r>
        <w:t xml:space="preserve">aggregates</w:t>
      </w:r>
      <w:r>
        <w:t xml:space="preserve"> </w:t>
      </w:r>
      <w:r>
        <w:t xml:space="preserve">all system losses (wiring, soiling, mismatch, inverter), and</w:t>
      </w:r>
      <w:r>
        <w:t xml:space="preserve"> </w:t>
      </w:r>
      <m:oMath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−0.0035</m:t>
        </m:r>
        <m:r>
          <m:t> 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temperature power</w:t>
      </w:r>
      <w:r>
        <w:t xml:space="preserve"> </w:t>
      </w:r>
      <w:r>
        <w:t xml:space="preserve">coefficient </w:t>
      </w:r>
      <w:r>
        <w:t xml:space="preserve">. Annual PV energy is partitioned</w:t>
      </w:r>
      <w:r>
        <w:t xml:space="preserve"> </w:t>
      </w:r>
      <w:r>
        <w:t xml:space="preserve">between grid export and digester heating: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PV,heat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PV,heat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PV,total</m:t>
                  </m:r>
                </m:sub>
              </m:sSub>
            </m:e>
            <m:e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PV,sold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PV,heat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PV,total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PV,heat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 </m:t>
        </m:r>
        <m:r>
          <m:t>0.50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sixth design</w:t>
      </w:r>
      <w:r>
        <w:t xml:space="preserve"> </w:t>
      </w:r>
      <w:r>
        <w:t xml:space="preserve">variable optimised by the DE algorithm. Table </w:t>
      </w:r>
      <w:hyperlink w:anchor="tab:pvparam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summarises all fixed PV model parameters.</w:t>
      </w:r>
    </w:p>
    <w:bookmarkStart w:id="24" w:name="tab:pvparams"/>
    <w:p>
      <w:pPr>
        <w:pStyle w:val="TableCaption"/>
      </w:pPr>
      <w:r>
        <w:t xml:space="preserve">Fixed PV model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PV model parameter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Rated power (STC)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STC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550 W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length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2.278 m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Bifaciality factor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Temp. coefficient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0.0035 K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losses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loss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albedo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Faiman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25 W m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 K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Faiman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6.84 W s m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 K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Rear irradiance fraction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rear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bookmarkEnd w:id="24"/>
    <w:bookmarkEnd w:id="25"/>
    <w:bookmarkEnd w:id="26"/>
    <w:bookmarkStart w:id="27" w:name="sec:cropyield"/>
    <w:p>
      <w:pPr>
        <w:pStyle w:val="Heading2"/>
      </w:pPr>
      <w:r>
        <w:t xml:space="preserve">Crop Yield Model</w:t>
      </w:r>
    </w:p>
    <w:p>
      <w:pPr>
        <w:pStyle w:val="FirstParagraph"/>
      </w:pPr>
      <w:r>
        <w:t xml:space="preserve">Relative crop yield is modelled using the PAR integral</w:t>
      </w:r>
      <w:r>
        <w:t xml:space="preserve"> </w:t>
      </w:r>
      <w:r>
        <w:t xml:space="preserve">method, which integrates the gap between available and saturating</w:t>
      </w:r>
      <w:r>
        <w:t xml:space="preserve"> </w:t>
      </w:r>
      <w:r>
        <w:t xml:space="preserve">photosynthetically active radiation over the growing season. The fraction</w:t>
      </w:r>
      <w:r>
        <w:t xml:space="preserve"> </w:t>
      </w:r>
      <w:r>
        <w:t xml:space="preserve">of global horizontal irradiance that is photosynthetically active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PAR</m:t>
            </m:r>
          </m:sub>
        </m:sSub>
        <m:r>
          <m:rPr>
            <m:sty m:val="p"/>
          </m:rPr>
          <m:t>=</m:t>
        </m:r>
        <m:r>
          <m:t>0.48</m:t>
        </m:r>
      </m:oMath>
      <w:r>
        <w:t xml:space="preserve"> </w:t>
      </w:r>
      <w:r>
        <w:t xml:space="preserve">. Hourly</w:t>
      </w:r>
      <w:r>
        <w:t xml:space="preserve"> </w:t>
      </w:r>
      <w:r>
        <w:t xml:space="preserve">PAR under the APV array and in an equivalent open field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AV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H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PAR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shad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P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open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H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PAR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tomato light saturation point is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=</m:t>
        </m:r>
        <m:r>
          <m:t>174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 </w:t>
      </w:r>
      <w:r>
        <w:t xml:space="preserve">, above which additional PAR delivers no incremental</w:t>
      </w:r>
      <w:r>
        <w:t xml:space="preserve"> </w:t>
      </w:r>
      <w:r>
        <w:t xml:space="preserve">photosynthesis. The annual yield ratio, integrated exclusively over</w:t>
      </w:r>
      <w:r>
        <w:t xml:space="preserve"> </w:t>
      </w:r>
      <w:r>
        <w:t xml:space="preserve">the growing season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crop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min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A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AV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P</m:t>
                  </m:r>
                  <m:r>
                    <m:t>A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sat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r>
                <m:t>t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r>
                    <m:t>P</m:t>
                  </m:r>
                </m:e>
              </m:nary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open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Three properties of Equation </w:t>
      </w:r>
      <w:hyperlink w:anchor="eq:lercrop">
        <w:r>
          <w:rPr>
            <w:rStyle w:val="Hyperlink"/>
          </w:rPr>
          <w:t xml:space="preserve">[eq:lercrop]</w:t>
        </w:r>
      </w:hyperlink>
      <w:r>
        <w:t xml:space="preserve"> </w:t>
      </w:r>
      <w:r>
        <w:t xml:space="preserve">are worth noting</w:t>
      </w:r>
      <w:r>
        <w:t xml:space="preserve"> </w:t>
      </w:r>
      <w:r>
        <w:t xml:space="preserve">explicitly. First,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is bounded above by 1.0: the</w:t>
      </w:r>
      <w:r>
        <w:t xml:space="preserve"> </w:t>
      </w:r>
      <w:r>
        <w:t xml:space="preserve">APV array cannot increase crop yield beyond the open-field reference</w:t>
      </w:r>
      <w:r>
        <w:t xml:space="preserve"> </w:t>
      </w:r>
      <w:r>
        <w:t xml:space="preserve">in the absence of heat stress or water limitation effects, which are</w:t>
      </w:r>
      <w:r>
        <w:t xml:space="preserve"> </w:t>
      </w:r>
      <w:r>
        <w:t xml:space="preserve">not modelled here. Second, at high irradiance sites where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open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≫</m:t>
        </m:r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for a large fraction of</w:t>
      </w:r>
      <w:r>
        <w:t xml:space="preserve"> </w:t>
      </w:r>
      <w:r>
        <w:t xml:space="preserve">daytime hours, the denominator is large relative to the numerator</w:t>
      </w:r>
      <w:r>
        <w:t xml:space="preserve"> </w:t>
      </w:r>
      <w:r>
        <w:t xml:space="preserve">even before any shading is applied, making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sensitive to the ratio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/</m:t>
        </m:r>
        <m:bar>
          <m:barPr>
            <m:pos m:val="top"/>
          </m:barPr>
          <m:e>
            <m:r>
              <m:t>P</m:t>
            </m:r>
            <m:r>
              <m:t>A</m:t>
            </m:r>
            <m:sSub>
              <m:e>
                <m:r>
                  <m:t>R</m:t>
                </m:r>
              </m:e>
              <m:sub>
                <m:r>
                  <m:rPr>
                    <m:nor/>
                    <m:sty m:val="p"/>
                  </m:rPr>
                  <m:t>open</m:t>
                </m:r>
              </m:sub>
            </m:sSub>
          </m:e>
        </m:bar>
      </m:oMath>
      <w:r>
        <w:t xml:space="preserve"> </w:t>
      </w:r>
      <w:r>
        <w:t xml:space="preserve">— the mechanism that drives the non-monotone eLER–GHI relationship</w:t>
      </w:r>
      <w:r>
        <w:t xml:space="preserve"> </w:t>
      </w:r>
      <w:r>
        <w:t xml:space="preserve">identified in Section </w:t>
      </w:r>
      <w:hyperlink w:anchor="sec:results">
        <w:r>
          <w:rPr>
            <w:rStyle w:val="Hyperlink"/>
          </w:rPr>
          <w:t xml:space="preserve">[sec:results]</w:t>
        </w:r>
      </w:hyperlink>
      <w:r>
        <w:t xml:space="preserve">. Third, integration is</w:t>
      </w:r>
      <w:r>
        <w:t xml:space="preserve"> </w:t>
      </w:r>
      <w:r>
        <w:t xml:space="preserve">performed over the growing season only: including off-season hours</w:t>
      </w:r>
      <w:r>
        <w:t xml:space="preserve"> </w:t>
      </w:r>
      <w:r>
        <w:t xml:space="preserve">(when</w:t>
      </w:r>
      <w:r>
        <w:t xml:space="preserve"> </w:t>
      </w:r>
      <m:oMath>
        <m:r>
          <m:t>G</m:t>
        </m:r>
        <m:r>
          <m:t>H</m:t>
        </m:r>
        <m:r>
          <m:t>I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at night and both integrals are zero) does not</w:t>
      </w:r>
      <w:r>
        <w:t xml:space="preserve"> </w:t>
      </w:r>
      <w:r>
        <w:t xml:space="preserve">change the ratio, but restricting to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correctly attributes</w:t>
      </w:r>
      <w:r>
        <w:t xml:space="preserve"> </w:t>
      </w:r>
      <w:r>
        <w:t xml:space="preserve">yield impacts to the period when the crop is actually present.</w:t>
      </w:r>
    </w:p>
    <w:p>
      <w:pPr>
        <w:pStyle w:val="BodyText"/>
      </w:pPr>
      <w:r>
        <w:t xml:space="preserve">Model validation against the six-point shading dataset of</w:t>
      </w:r>
      <w:r>
        <w:t xml:space="preserve"> </w:t>
      </w:r>
      <w:r>
        <w:t xml:space="preserve"> </w:t>
      </w:r>
      <w:r>
        <w:t xml:space="preserve">is reported in Section </w:t>
      </w:r>
      <w:hyperlink w:anchor="sec:validation">
        <w:r>
          <w:rPr>
            <w:rStyle w:val="Hyperlink"/>
          </w:rPr>
          <w:t xml:space="preserve">[sec:validation]</w:t>
        </w:r>
      </w:hyperlink>
      <w:r>
        <w:t xml:space="preserve"> </w:t>
      </w:r>
      <w:r>
        <w:t xml:space="preserve">(V1 validation, MAPE = 2.4% in the operational shading range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  <m:r>
          <m:rPr>
            <m:sty m:val="p"/>
          </m:rPr>
          <m:t>≤</m:t>
        </m:r>
        <m:r>
          <m:t>0.25</m:t>
        </m:r>
      </m:oMath>
      <w:r>
        <w:t xml:space="preserve">).</w:t>
      </w:r>
    </w:p>
    <w:bookmarkEnd w:id="27"/>
    <w:bookmarkStart w:id="28" w:name="sec:et"/>
    <w:p>
      <w:pPr>
        <w:pStyle w:val="Heading2"/>
      </w:pPr>
      <w:r>
        <w:t xml:space="preserve">Evapotranspiration Reduction and Water Savings</w:t>
      </w:r>
    </w:p>
    <w:p>
      <w:pPr>
        <w:pStyle w:val="FirstParagraph"/>
      </w:pPr>
      <w:r>
        <w:t xml:space="preserve">Reference evapotranspiration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estimated hourly</w:t>
      </w:r>
      <w:r>
        <w:t xml:space="preserve"> </w:t>
      </w:r>
      <w:r>
        <w:t xml:space="preserve">using the Hargreaves–Samani equation </w:t>
      </w:r>
      <w:r>
        <w:t xml:space="preserve">, driven</w:t>
      </w:r>
      <w:r>
        <w:t xml:space="preserve"> </w:t>
      </w:r>
      <w:r>
        <w:t xml:space="preserve">by the daily temperature range and extraterrestrial radiation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computed astronomically from latitude and day of year following the</w:t>
      </w:r>
      <w:r>
        <w:t xml:space="preserve"> </w:t>
      </w:r>
      <w:r>
        <w:t xml:space="preserve">standard FAO-56 formulation </w:t>
      </w:r>
      <w:r>
        <w:t xml:space="preserve">, requiring no ground</w:t>
      </w:r>
      <w:r>
        <w:t xml:space="preserve"> </w:t>
      </w:r>
      <w:r>
        <w:t xml:space="preserve">radiation measurement. The Hargreaves–Samani method was</w:t>
      </w:r>
      <w:r>
        <w:t xml:space="preserve"> </w:t>
      </w:r>
      <w:r>
        <w:t xml:space="preserve">selected over FAO-56 Penman-Monteith </w:t>
      </w:r>
      <w:r>
        <w:t xml:space="preserve"> </w:t>
      </w:r>
      <w:r>
        <w:t xml:space="preserve">because the</w:t>
      </w:r>
      <w:r>
        <w:t xml:space="preserve"> </w:t>
      </w:r>
      <w:r>
        <w:t xml:space="preserve">PVGIS TMY files do not provide dew point temperature or net radiation</w:t>
      </w:r>
      <w:r>
        <w:t xml:space="preserve"> </w:t>
      </w:r>
      <w:r>
        <w:t xml:space="preserve">as independent columns, making two of the four Penman-Monteith inputs</w:t>
      </w:r>
      <w:r>
        <w:t xml:space="preserve"> </w:t>
      </w:r>
      <w:r>
        <w:t xml:space="preserve">unavailable without auxiliary decomposition. Hargreaves–Samani</w:t>
      </w:r>
      <w:r>
        <w:t xml:space="preserve"> </w:t>
      </w:r>
      <w:r>
        <w:t xml:space="preserve">estimates of seasonal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agree with FAO-56 to within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10%</w:t>
      </w:r>
      <w:r>
        <w:t xml:space="preserve"> </w:t>
      </w:r>
      <w:r>
        <w:t xml:space="preserve">for the semi-arid and temperate climates represented in this</w:t>
      </w:r>
      <w:r>
        <w:t xml:space="preserve"> </w:t>
      </w:r>
      <w:r>
        <w:t xml:space="preserve">study </w:t>
      </w:r>
      <w:r>
        <w:t xml:space="preserve">.</w:t>
      </w:r>
    </w:p>
    <w:p>
      <w:pPr>
        <w:pStyle w:val="BodyText"/>
      </w:pPr>
      <w:r>
        <w:t xml:space="preserve">Under APV panels, evapotranspiration is reduced by the interception</w:t>
      </w:r>
      <w:r>
        <w:t xml:space="preserve"> </w:t>
      </w:r>
      <w:r>
        <w:t xml:space="preserve">of incoming radiation. Following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, the hourly ET under the APV array 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APV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shade</m:t>
                  </m:r>
                </m:sub>
              </m:sSub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shad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shade</m:t>
            </m:r>
          </m:sub>
        </m:sSub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is the ET reduction coefficient,</w:t>
      </w:r>
      <w:r>
        <w:t xml:space="preserve"> </w:t>
      </w:r>
      <w:r>
        <w:t xml:space="preserve">empirically calibrated from field measurements of soil evaporation</w:t>
      </w:r>
      <w:r>
        <w:t xml:space="preserve"> </w:t>
      </w:r>
      <w:r>
        <w:t xml:space="preserve">and canopy transpiration under partial shade </w:t>
      </w:r>
      <w:r>
        <w:t xml:space="preserve">. The value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shade</m:t>
            </m:r>
          </m:sub>
        </m:sSub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represents</w:t>
      </w:r>
      <w:r>
        <w:t xml:space="preserve"> </w:t>
      </w:r>
      <w:r>
        <w:t xml:space="preserve">a conservative central estimate; field studies at GCR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0.5 report</w:t>
      </w:r>
      <w:r>
        <w:t xml:space="preserve"> </w:t>
      </w:r>
      <w:r>
        <w:t xml:space="preserve">values of 0.35–0.55 depending on crop canopy closure, soil type, and</w:t>
      </w:r>
      <w:r>
        <w:t xml:space="preserve"> </w:t>
      </w:r>
      <w:r>
        <w:t xml:space="preserve">wind exposure. Sensitivity to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shade</m:t>
            </m:r>
          </m:sub>
        </m:sSub>
      </m:oMath>
      <w:r>
        <w:t xml:space="preserve"> </w:t>
      </w:r>
      <w:r>
        <w:t xml:space="preserve">is discussed in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.</w:t>
      </w:r>
    </w:p>
    <w:p>
      <w:pPr>
        <w:pStyle w:val="BodyText"/>
      </w:pPr>
      <w:r>
        <w:t xml:space="preserve">Annual growing-season water savings are:</w:t>
      </w:r>
    </w:p>
    <w:p>
      <w:pPr>
        <w:pStyle w:val="BodyText"/>
      </w:pPr>
      <w:r>
        <w:t xml:space="preserve">$$\begin{equation}
        W_{\text{saved}} = \int_{t_0}^{t_1}
            \bigl[ET_0(t) - ET_{\text{APV}}(t)\bigr]\,dt
            = \alpha_{\text{shade}}\int_{t_0}^{t_1}
            F_{\text{shad}}(t)\,ET_0(t)\,dt
        \label{eq:wsaved}
    \end{equation}$$</w:t>
      </w:r>
    </w:p>
    <w:p>
      <w:pPr>
        <w:pStyle w:val="FirstParagraph"/>
      </w:pPr>
      <w:r>
        <w:t xml:space="preserve">The water savings Land Equivalent Ratio is defined as the fraction</w:t>
      </w:r>
      <w:r>
        <w:t xml:space="preserve"> </w:t>
      </w:r>
      <w:r>
        <w:t xml:space="preserve">of growing-season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saved by the APV system: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saved</m:t>
                  </m:r>
                </m:sub>
              </m:sSub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r>
                    <m:t>E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Note on the denominator.</w:t>
      </w:r>
      <w:r>
        <w:t xml:space="preserve"> </w:t>
      </w:r>
      <w:r>
        <w:t xml:space="preserve">Prior agrivoltaic studies</w:t>
      </w:r>
      <w:r>
        <w:t xml:space="preserve"> </w:t>
      </w:r>
      <w:r>
        <w:t xml:space="preserve">have reported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using annual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r>
        <w:t xml:space="preserve">denominator </w:t>
      </w:r>
      <w:r>
        <w:t xml:space="preserve">, systematically</w:t>
      </w:r>
      <w:r>
        <w:t xml:space="preserve"> </w:t>
      </w:r>
      <w:r>
        <w:t xml:space="preserve">underestimating the agronomic benefit by diluting growing-season</w:t>
      </w:r>
      <w:r>
        <w:t xml:space="preserve"> </w:t>
      </w:r>
      <w:r>
        <w:t xml:space="preserve">savings with months when the crop is absent and the panels provide</w:t>
      </w:r>
      <w:r>
        <w:t xml:space="preserve"> </w:t>
      </w:r>
      <w:r>
        <w:t xml:space="preserve">no agronomic water benefit. With a 122-day season (Almería,</w:t>
      </w:r>
      <w:r>
        <w:t xml:space="preserve"> </w:t>
      </w:r>
      <w:r>
        <w:t xml:space="preserve">Ouagadougou), the annual denominator inflates by a factor of</w:t>
      </w:r>
      <w:r>
        <w:t xml:space="preserve"> </w:t>
      </w:r>
      <m:oMath>
        <m:r>
          <m:t>365</m:t>
        </m:r>
        <m:r>
          <m:rPr>
            <m:sty m:val="p"/>
          </m:rPr>
          <m:t>/</m:t>
        </m:r>
        <m:r>
          <m:t>122</m:t>
        </m:r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relative to the growing-season denominator,</w:t>
      </w:r>
      <w:r>
        <w:t xml:space="preserve"> </w:t>
      </w:r>
      <w:r>
        <w:t xml:space="preserve">reducing the reported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by the same factor.</w:t>
      </w:r>
      <w:r>
        <w:t xml:space="preserve"> </w:t>
      </w:r>
      <w:r>
        <w:t xml:space="preserve">The correction is largest at Almería and Ouagadougou (factor</w:t>
      </w:r>
      <w:r>
        <w:t xml:space="preserve"> </w:t>
      </w:r>
      <w:r>
        <w:t xml:space="preserve">3.0) and smallest at Konya (factor 1.9, 189-day season). Throughout</w:t>
      </w:r>
      <w:r>
        <w:t xml:space="preserve"> </w:t>
      </w:r>
      <w:r>
        <w:t xml:space="preserve">this paper,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uses the growing-season denominator</w:t>
      </w:r>
      <w:r>
        <w:t xml:space="preserve"> </w:t>
      </w:r>
      <w:r>
        <w:t xml:space="preserve">(Equation </w:t>
      </w:r>
      <w:hyperlink w:anchor="eq:lerwater">
        <w:r>
          <w:rPr>
            <w:rStyle w:val="Hyperlink"/>
          </w:rPr>
          <w:t xml:space="preserve">[eq:lerwater]</w:t>
        </w:r>
      </w:hyperlink>
      <w:r>
        <w:t xml:space="preserve">); the annual-denominator value is</w:t>
      </w:r>
      <w:r>
        <w:t xml:space="preserve"> </w:t>
      </w:r>
      <w:r>
        <w:t xml:space="preserve">reported alongside for literature comparison only.</w:t>
      </w:r>
    </w:p>
    <w:bookmarkEnd w:id="28"/>
    <w:bookmarkStart w:id="33" w:name="sec:admodel"/>
    <w:p>
      <w:pPr>
        <w:pStyle w:val="Heading2"/>
      </w:pPr>
      <w:r>
        <w:t xml:space="preserve">Anaerobic Digestion Model</w:t>
      </w:r>
    </w:p>
    <w:bookmarkStart w:id="29" w:name="effective-digester-temperature"/>
    <w:p>
      <w:pPr>
        <w:pStyle w:val="Heading3"/>
      </w:pPr>
      <w:r>
        <w:t xml:space="preserve">Effective Digester Temperature</w:t>
      </w:r>
    </w:p>
    <w:p>
      <w:pPr>
        <w:pStyle w:val="FirstParagraph"/>
      </w:pPr>
      <w:r>
        <w:t xml:space="preserve">The effective digester operating temperature is determined</w:t>
      </w:r>
      <w:r>
        <w:t xml:space="preserve"> </w:t>
      </w:r>
      <w:r>
        <w:t xml:space="preserve">by the ambient temperature profile and the thermal management strategy.</w:t>
      </w:r>
      <w:r>
        <w:t xml:space="preserve"> </w:t>
      </w:r>
      <w:r>
        <w:t xml:space="preserve">PV electricity allocated to resistive heating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PV,heat</m:t>
            </m:r>
          </m:sub>
        </m:sSub>
      </m:oMath>
      <w:r>
        <w:t xml:space="preserve"> </w:t>
      </w:r>
      <w:r>
        <w:t xml:space="preserve">fraction of annual PV output) maintains the digester above a minimum</w:t>
      </w:r>
      <w:r>
        <w:t xml:space="preserve"> </w:t>
      </w:r>
      <w:r>
        <w:t xml:space="preserve">operating threshold. The effective digester temperature is modelled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dig,eff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amb,monthly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26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 </w:t>
      </w:r>
      <w:r>
        <w:t xml:space="preserve">is the minimum acceptable</w:t>
      </w:r>
      <w:r>
        <w:t xml:space="preserve"> </w:t>
      </w:r>
      <w:r>
        <w:t xml:space="preserve">operating temperature below which methanogenesis becomes severely</w:t>
      </w:r>
      <w:r>
        <w:t xml:space="preserve"> </w:t>
      </w:r>
      <w:r>
        <w:t xml:space="preserve">inhibited,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37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 </w:t>
      </w:r>
      <w:r>
        <w:t xml:space="preserve">is the mesophilic</w:t>
      </w:r>
      <w:r>
        <w:t xml:space="preserve"> </w:t>
      </w:r>
      <w:r>
        <w:t xml:space="preserve">optimum, and the</w:t>
      </w:r>
      <w:r>
        <w:t xml:space="preserve"> </w:t>
      </w:r>
      <m:oMath>
        <m:r>
          <m:rPr>
            <m:sty m:val="p"/>
          </m:rPr>
          <m:t>+</m:t>
        </m:r>
        <m:r>
          <m:t>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boost above monthly mean ambient</w:t>
      </w:r>
      <w:r>
        <w:t xml:space="preserve"> </w:t>
      </w:r>
      <w:r>
        <w:t xml:space="preserve">temperature represents the passive thermal gain from digester</w:t>
      </w:r>
      <w:r>
        <w:t xml:space="preserve"> </w:t>
      </w:r>
      <w:r>
        <w:t xml:space="preserve">insulation and exothermic reaction heat </w:t>
      </w:r>
      <w:r>
        <w:t xml:space="preserve">.</w:t>
      </w:r>
      <w:r>
        <w:t xml:space="preserve"> </w:t>
      </w:r>
      <w:r>
        <w:t xml:space="preserve">Monthly mean ambient temperatures from the PVGIS-SARAH3 TMY are</w:t>
      </w:r>
      <w:r>
        <w:t xml:space="preserve"> </w:t>
      </w:r>
      <w:r>
        <w:t xml:space="preserve">used as the seasonal driver, reflecting the thermal inertia of a</w:t>
      </w:r>
      <w:r>
        <w:t xml:space="preserve"> </w:t>
      </w:r>
      <w:r>
        <w:t xml:space="preserve">well-insulated CSTR digester that equilibrates on a monthly rather</w:t>
      </w:r>
      <w:r>
        <w:t xml:space="preserve"> </w:t>
      </w:r>
      <w:r>
        <w:t xml:space="preserve">than hourly timescale.</w:t>
      </w:r>
    </w:p>
    <w:bookmarkEnd w:id="29"/>
    <w:bookmarkStart w:id="30" w:name="arrhenius-bmp-temperature-correction"/>
    <w:p>
      <w:pPr>
        <w:pStyle w:val="Heading3"/>
      </w:pPr>
      <w:r>
        <w:t xml:space="preserve">Arrhenius BMP Temperature Correction</w:t>
      </w:r>
    </w:p>
    <w:p>
      <w:pPr>
        <w:pStyle w:val="FirstParagraph"/>
      </w:pPr>
      <w:r>
        <w:t xml:space="preserve">The temperature-corrected biochemical methane potential</w:t>
      </w:r>
      <w:r>
        <w:t xml:space="preserve"> </w:t>
      </w:r>
      <w:r>
        <w:t xml:space="preserve">follows an Arrhenius-type relationship 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M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dig,eff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t>M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θ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dig,eff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with reference BMP</w:t>
      </w:r>
      <w:r>
        <w:t xml:space="preserve"> </w:t>
      </w:r>
      <m:oMath>
        <m:r>
          <m:t>B</m:t>
        </m:r>
        <m:r>
          <m:t>M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t>N</m:t>
        </m:r>
        <m:r>
          <m:t>m</m:t>
        </m:r>
        <m:r>
          <m:t>L</m:t>
        </m:r>
        <m:r>
          <m:t> 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 </m:t>
        </m:r>
        <m:r>
          <m:t>g</m:t>
        </m:r>
        <m:r>
          <m:t>V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37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 </w:t>
      </w:r>
      <w:r>
        <w:t xml:space="preserve">and Arrhenius coefficient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0.069</m:t>
        </m:r>
        <m:r>
          <m:t> </m:t>
        </m:r>
        <m:r>
          <m:rPr>
            <m:nor/>
            <m:sty m:val="p"/>
          </m:rPr>
          <m:t>°C</m:t>
        </m:r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 </w:t>
      </w:r>
      <w:r>
        <w:t xml:space="preserve">. Annual</w:t>
      </w:r>
      <w:r>
        <w:t xml:space="preserve"> </w:t>
      </w:r>
      <w:r>
        <w:t xml:space="preserve">methane production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4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V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×</m:t>
          </m:r>
          <m:bar>
            <m:barPr>
              <m:pos m:val="top"/>
            </m:barPr>
            <m:e>
              <m:r>
                <m:t>B</m:t>
              </m:r>
              <m:r>
                <m:t>M</m:t>
              </m:r>
              <m:r>
                <m:t>P</m:t>
              </m:r>
            </m:e>
          </m:bar>
          <m:r>
            <m:rPr>
              <m:sty m:val="p"/>
            </m:rPr>
            <m:t>×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cap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  <m:r>
              <m:t>M</m:t>
            </m:r>
            <m:r>
              <m:t>P</m:t>
            </m:r>
          </m:e>
        </m:bar>
      </m:oMath>
      <w:r>
        <w:t xml:space="preserve"> </w:t>
      </w:r>
      <w:r>
        <w:t xml:space="preserve">is the annual average BMP weighted by monthly</w:t>
      </w:r>
      <w:r>
        <w:t xml:space="preserve"> </w:t>
      </w:r>
      <w:r>
        <w:t xml:space="preserve">VS throughput,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cap</m:t>
            </m:r>
          </m:sub>
        </m:sSub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under baseline conditions</w:t>
      </w:r>
      <w:r>
        <w:t xml:space="preserve"> </w:t>
      </w:r>
      <w:r>
        <w:t xml:space="preserve">(S0), and</w:t>
      </w:r>
      <w:r>
        <w:t xml:space="preserve"> </w:t>
      </w:r>
      <m:oMath>
        <m:r>
          <m:t>V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 </w:t>
      </w:r>
      <w:r>
        <w:t xml:space="preserve">is from Equation </w:t>
      </w:r>
      <w:hyperlink w:anchor="eq:vs">
        <w:r>
          <w:rPr>
            <w:rStyle w:val="Hyperlink"/>
          </w:rPr>
          <w:t xml:space="preserve">[eq:vs]</w:t>
        </w:r>
      </w:hyperlink>
      <w:r>
        <w:t xml:space="preserve">.</w:t>
      </w:r>
      <w:r>
        <w:t xml:space="preserve"> </w:t>
      </w:r>
      <w:r>
        <w:t xml:space="preserve">Annual biogas energy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biogas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4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f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4</m:t>
                  </m:r>
                </m:sub>
              </m:sSub>
            </m:sub>
          </m:sSub>
          <m:r>
            <m:rPr>
              <m:sty m:val="p"/>
            </m:rPr>
            <m:t>×</m:t>
          </m:r>
          <m:r>
            <m:t>L</m:t>
          </m:r>
          <m:r>
            <m:t>H</m:t>
          </m:r>
          <m:sSub>
            <m:e>
              <m:r>
                <m:t>V</m:t>
              </m:r>
            </m:e>
            <m:sub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4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with methane fraction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rPr>
                    <m:nor/>
                    <m:sty m:val="p"/>
                  </m:rPr>
                  <m:t>CH</m:t>
                </m:r>
              </m:e>
              <m:sub>
                <m: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and lower heating</w:t>
      </w:r>
      <w:r>
        <w:t xml:space="preserve"> </w:t>
      </w:r>
      <w:r>
        <w:t xml:space="preserve">value</w:t>
      </w:r>
      <w:r>
        <w:t xml:space="preserve"> </w:t>
      </w:r>
      <m:oMath>
        <m:r>
          <m:t>L</m:t>
        </m:r>
        <m:r>
          <m:t>H</m:t>
        </m:r>
        <m:sSub>
          <m:e>
            <m:r>
              <m:t>V</m:t>
            </m:r>
          </m:e>
          <m:sub>
            <m:sSub>
              <m:e>
                <m:r>
                  <m:rPr>
                    <m:nor/>
                    <m:sty m:val="p"/>
                  </m:rPr>
                  <m:t>CH</m:t>
                </m:r>
              </m:e>
              <m:sub>
                <m: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35.8</m:t>
        </m:r>
        <m:r>
          <m:t> </m:t>
        </m:r>
        <m:r>
          <m:t>M</m:t>
        </m:r>
        <m:r>
          <m:t>J</m:t>
        </m:r>
        <m:r>
          <m:t> </m:t>
        </m:r>
        <m:r>
          <m:t>N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</w:t>
      </w:r>
      <w:r>
        <w:t xml:space="preserve">.</w:t>
      </w:r>
      <w:r>
        <w:t xml:space="preserve"> </w:t>
      </w:r>
      <w:r>
        <w:t xml:space="preserve">Validation of the BMP temperature model against the five-point</w:t>
      </w:r>
      <w:r>
        <w:t xml:space="preserve"> </w:t>
      </w:r>
      <w:r>
        <w:t xml:space="preserve">experimental dataset of</w:t>
      </w:r>
      <w:r>
        <w:t xml:space="preserve"> </w:t>
      </w:r>
      <w:r>
        <w:t xml:space="preserve"> </w:t>
      </w:r>
      <w:r>
        <w:t xml:space="preserve">is reported in</w:t>
      </w:r>
      <w:r>
        <w:t xml:space="preserve"> </w:t>
      </w:r>
      <w:r>
        <w:t xml:space="preserve">Section </w:t>
      </w:r>
      <w:hyperlink w:anchor="sec:validation">
        <w:r>
          <w:rPr>
            <w:rStyle w:val="Hyperlink"/>
          </w:rPr>
          <w:t xml:space="preserve">[sec:validation]</w:t>
        </w:r>
      </w:hyperlink>
      <w:r>
        <w:t xml:space="preserve"> </w:t>
      </w:r>
      <w:r>
        <w:t xml:space="preserve">(V2 validation,</w:t>
      </w:r>
      <w:r>
        <w:t xml:space="preserve"> </w:t>
      </w:r>
      <w:r>
        <w:t xml:space="preserve">MAPE = 26.9% in the operating range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37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).</w:t>
      </w:r>
      <w:r>
        <w:t xml:space="preserve"> </w:t>
      </w:r>
      <w:r>
        <w:t xml:space="preserve">Sensitivity of biogas output and eLER to</w:t>
      </w:r>
      <w:r>
        <w:t xml:space="preserve"> </w:t>
      </w:r>
      <m:oMath>
        <m:r>
          <m:t>B</m:t>
        </m:r>
        <m:r>
          <m:t>M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,</w:t>
      </w:r>
      <w:r>
        <w:t xml:space="preserve"> </w:t>
      </w:r>
      <w:r>
        <w:t xml:space="preserve">capture efficiency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cap</m:t>
            </m:r>
          </m:sub>
        </m:sSub>
      </m:oMath>
      <w:r>
        <w:t xml:space="preserve">, and volatile-solids</w:t>
      </w:r>
      <w:r>
        <w:t xml:space="preserve"> </w:t>
      </w:r>
      <w:r>
        <w:t xml:space="preserve">fractions is assessed via Monte Carlo sampling over</w:t>
      </w:r>
      <w:r>
        <w:t xml:space="preserve"> </w:t>
      </w:r>
      <w:r>
        <w:t xml:space="preserve">literature-reported ranges in 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.</w:t>
      </w:r>
    </w:p>
    <w:bookmarkEnd w:id="30"/>
    <w:bookmarkStart w:id="31" w:name="digester-heat-balance"/>
    <w:p>
      <w:pPr>
        <w:pStyle w:val="Heading3"/>
      </w:pPr>
      <w:r>
        <w:t xml:space="preserve">Digester Heat Balance</w:t>
      </w:r>
    </w:p>
    <w:p>
      <w:pPr>
        <w:pStyle w:val="FirstParagraph"/>
      </w:pPr>
      <w:r>
        <w:t xml:space="preserve">The annual digester heat demand is the sum of conductive</w:t>
      </w:r>
      <w:r>
        <w:t xml:space="preserve"> </w:t>
      </w:r>
      <w:r>
        <w:t xml:space="preserve">wall losses, substrate heating requirement, and the exothermic</w:t>
      </w:r>
      <w:r>
        <w:t xml:space="preserve"> </w:t>
      </w:r>
      <w:r>
        <w:t xml:space="preserve">reaction credit 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heat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inflow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reaction</m:t>
              </m:r>
            </m:sub>
          </m:sSub>
        </m:oMath>
      </m:oMathPara>
    </w:p>
    <w:p>
      <w:pPr>
        <w:pStyle w:val="FirstParagraph"/>
      </w:pPr>
      <w:r>
        <w:t xml:space="preserve">Conductive wall losses from a cylindrical digester (height = diameter</w:t>
      </w:r>
      <w:r>
        <w:t xml:space="preserve"> </w:t>
      </w:r>
      <w:r>
        <w:t xml:space="preserve">assumption) with effective heat transfer coefficient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0.8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 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wall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dig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amb</m:t>
                  </m:r>
                </m:sub>
              </m:sSub>
            </m:e>
          </m:d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8760</m:t>
              </m:r>
            </m:num>
            <m:den>
              <m:r>
                <m:t>1000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wall</m:t>
            </m:r>
          </m:sub>
        </m:sSub>
      </m:oMath>
      <w:r>
        <w:t xml:space="preserve"> </w:t>
      </w:r>
      <w:r>
        <w:t xml:space="preserve">is the total digester surface area (m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and the factor</w:t>
      </w:r>
      <w:r>
        <w:t xml:space="preserve"> </w:t>
      </w:r>
      <m:oMath>
        <m:r>
          <m:t>8760</m:t>
        </m:r>
        <m:r>
          <m:rPr>
            <m:sty m:val="p"/>
          </m:rPr>
          <m:t>/</m:t>
        </m:r>
        <m:r>
          <m:t>1000</m:t>
        </m:r>
      </m:oMath>
      <w:r>
        <w:t xml:space="preserve"> </w:t>
      </w:r>
      <w:r>
        <w:t xml:space="preserve">converts from W to MWh yr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Substrate heating demand: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inflow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dig</m:t>
                  </m:r>
                </m:sub>
              </m:sSub>
            </m:num>
            <m:den>
              <m:r>
                <m:t>H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×</m:t>
          </m:r>
          <m:r>
            <m:t>365</m:t>
          </m:r>
          <m:r>
            <m:rPr>
              <m:sty m:val="p"/>
            </m:rPr>
            <m:t>×</m:t>
          </m:r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dig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t>3600</m:t>
          </m:r>
        </m:oMath>
      </m:oMathPara>
    </w:p>
    <w:p>
      <w:pPr>
        <w:pStyle w:val="FirstParagraph"/>
      </w:pPr>
      <w:r>
        <w:t xml:space="preserve">with substrate density</w:t>
      </w:r>
      <w: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1020</m:t>
        </m:r>
        <m:r>
          <m:t> </m:t>
        </m:r>
        <m:r>
          <m:t>k</m:t>
        </m:r>
        <m:r>
          <m:t>g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specific</w:t>
      </w:r>
      <w:r>
        <w:t xml:space="preserve"> </w:t>
      </w:r>
      <w:r>
        <w:t xml:space="preserve">heat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4.2</m:t>
        </m:r>
        <m:r>
          <m:t> </m:t>
        </m:r>
        <m:r>
          <m:t>k</m:t>
        </m:r>
        <m:r>
          <m:t>J</m:t>
        </m:r>
        <m:r>
          <m:t> 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and inlet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. The exothermic reaction credit</w:t>
      </w:r>
      <w:r>
        <w:t xml:space="preserve"> </w:t>
      </w:r>
      <w:r>
        <w:t xml:space="preserve">is estimated as 5% of gross biogas energy 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reaction</m:t>
              </m:r>
            </m:sub>
          </m:sSub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×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biogas</m:t>
              </m:r>
            </m:sub>
          </m:sSub>
        </m:oMath>
      </m:oMathPara>
    </w:p>
    <w:bookmarkEnd w:id="31"/>
    <w:bookmarkStart w:id="32" w:name="energy-self-sufficiency-ratio"/>
    <w:p>
      <w:pPr>
        <w:pStyle w:val="Heading3"/>
      </w:pPr>
      <w:r>
        <w:t xml:space="preserve">Energy Self-Sufficiency Ratio</w:t>
      </w:r>
    </w:p>
    <w:p>
      <w:pPr>
        <w:pStyle w:val="FirstParagraph"/>
      </w:pPr>
      <w:r>
        <w:t xml:space="preserve">The Energy Self-sufficiency Ratio quantifies the thermal</w:t>
      </w:r>
      <w:r>
        <w:t xml:space="preserve"> </w:t>
      </w:r>
      <w:r>
        <w:t xml:space="preserve">margin of the integrated system: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S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PV,total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biogas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heat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E</m:t>
        </m:r>
        <m:r>
          <m:t>S</m:t>
        </m:r>
        <m:r>
          <m:t>R</m:t>
        </m:r>
        <m:r>
          <m:rPr>
            <m:sty m:val="p"/>
          </m:rPr>
          <m:t>≫</m:t>
        </m:r>
        <m:r>
          <m:t>1</m:t>
        </m:r>
      </m:oMath>
      <w:r>
        <w:t xml:space="preserve">, the combined PV and biogas output far exceeds</w:t>
      </w:r>
      <w:r>
        <w:t xml:space="preserve"> </w:t>
      </w:r>
      <w:r>
        <w:t xml:space="preserve">the digester heating requirement, and zero biogas is consumed for</w:t>
      </w:r>
      <w:r>
        <w:t xml:space="preserve"> </w:t>
      </w:r>
      <w:r>
        <w:t xml:space="preserve">self-heating. Under this condition,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w:r>
        <w:t xml:space="preserve">the ratio of APV-system biogas to open-field reference biogas</w:t>
      </w:r>
      <w:r>
        <w:t xml:space="preserve"> </w:t>
      </w:r>
      <w:r>
        <w:t xml:space="preserve">by construction — a structural identity rather than an optimised</w:t>
      </w:r>
      <w:r>
        <w:t xml:space="preserve"> </w:t>
      </w:r>
      <w:r>
        <w:t xml:space="preserve">outcome, as discussed in 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.</w:t>
      </w:r>
    </w:p>
    <w:bookmarkEnd w:id="32"/>
    <w:bookmarkEnd w:id="33"/>
    <w:bookmarkStart w:id="34" w:name="sec:eler"/>
    <w:p>
      <w:pPr>
        <w:pStyle w:val="Heading2"/>
      </w:pPr>
      <w:r>
        <w:t xml:space="preserve">Extended Land Equivalent Ratio</w:t>
      </w:r>
    </w:p>
    <w:p>
      <w:pPr>
        <w:pStyle w:val="FirstParagraph"/>
      </w:pPr>
      <w:r>
        <w:t xml:space="preserve">The extended Land Equivalent Ratio (eLER) generalises the</w:t>
      </w:r>
      <w:r>
        <w:t xml:space="preserve"> </w:t>
      </w:r>
      <w:r>
        <w:t xml:space="preserve">classical two-component agrivoltaic LER by adding net biogas energy as</w:t>
      </w:r>
      <w:r>
        <w:t xml:space="preserve"> </w:t>
      </w:r>
      <w:r>
        <w:t xml:space="preserve">a third dimensionless land-use output: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L</m:t>
          </m:r>
          <m:r>
            <m:t>E</m:t>
          </m:r>
          <m:r>
            <m:t>R</m:t>
          </m:r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crop,AV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crop,open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crop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PV,sold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PV,ref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PV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biogas,APV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biogas,ref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biogas</m:t>
                  </m:r>
                </m:sub>
              </m:sSub>
            </m:lim>
          </m:limLow>
        </m:oMath>
      </m:oMathPara>
    </w:p>
    <w:p>
      <w:pPr>
        <w:pStyle w:val="FirstParagraph"/>
      </w:pPr>
      <w:r>
        <w:t xml:space="preserve">An eLER greater than 1.0 indicates that the integrated APV–AD system</w:t>
      </w:r>
      <w:r>
        <w:t xml:space="preserve"> </w:t>
      </w:r>
      <w:r>
        <w:t xml:space="preserve">uses land more productively than three separate monocultures — an</w:t>
      </w:r>
      <w:r>
        <w:t xml:space="preserve"> </w:t>
      </w:r>
      <w:r>
        <w:t xml:space="preserve">open-field crop, a dense-pack ground-mount PV array, and a standalone</w:t>
      </w:r>
      <w:r>
        <w:t xml:space="preserve"> </w:t>
      </w:r>
      <w:r>
        <w:t xml:space="preserve">AD unit — occupying the same total area. Equal weighting of the</w:t>
      </w:r>
      <w:r>
        <w:t xml:space="preserve"> </w:t>
      </w:r>
      <w:r>
        <w:t xml:space="preserve">three components is adopted here, consistent with the original</w:t>
      </w:r>
      <w:r>
        <w:t xml:space="preserve"> </w:t>
      </w:r>
      <w:r>
        <w:t xml:space="preserve">two-component LER framework, in which each term is already normalised</w:t>
      </w:r>
      <w:r>
        <w:t xml:space="preserve"> </w:t>
      </w:r>
      <w:r>
        <w:t xml:space="preserve">to its own reference system and is therefore commensurable without</w:t>
      </w:r>
      <w:r>
        <w:t xml:space="preserve"> </w:t>
      </w:r>
      <w:r>
        <w:t xml:space="preserve">further weighting; the sensitivity of eLER and cross-site rankings</w:t>
      </w:r>
      <w:r>
        <w:t xml:space="preserve"> </w:t>
      </w:r>
      <w:r>
        <w:t xml:space="preserve">to alternative (energy-content- and revenue-weighted) schemes is</w:t>
      </w:r>
      <w:r>
        <w:t xml:space="preserve"> </w:t>
      </w:r>
      <w:r>
        <w:t xml:space="preserve">examined in 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. Each component is defined</w:t>
      </w:r>
      <w:r>
        <w:t xml:space="preserve"> </w:t>
      </w:r>
      <w:r>
        <w:t xml:space="preserve">as follows.</w:t>
      </w:r>
    </w:p>
    <w:p>
      <w:pPr>
        <w:pStyle w:val="BodyText"/>
      </w:pP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is the yield ratio from</w:t>
      </w:r>
      <w:r>
        <w:t xml:space="preserve"> </w:t>
      </w:r>
      <w:r>
        <w:t xml:space="preserve">Equation </w:t>
      </w:r>
      <w:hyperlink w:anchor="eq:lercrop">
        <w:r>
          <w:rPr>
            <w:rStyle w:val="Hyperlink"/>
          </w:rPr>
          <w:t xml:space="preserve">[eq:lercrop]</w:t>
        </w:r>
      </w:hyperlink>
      <w:r>
        <w:t xml:space="preserve">: the ratio of growing-season PAR integral</w:t>
      </w:r>
      <w:r>
        <w:t xml:space="preserve"> </w:t>
      </w:r>
      <w:r>
        <w:t xml:space="preserve">under the APV array to the open-field PAR integral, bounded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tomato at the modelled irradiance levels.</w:t>
      </w:r>
    </w:p>
    <w:p>
      <w:pPr>
        <w:pStyle w:val="BodyText"/>
      </w:pP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is the ratio of annual APV electricity</w:t>
      </w:r>
      <w:r>
        <w:t xml:space="preserve"> </w:t>
      </w:r>
      <w:r>
        <w:t xml:space="preserve">sold to grid to the reference PV output. Two reference definitions</w:t>
      </w:r>
      <w:r>
        <w:t xml:space="preserve"> </w:t>
      </w:r>
      <w:r>
        <w:t xml:space="preserve">are used: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Definition A (independent reference, primary)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PV,ref</m:t>
            </m:r>
          </m:sub>
        </m:sSub>
      </m:oMath>
      <w:r>
        <w:t xml:space="preserve"> </w:t>
      </w:r>
      <w:r>
        <w:t xml:space="preserve">is computed from a simulated dense-pack</w:t>
      </w:r>
      <w:r>
        <w:t xml:space="preserve"> </w:t>
      </w:r>
      <w:r>
        <w:t xml:space="preserve">ground-mount array at the same tilt angle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no</w:t>
      </w:r>
      <w:r>
        <w:t xml:space="preserve"> </w:t>
      </w:r>
      <w:r>
        <w:t xml:space="preserve">inter-row shading (GCR = 1.0 in the limiting sense, i.e. rows</w:t>
      </w:r>
      <w:r>
        <w:t xml:space="preserve"> </w:t>
      </w:r>
      <w:r>
        <w:t xml:space="preserve">spaced at exactly the module projected width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cos</m:t>
        </m:r>
        <m:r>
          <m:t>β</m:t>
        </m:r>
      </m:oMath>
      <w:r>
        <w:t xml:space="preserve">).</w:t>
      </w:r>
      <w:r>
        <w:t xml:space="preserve"> </w:t>
      </w:r>
      <w:r>
        <w:t xml:space="preserve">This provides a non-circular reference that is</w:t>
      </w:r>
      <w:r>
        <w:t xml:space="preserve"> </w:t>
      </w:r>
      <w:r>
        <w:t xml:space="preserve">independent of the APV design variables.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Definition B (circular reference, for comparison)</w:t>
      </w:r>
      <w:r>
        <w:t xml:space="preserve">: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  <m:r>
          <m:rPr>
            <m:sty m:val="p"/>
          </m:rPr>
          <m:t>≡</m:t>
        </m:r>
        <m:r>
          <m:t>G</m:t>
        </m:r>
        <m:r>
          <m:t>C</m:t>
        </m:r>
        <m:r>
          <m:t>R</m:t>
        </m:r>
      </m:oMath>
      <w:r>
        <w:t xml:space="preserve">, as the APV array output referenced</w:t>
      </w:r>
      <w:r>
        <w:t xml:space="preserve"> </w:t>
      </w:r>
      <w:r>
        <w:t xml:space="preserve">to itself equals the fraction of ground covered. Reported for</w:t>
      </w:r>
      <w:r>
        <w:t xml:space="preserve"> </w:t>
      </w:r>
      <w:r>
        <w:t xml:space="preserve">literature comparability with studies using this convention, but</w:t>
      </w:r>
      <w:r>
        <w:t xml:space="preserve"> </w:t>
      </w:r>
      <w:r>
        <w:t xml:space="preserve">not used as the primary metric </w:t>
      </w:r>
      <w:r>
        <w:t xml:space="preserve">.</w:t>
      </w:r>
    </w:p>
    <w:p>
      <w:pPr>
        <w:pStyle w:val="FirstParagraph"/>
      </w:pP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is the ratio of biogas energy produced</w:t>
      </w:r>
      <w:r>
        <w:t xml:space="preserve"> </w:t>
      </w:r>
      <w:r>
        <w:t xml:space="preserve">by the APV–AD system to the output of a standalone reference AD unit.</w:t>
      </w:r>
      <w:r>
        <w:t xml:space="preserve"> </w:t>
      </w:r>
      <w:r>
        <w:t xml:space="preserve">The reference AD unit processes the same land area under open-field</w:t>
      </w:r>
      <w:r>
        <w:t xml:space="preserve"> </w:t>
      </w:r>
      <w:r>
        <w:t xml:space="preserve">conditions (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 maximum residue production)</w:t>
      </w:r>
      <w:r>
        <w:t xml:space="preserve"> </w:t>
      </w:r>
      <w:r>
        <w:t xml:space="preserve">with identical digester volume, HRT, and manure co-substrate: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biogas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biogas,APV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biogas,ref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Because the manure co-substrate (</w:t>
      </w:r>
      <m:oMath>
        <m:r>
          <m:t>V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manure</m:t>
            </m:r>
          </m:sub>
        </m:sSub>
      </m:oMath>
      <w:r>
        <w:t xml:space="preserve">) is identical</w:t>
      </w:r>
      <w:r>
        <w:t xml:space="preserve"> </w:t>
      </w:r>
      <w:r>
        <w:t xml:space="preserve">in both the APV and reference cases,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reflects</w:t>
      </w:r>
      <w:r>
        <w:t xml:space="preserve"> </w:t>
      </w:r>
      <w:r>
        <w:t xml:space="preserve">exclusively the effect of APV shading on crop residue production.</w:t>
      </w:r>
      <w:r>
        <w:t xml:space="preserve"> </w:t>
      </w:r>
      <w:r>
        <w:t xml:space="preserve">When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 the APV system produces fewer crop</w:t>
      </w:r>
      <w:r>
        <w:t xml:space="preserve"> </w:t>
      </w:r>
      <w:r>
        <w:t xml:space="preserve">residues than the open-field reference, and consequently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 This is a structural consequence of</w:t>
      </w:r>
      <w:r>
        <w:t xml:space="preserve"> </w:t>
      </w:r>
      <w:r>
        <w:t xml:space="preserve">the shading-residue coupling, not a model artefact.</w:t>
      </w:r>
    </w:p>
    <w:p>
      <w:pPr>
        <w:pStyle w:val="BodyText"/>
      </w:pPr>
      <w:r>
        <w:t xml:space="preserve">The two-component benchmark for literature comparison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2C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E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crop</m:t>
              </m:r>
            </m:sub>
          </m:sSub>
          <m:r>
            <m:rPr>
              <m:sty m:val="p"/>
            </m:rPr>
            <m:t>+</m:t>
          </m:r>
          <m:r>
            <m:t>L</m:t>
          </m:r>
          <m:r>
            <m:t>E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PV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Def. 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published two-component maximum is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2C</m:t>
            </m:r>
          </m:sub>
        </m:sSub>
        <m:r>
          <m:rPr>
            <m:sty m:val="p"/>
          </m:rPr>
          <m:t>=</m:t>
        </m:r>
        <m:r>
          <m:t>1.94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 </w:t>
      </w:r>
      <w:r>
        <w:t xml:space="preserve">for bifacial tomato in Arizona. All results in</w:t>
      </w:r>
      <w:r>
        <w:t xml:space="preserve"> </w:t>
      </w:r>
      <w:r>
        <w:t xml:space="preserve">this study are reported under Definition A unless explicitly stated</w:t>
      </w:r>
      <w:r>
        <w:t xml:space="preserve"> </w:t>
      </w:r>
      <w:r>
        <w:t xml:space="preserve">otherwise, and the numerical difference between Definition A and B</w:t>
      </w:r>
      <w:r>
        <w:t xml:space="preserve"> </w:t>
      </w:r>
      <w:r>
        <w:t xml:space="preserve">is reported in Table </w:t>
      </w:r>
      <w:hyperlink w:anchor="tab:eLER">
        <w:r>
          <w:rPr>
            <w:rStyle w:val="Hyperlink"/>
          </w:rPr>
          <w:t xml:space="preserve">[tab:eLER]</w:t>
        </w:r>
      </w:hyperlink>
      <w:r>
        <w:t xml:space="preserve">.</w:t>
      </w:r>
    </w:p>
    <w:bookmarkEnd w:id="34"/>
    <w:bookmarkStart w:id="39" w:name="sec:optimizer"/>
    <w:p>
      <w:pPr>
        <w:pStyle w:val="Heading2"/>
      </w:pPr>
      <w:r>
        <w:t xml:space="preserve">Design Optimization</w:t>
      </w:r>
    </w:p>
    <w:bookmarkStart w:id="36" w:name="differential-evolution-algorithm"/>
    <w:p>
      <w:pPr>
        <w:pStyle w:val="Heading3"/>
      </w:pPr>
      <w:r>
        <w:t xml:space="preserve">Differential Evolution Algorithm</w:t>
      </w:r>
    </w:p>
    <w:p>
      <w:pPr>
        <w:pStyle w:val="FirstParagraph"/>
      </w:pPr>
      <w:r>
        <w:t xml:space="preserve">The six design variables and their bounds are summarised in</w:t>
      </w:r>
      <w:r>
        <w:t xml:space="preserve"> </w:t>
      </w:r>
      <w:r>
        <w:t xml:space="preserve">Table </w:t>
      </w:r>
      <w:hyperlink w:anchor="tab:bounds">
        <w:r>
          <w:rPr>
            <w:rStyle w:val="Hyperlink"/>
          </w:rPr>
          <w:t xml:space="preserve">4</w:t>
        </w:r>
      </w:hyperlink>
      <w:r>
        <w:t xml:space="preserve">. The objective function</w:t>
      </w:r>
      <w:r>
        <w:t xml:space="preserve"> </w:t>
      </w:r>
      <m:oMath>
        <m:r>
          <m:t>e</m:t>
        </m:r>
        <m:r>
          <m:t>L</m:t>
        </m:r>
        <m:r>
          <m:t>E</m:t>
        </m:r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(Equation </w:t>
      </w:r>
      <w:hyperlink w:anchor="eq:eler">
        <w:r>
          <w:rPr>
            <w:rStyle w:val="Hyperlink"/>
          </w:rPr>
          <w:t xml:space="preserve">[eq:eler]</w:t>
        </w:r>
      </w:hyperlink>
      <w:r>
        <w:t xml:space="preserve">) is maximised using Differential Evolution</w:t>
      </w:r>
      <w:r>
        <w:t xml:space="preserve"> </w:t>
      </w:r>
      <w:r>
        <w:t xml:space="preserve">(DE) </w:t>
      </w:r>
      <w:r>
        <w:t xml:space="preserve">, a population-based global optimizer that</w:t>
      </w:r>
      <w:r>
        <w:t xml:space="preserve"> </w:t>
      </w:r>
      <w:r>
        <w:t xml:space="preserve">requires no gradient information and handles non-smooth, multimodal</w:t>
      </w:r>
      <w:r>
        <w:t xml:space="preserve"> </w:t>
      </w:r>
      <w:r>
        <w:t xml:space="preserve">objective landscapes efficiently. DE has been widely applied to</w:t>
      </w:r>
      <w:r>
        <w:t xml:space="preserve"> </w:t>
      </w:r>
      <w:r>
        <w:t xml:space="preserve">renewable energy system sizing problems where the design space</w:t>
      </w:r>
      <w:r>
        <w:t xml:space="preserve"> </w:t>
      </w:r>
      <w:r>
        <w:t xml:space="preserve">contains bound constraints and discrete-continuous</w:t>
      </w:r>
      <w:r>
        <w:t xml:space="preserve"> </w:t>
      </w:r>
      <w:r>
        <w:t xml:space="preserve">interactions </w:t>
      </w:r>
      <w:r>
        <w:t xml:space="preserve">.</w:t>
      </w:r>
    </w:p>
    <w:bookmarkStart w:id="35" w:name="tab:bounds"/>
    <w:p>
      <w:pPr>
        <w:pStyle w:val="TableCaption"/>
      </w:pPr>
      <w:r>
        <w:t xml:space="preserve">Design variable bounds for Differential Evolution.</w:t>
      </w:r>
      <w:r>
        <w:t xml:space="preserve"> </w:t>
      </w:r>
      <w:r>
        <w:t xml:space="preserve">The inter-row clearance constraint (Equation </w:t>
      </w:r>
      <w:hyperlink w:anchor="eq:overlap">
        <w:r>
          <w:rPr>
            <w:rStyle w:val="Hyperlink"/>
          </w:rPr>
          <w:t xml:space="preserve">[eq:overlap]</w:t>
        </w:r>
      </w:hyperlink>
      <w:r>
        <w:t xml:space="preserve">)</w:t>
      </w:r>
      <w:r>
        <w:t xml:space="preserve"> </w:t>
      </w:r>
      <w:r>
        <w:t xml:space="preserve">is enforced dynamically as a feasibility penalty during optimization.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ign variable bounds for Differential Evolution. The inter-row clearance constraint (Equation [eq:overlap]) is enforced dynamically as a feasibility penalty during optimiz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Lower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tilt angle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spacing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row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bottom-edge height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Digester volume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dig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Hydraulic retention time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heating fraction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PV,heat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p>
      <w:pPr>
        <w:pStyle w:val="BodyText"/>
      </w:pPr>
      <w:r>
        <w:t xml:space="preserve">The DE configuration follows common recommendations 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Population size: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var</m:t>
            </m:r>
          </m:sub>
        </m:sSub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individuals, initialised via Latin Hypercube Sampling</w:t>
      </w:r>
      <w:r>
        <w:t xml:space="preserve"> </w:t>
      </w:r>
      <w:r>
        <w:t xml:space="preserve">with seed = 42 for reproducibility.</w:t>
      </w:r>
    </w:p>
    <w:p>
      <w:pPr>
        <w:numPr>
          <w:ilvl w:val="0"/>
          <w:numId w:val="1002"/>
        </w:numPr>
      </w:pPr>
      <w:r>
        <w:t xml:space="preserve">Mutation factor: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dithered uniformly in</w:t>
      </w:r>
      <w:r>
        <w:t xml:space="preserve"> </w:t>
      </w:r>
      <m:oMath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 </m:t>
        </m:r>
        <m:r>
          <m:t>1.0</m:t>
        </m:r>
        <m:r>
          <m:rPr>
            <m:sty m:val="p"/>
          </m:rPr>
          <m:t>]</m:t>
        </m:r>
      </m:oMath>
      <w:r>
        <w:t xml:space="preserve"> </w:t>
      </w:r>
      <w:r>
        <w:t xml:space="preserve">at each generation, balancing global exploration with</w:t>
      </w:r>
      <w:r>
        <w:t xml:space="preserve"> </w:t>
      </w:r>
      <w:r>
        <w:t xml:space="preserve">local convergence.</w:t>
      </w:r>
    </w:p>
    <w:p>
      <w:pPr>
        <w:numPr>
          <w:ilvl w:val="0"/>
          <w:numId w:val="1002"/>
        </w:numPr>
      </w:pPr>
      <w:r>
        <w:t xml:space="preserve">Crossover probability:</w:t>
      </w:r>
      <w:r>
        <w:t xml:space="preserve"> </w:t>
      </w:r>
      <m:oMath>
        <m:r>
          <m:t>C</m:t>
        </m:r>
        <m:r>
          <m:t>r</m:t>
        </m:r>
        <m:r>
          <m:rPr>
            <m:sty m:val="p"/>
          </m:rPr>
          <m:t>=</m:t>
        </m:r>
        <m:r>
          <m:t>0.70</m:t>
        </m:r>
      </m:oMath>
      <w:r>
        <w:t xml:space="preserve"> </w:t>
      </w:r>
      <w:r>
        <w:t xml:space="preserve">(binomial crossover).</w:t>
      </w:r>
    </w:p>
    <w:p>
      <w:pPr>
        <w:numPr>
          <w:ilvl w:val="0"/>
          <w:numId w:val="1002"/>
        </w:numPr>
      </w:pPr>
      <w:r>
        <w:t xml:space="preserve">Maximum generations: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Local polishing: after DE convergence, the best candidate</w:t>
      </w:r>
      <w:r>
        <w:t xml:space="preserve"> </w:t>
      </w:r>
      <w:r>
        <w:t xml:space="preserve">is refined using L-BFGS-B with bound constraints,</w:t>
      </w:r>
      <w:r>
        <w:t xml:space="preserve"> </w:t>
      </w:r>
      <w:r>
        <w:t xml:space="preserve">recovering sub-pixel precision in the continuous</w:t>
      </w:r>
      <w:r>
        <w:t xml:space="preserve"> </w:t>
      </w:r>
      <w:r>
        <w:t xml:space="preserve">design space.</w:t>
      </w:r>
    </w:p>
    <w:p>
      <w:pPr>
        <w:pStyle w:val="FirstParagraph"/>
      </w:pPr>
      <w:r>
        <w:t xml:space="preserve">Two feasibility constraints are enforced via an infeasibility</w:t>
      </w:r>
      <w:r>
        <w:t xml:space="preserve"> </w:t>
      </w:r>
      <w:r>
        <w:t xml:space="preserve">penalty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applied to violating candidates:</w:t>
      </w:r>
    </w:p>
    <w:p>
      <w:pPr>
        <w:numPr>
          <w:ilvl w:val="0"/>
          <w:numId w:val="1003"/>
        </w:numPr>
      </w:pPr>
      <w:r>
        <w:t xml:space="preserve">Organic loading rate:</w:t>
      </w:r>
      <w:r>
        <w:t xml:space="preserve"> </w:t>
      </w:r>
      <m:oMath>
        <m:r>
          <m:t>O</m:t>
        </m:r>
        <m:r>
          <m:t>L</m:t>
        </m:r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1.5</m:t>
        </m:r>
        <m:r>
          <m:rPr>
            <m:sty m:val="p"/>
          </m:rPr>
          <m:t>,</m:t>
        </m:r>
        <m:r>
          <m:t> </m:t>
        </m:r>
        <m:r>
          <m:t>5.0</m:t>
        </m:r>
        <m:r>
          <m:rPr>
            <m:sty m:val="p"/>
          </m:rPr>
          <m:t>]</m:t>
        </m:r>
        <m:r>
          <m:t> </m:t>
        </m:r>
        <m:sSup>
          <m:e>
            <m:r>
              <m:rPr>
                <m:nor/>
                <m:sty m:val="p"/>
              </m:rPr>
              <m:t>kg</m:t>
            </m:r>
            <m:r>
              <m:t> </m:t>
            </m:r>
            <m:r>
              <m:rPr>
                <m:nor/>
                <m:sty m:val="p"/>
              </m:rPr>
              <m:t>VS</m:t>
            </m:r>
            <m:r>
              <m:t> </m:t>
            </m:r>
            <m:r>
              <m:rPr>
                <m:nor/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nor/>
                <m:sty m:val="p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ensuring stable digester operation without</w:t>
      </w:r>
      <w:r>
        <w:t xml:space="preserve"> </w:t>
      </w:r>
      <w:r>
        <w:t xml:space="preserve">acidification or underloading.</w:t>
      </w:r>
    </w:p>
    <w:p>
      <w:pPr>
        <w:numPr>
          <w:ilvl w:val="0"/>
          <w:numId w:val="1003"/>
        </w:numPr>
      </w:pPr>
      <w:r>
        <w:t xml:space="preserve">Inter-row clearance: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  <m:r>
          <m:rPr>
            <m:sty m:val="p"/>
          </m:rPr>
          <m:t>≥</m:t>
        </m:r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t>0.5</m:t>
        </m:r>
        <m:r>
          <m:t> </m:t>
        </m:r>
        <m:r>
          <m:t>m</m:t>
        </m:r>
      </m:oMath>
      <w:r>
        <w:t xml:space="preserve">,</w:t>
      </w:r>
      <w:r>
        <w:t xml:space="preserve"> </w:t>
      </w:r>
      <w:r>
        <w:t xml:space="preserve">preventing physical module overlap</w:t>
      </w:r>
      <w:r>
        <w:t xml:space="preserve"> </w:t>
      </w:r>
      <w:r>
        <w:t xml:space="preserve">(Equation </w:t>
      </w:r>
      <w:hyperlink w:anchor="eq:overlap">
        <w:r>
          <w:rPr>
            <w:rStyle w:val="Hyperlink"/>
          </w:rPr>
          <w:t xml:space="preserve">[eq:overlap]</w:t>
        </w:r>
      </w:hyperlink>
      <w:r>
        <w:t xml:space="preserve">).</w:t>
      </w:r>
    </w:p>
    <w:p>
      <w:pPr>
        <w:pStyle w:val="FirstParagraph"/>
      </w:pPr>
      <w:r>
        <w:t xml:space="preserve">The complete pseudocode of the DE procedure is given in</w:t>
      </w:r>
      <w:r>
        <w:t xml:space="preserve"> </w:t>
      </w:r>
      <w:r>
        <w:t xml:space="preserve">Appendix </w:t>
      </w:r>
      <w:hyperlink w:anchor="app:de">
        <w:r>
          <w:rPr>
            <w:rStyle w:val="Hyperlink"/>
          </w:rPr>
          <w:t xml:space="preserve">[app:de]</w:t>
        </w:r>
      </w:hyperlink>
      <w:r>
        <w:t xml:space="preserve">. Each evaluation of the objective function</w:t>
      </w:r>
      <w:r>
        <w:t xml:space="preserve"> </w:t>
      </w:r>
      <m:oMath>
        <m:r>
          <m:t>e</m:t>
        </m:r>
        <m:r>
          <m:t>L</m:t>
        </m:r>
        <m:r>
          <m:t>E</m:t>
        </m:r>
        <m:r>
          <m:t>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runs the full six-model pipeline — solar</w:t>
      </w:r>
      <w:r>
        <w:t xml:space="preserve"> </w:t>
      </w:r>
      <w:r>
        <w:t xml:space="preserve">geometry, PV model, crop yield, ET reduction, AD model, and eLER</w:t>
      </w:r>
      <w:r>
        <w:t xml:space="preserve"> </w:t>
      </w:r>
      <w:r>
        <w:t xml:space="preserve">assembly — on the 8760-hour TMY dataset for the corresponding</w:t>
      </w:r>
      <w:r>
        <w:t xml:space="preserve"> </w:t>
      </w:r>
      <w:r>
        <w:t xml:space="preserve">site. At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individuals and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generations,</w:t>
      </w:r>
      <w:r>
        <w:t xml:space="preserve"> </w:t>
      </w:r>
      <w:r>
        <w:t xml:space="preserve">each site requires</w:t>
      </w:r>
      <w:r>
        <w:t xml:space="preserve"> </w:t>
      </w:r>
      <m:oMath>
        <m:r>
          <m:t>90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4500</m:t>
        </m:r>
      </m:oMath>
      <w:r>
        <w:t xml:space="preserve"> </w:t>
      </w:r>
      <w:r>
        <w:t xml:space="preserve">full pipeline evaluations,</w:t>
      </w:r>
      <w:r>
        <w:t xml:space="preserve"> </w:t>
      </w:r>
      <w:r>
        <w:t xml:space="preserve">converging in 102–172 seconds on a standard desktop CPU.</w:t>
      </w:r>
    </w:p>
    <w:bookmarkEnd w:id="36"/>
    <w:bookmarkStart w:id="37" w:name="sec:boundaryconv"/>
    <w:p>
      <w:pPr>
        <w:pStyle w:val="Heading3"/>
      </w:pPr>
      <w:r>
        <w:t xml:space="preserve">Boundary Convergence</w:t>
      </w:r>
    </w:p>
    <w:p>
      <w:pPr>
        <w:pStyle w:val="FirstParagraph"/>
      </w:pPr>
      <w:r>
        <w:t xml:space="preserve">At all four sites, the optimizer converges to the</w:t>
      </w:r>
      <w:r>
        <w:t xml:space="preserve"> </w:t>
      </w:r>
      <w:r>
        <w:t xml:space="preserve">lower bounds of row spacing (</w:t>
      </w:r>
      <m:oMath>
        <m:sSubSup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3.03</m:t>
        </m:r>
        <m:r>
          <m:t> </m:t>
        </m:r>
        <m:r>
          <m:t>m</m:t>
        </m:r>
      </m:oMath>
      <w:r>
        <w:t xml:space="preserve">,</w:t>
      </w:r>
      <w:r>
        <w:t xml:space="preserve"> </w:t>
      </w:r>
      <w:r>
        <w:t xml:space="preserve">constrained by the inter-row clearance condition) and module</w:t>
      </w:r>
      <w:r>
        <w:t xml:space="preserve"> </w:t>
      </w:r>
      <w:r>
        <w:t xml:space="preserve">height (</w:t>
      </w:r>
      <m:oMath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1.50</m:t>
        </m:r>
        <m:r>
          <m:t> </m:t>
        </m:r>
        <m:r>
          <m:t>m</m:t>
        </m:r>
      </m:oMath>
      <w:r>
        <w:t xml:space="preserve">, the specified lower bound).</w:t>
      </w:r>
      <w:r>
        <w:t xml:space="preserve"> </w:t>
      </w:r>
      <w:r>
        <w:t xml:space="preserve">This boundary convergence is a structural result: the eLER</w:t>
      </w:r>
      <w:r>
        <w:t xml:space="preserve"> </w:t>
      </w:r>
      <w:r>
        <w:t xml:space="preserve">landscape reaches its optimum at the physical constraint boundary,</w:t>
      </w:r>
      <w:r>
        <w:t xml:space="preserve"> </w:t>
      </w:r>
      <w:r>
        <w:t xml:space="preserve">where maximum panel density simultaneously maximises</w:t>
      </w:r>
      <w:r>
        <w:t xml:space="preserve"> </w:t>
      </w:r>
      <w:r>
        <w:t xml:space="preserve">PV output and reduces the open-field PAR integral denominator</w:t>
      </w:r>
      <w:r>
        <w:t xml:space="preserve"> </w:t>
      </w:r>
      <w:r>
        <w:t xml:space="preserve">(Equation </w:t>
      </w:r>
      <w:hyperlink w:anchor="eq:lercrop">
        <w:r>
          <w:rPr>
            <w:rStyle w:val="Hyperlink"/>
          </w:rPr>
          <w:t xml:space="preserve">[eq:lercrop]</w:t>
        </w:r>
      </w:hyperlink>
      <w:r>
        <w:t xml:space="preserve">). The L-BFGS-B polishing step</w:t>
      </w:r>
      <w:r>
        <w:t xml:space="preserve"> </w:t>
      </w:r>
      <w:r>
        <w:t xml:space="preserve">confirms that no interior local maximum exists in the neighbourhood</w:t>
      </w:r>
      <w:r>
        <w:t xml:space="preserve"> </w:t>
      </w:r>
      <w:r>
        <w:t xml:space="preserve">of the boundary solution. The eLER penalty associated with any</w:t>
      </w:r>
      <w:r>
        <w:t xml:space="preserve"> </w:t>
      </w:r>
      <w:r>
        <w:t xml:space="preserve">mechanical access requirement beyond the minimum clearance is</w:t>
      </w:r>
      <w:r>
        <w:t xml:space="preserve"> </w:t>
      </w:r>
      <w:r>
        <w:t xml:space="preserve">quantified in the sensitivity analysis of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.</w:t>
      </w:r>
    </w:p>
    <w:bookmarkEnd w:id="37"/>
    <w:bookmarkStart w:id="38" w:name="multi-objective-extension-nsga-ii"/>
    <w:p>
      <w:pPr>
        <w:pStyle w:val="Heading3"/>
      </w:pPr>
      <w:r>
        <w:t xml:space="preserve">Multi-Objective Extension (NSGA-II)</w:t>
      </w:r>
    </w:p>
    <w:p>
      <w:pPr>
        <w:pStyle w:val="FirstParagraph"/>
      </w:pPr>
      <w:r>
        <w:t xml:space="preserve">For the water trade-off analysis, the scalar eLER</w:t>
      </w:r>
      <w:r>
        <w:t xml:space="preserve"> </w:t>
      </w:r>
      <w:r>
        <w:t xml:space="preserve">objective is replaced by a bi-objective problem: simultaneously</w:t>
      </w:r>
      <w:r>
        <w:t xml:space="preserve"> </w:t>
      </w:r>
      <w:r>
        <w:t xml:space="preserve">maximise</w:t>
      </w:r>
      <w:r>
        <w:t xml:space="preserve"> </w:t>
      </w:r>
      <m:oMath>
        <m:r>
          <m:t>e</m:t>
        </m:r>
        <m:r>
          <m:t>L</m:t>
        </m:r>
        <m:r>
          <m:t>E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(Equation </w:t>
      </w:r>
      <w:hyperlink w:anchor="eq:lerwater">
        <w:r>
          <w:rPr>
            <w:rStyle w:val="Hyperlink"/>
          </w:rPr>
          <w:t xml:space="preserve">[eq:lerwater]</w:t>
        </w:r>
      </w:hyperlink>
      <w:r>
        <w:t xml:space="preserve">).</w:t>
      </w:r>
      <w:r>
        <w:t xml:space="preserve"> </w:t>
      </w:r>
      <w:r>
        <w:t xml:space="preserve">This is solved using NSGA-II </w:t>
      </w:r>
      <w:r>
        <w:t xml:space="preserve"> </w:t>
      </w:r>
      <w:r>
        <w:t xml:space="preserve">with 50 solutions</w:t>
      </w:r>
      <w:r>
        <w:t xml:space="preserve"> </w:t>
      </w:r>
      <w:r>
        <w:t xml:space="preserve">and 80 generations implemented via the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 </w:t>
      </w:r>
      <w:r>
        <w:t xml:space="preserve">library </w:t>
      </w:r>
      <w:r>
        <w:t xml:space="preserve">. The bi-objective Pareto front provides</w:t>
      </w:r>
      <w:r>
        <w:t xml:space="preserve"> </w:t>
      </w:r>
      <w:r>
        <w:t xml:space="preserve">the decision-maker with explicit trade-off information between</w:t>
      </w:r>
      <w:r>
        <w:t xml:space="preserve"> </w:t>
      </w:r>
      <w:r>
        <w:t xml:space="preserve">land productivity and water conservation, enabling context-specific</w:t>
      </w:r>
      <w:r>
        <w:t xml:space="preserve"> </w:t>
      </w:r>
      <w:r>
        <w:t xml:space="preserve">design choices for water-stressed smallholder systems.</w:t>
      </w:r>
    </w:p>
    <w:bookmarkEnd w:id="38"/>
    <w:bookmarkEnd w:id="39"/>
    <w:bookmarkStart w:id="41" w:name="sec:scenarios"/>
    <w:p>
      <w:pPr>
        <w:pStyle w:val="Heading2"/>
      </w:pPr>
      <w:r>
        <w:t xml:space="preserve">AD Valorization Scenarios</w:t>
      </w:r>
    </w:p>
    <w:p>
      <w:pPr>
        <w:pStyle w:val="FirstParagraph"/>
      </w:pPr>
      <w:r>
        <w:t xml:space="preserve">Seven economic scenarios (S0–S6) are evaluated to quantify</w:t>
      </w:r>
      <w:r>
        <w:t xml:space="preserve"> </w:t>
      </w:r>
      <w:r>
        <w:t xml:space="preserve">the sensitivity of project economics to biogas valorization strategy and</w:t>
      </w:r>
      <w:r>
        <w:t xml:space="preserve"> </w:t>
      </w:r>
      <w:r>
        <w:t xml:space="preserve">carbon market participation (Table </w:t>
      </w:r>
      <w:hyperlink w:anchor="tab:scenarios">
        <w:r>
          <w:rPr>
            <w:rStyle w:val="Hyperlink"/>
          </w:rPr>
          <w:t xml:space="preserve">5</w:t>
        </w:r>
      </w:hyperlink>
      <w:r>
        <w:t xml:space="preserve">). All scenarios</w:t>
      </w:r>
      <w:r>
        <w:t xml:space="preserve"> </w:t>
      </w:r>
      <w:r>
        <w:t xml:space="preserve">share the same optimized APV–AD design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and differ</w:t>
      </w:r>
      <w:r>
        <w:t xml:space="preserve"> </w:t>
      </w:r>
      <w:r>
        <w:t xml:space="preserve">only in biogas price, BMP multiplier, capture efficiency, or additional</w:t>
      </w:r>
      <w:r>
        <w:t xml:space="preserve"> </w:t>
      </w:r>
      <w:r>
        <w:t xml:space="preserve">revenue streams. eLER is invariant across scenarios by construction,</w:t>
      </w:r>
      <w:r>
        <w:t xml:space="preserve"> </w:t>
      </w:r>
      <w:r>
        <w:t xml:space="preserve">since it depends solely on physical outputs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PV,sold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) and not on market prices.</w:t>
      </w:r>
    </w:p>
    <w:bookmarkStart w:id="40" w:name="tab:scenarios"/>
    <w:p>
      <w:pPr>
        <w:pStyle w:val="TableCaption"/>
      </w:pPr>
      <w:r>
        <w:t xml:space="preserve">AD valorization scenarios S0–S6. All scenarios use the</w:t>
      </w:r>
      <w:r>
        <w:t xml:space="preserve"> </w:t>
      </w:r>
      <w:r>
        <w:t xml:space="preserve">same optimized design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eLER is identical across</w:t>
      </w:r>
      <w:r>
        <w:t xml:space="preserve"> </w:t>
      </w:r>
      <w:r>
        <w:t xml:space="preserve">scenarios; only revenue structure changes.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D valorization scenarios S0–S6. All scenarios use the same optimized design \mathbf{x}^*. eLER is identical across scenarios; only revenue structure chang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mono-digestion, 100% grid export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t>M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mult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, </w:t>
            </w:r>
            <m:oMath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cap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Co-digestion: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30% cattle manure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t>M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mult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1.15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Sub-optimal CH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capture (85%)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cap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LPG displacement (on-site use)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$</m:t>
              </m:r>
              <m:r>
                <m:t>0.18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kWh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Digestate N–P–K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credit at</w:t>
            </w:r>
            <w:r>
              <w:t xml:space="preserve"> </w:t>
            </w:r>
            <m:oMath>
              <m:r>
                <m:rPr>
                  <m:sty m:val="p"/>
                </m:rPr>
                <m:t>$</m:t>
              </m:r>
              <m:r>
                <m:t>1.20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kg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Biomethane grid injection (EU premium)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bg</m:t>
                  </m:r>
                </m:sub>
              </m:sSub>
              <m:r>
                <m:rPr>
                  <m:sty m:val="p"/>
                </m:rPr>
                <m:t>=</m:t>
              </m:r>
              <m:r>
                <m:t>5.5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elec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credit (voluntary market)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site-specific ($/tCO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</w:tr>
    </w:tbl>
    <w:bookmarkEnd w:id="40"/>
    <w:p>
      <w:pPr>
        <w:pStyle w:val="BodyText"/>
      </w:pPr>
      <w:r>
        <w:rPr>
          <w:b/>
          <w:bCs/>
        </w:rPr>
        <w:t xml:space="preserve">Scenario S0</w:t>
      </w:r>
      <w:r>
        <w:t xml:space="preserve"> </w:t>
      </w:r>
      <w:r>
        <w:t xml:space="preserve">serves as the economic baseline: biogas is sold</w:t>
      </w:r>
      <w:r>
        <w:t xml:space="preserve"> </w:t>
      </w:r>
      <w:r>
        <w:t xml:space="preserve">at the local grid biogas tariff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bg</m:t>
            </m:r>
          </m:sub>
        </m:sSub>
      </m:oMath>
      <w:r>
        <w:t xml:space="preserve"> </w:t>
      </w:r>
      <w:r>
        <w:t xml:space="preserve">(Table </w:t>
      </w:r>
      <w:hyperlink w:anchor="tab:crop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and all PV electricity is exported to grid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elec</m:t>
            </m:r>
          </m:sub>
        </m:sSub>
      </m:oMath>
      <w:r>
        <w:t xml:space="preserve"> </w:t>
      </w:r>
      <w:r>
        <w:t xml:space="preserve">after deducting the heating fraction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PV,heat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S1</w:t>
      </w:r>
      <w:r>
        <w:t xml:space="preserve"> </w:t>
      </w:r>
      <w:r>
        <w:t xml:space="preserve">models co-digestion with a 30% increase in</w:t>
      </w:r>
      <w:r>
        <w:t xml:space="preserve"> </w:t>
      </w:r>
      <w:r>
        <w:t xml:space="preserve">cattle manure beyond the baseline co-substrate, raising BMP by 15%</w:t>
      </w:r>
      <w:r>
        <w:t xml:space="preserve"> </w:t>
      </w:r>
      <w:r>
        <w:t xml:space="preserve">through improved C:N ratio and microbial</w:t>
      </w:r>
      <w:r>
        <w:t xml:space="preserve"> </w:t>
      </w:r>
      <w:r>
        <w:t xml:space="preserve">diversity </w:t>
      </w:r>
      <w:r>
        <w:t xml:space="preserve">. The additional manure input is</w:t>
      </w:r>
      <w:r>
        <w:t xml:space="preserve"> </w:t>
      </w:r>
      <w:r>
        <w:t xml:space="preserve">assumed available at zero marginal cost from the same farm herd.</w:t>
      </w:r>
    </w:p>
    <w:p>
      <w:pPr>
        <w:pStyle w:val="BodyText"/>
      </w:pPr>
      <w:r>
        <w:rPr>
          <w:b/>
          <w:bCs/>
        </w:rPr>
        <w:t xml:space="preserve">Scenario S2</w:t>
      </w:r>
      <w:r>
        <w:t xml:space="preserve"> </w:t>
      </w:r>
      <w:r>
        <w:t xml:space="preserve">models sub-optimal biogas capture at 85%</w:t>
      </w:r>
      <w:r>
        <w:t xml:space="preserve"> </w:t>
      </w:r>
      <w:r>
        <w:t xml:space="preserve">efficiency, representing a system with gas leakage, flaring, or</w:t>
      </w:r>
      <w:r>
        <w:t xml:space="preserve"> </w:t>
      </w:r>
      <w:r>
        <w:t xml:space="preserve">insufficient gas storage. It provides a lower bound on the biogas</w:t>
      </w:r>
      <w:r>
        <w:t xml:space="preserve"> </w:t>
      </w:r>
      <w:r>
        <w:t xml:space="preserve">revenue stream.</w:t>
      </w:r>
    </w:p>
    <w:p>
      <w:pPr>
        <w:pStyle w:val="BodyText"/>
      </w:pPr>
      <w:r>
        <w:rPr>
          <w:b/>
          <w:bCs/>
        </w:rPr>
        <w:t xml:space="preserve">Scenario S3</w:t>
      </w:r>
      <w:r>
        <w:t xml:space="preserve"> </w:t>
      </w:r>
      <w:r>
        <w:t xml:space="preserve">models on-site LPG displacement, where biogas</w:t>
      </w:r>
      <w:r>
        <w:t xml:space="preserve"> </w:t>
      </w:r>
      <w:r>
        <w:t xml:space="preserve">is used directly for cooking or process heat at a price parity of</w:t>
      </w:r>
      <w:r>
        <w:t xml:space="preserve"> </w:t>
      </w:r>
      <w:r>
        <w:t xml:space="preserve">$0.18 kWh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— the average LPG equivalent price in the four</w:t>
      </w:r>
      <w:r>
        <w:t xml:space="preserve"> </w:t>
      </w:r>
      <w:r>
        <w:t xml:space="preserve">study regions </w:t>
      </w:r>
      <w:r>
        <w:t xml:space="preserve">. This scenario is particularly</w:t>
      </w:r>
      <w:r>
        <w:t xml:space="preserve"> </w:t>
      </w:r>
      <w:r>
        <w:t xml:space="preserve">relevant for Ouagadougou, where LPG import costs are high.</w:t>
      </w:r>
    </w:p>
    <w:p>
      <w:pPr>
        <w:pStyle w:val="BodyText"/>
      </w:pPr>
      <w:r>
        <w:rPr>
          <w:b/>
          <w:bCs/>
        </w:rPr>
        <w:t xml:space="preserve">Scenario S4</w:t>
      </w:r>
      <w:r>
        <w:t xml:space="preserve"> </w:t>
      </w:r>
      <w:r>
        <w:t xml:space="preserve">adds a digestate nitrogen credit of</w:t>
      </w:r>
      <w:r>
        <w:t xml:space="preserve"> </w:t>
      </w:r>
      <w:r>
        <w:t xml:space="preserve">$1.20 kg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 N, reflecting the avoided cost of equivalent</w:t>
      </w:r>
      <w:r>
        <w:t xml:space="preserve"> </w:t>
      </w:r>
      <w:r>
        <w:t xml:space="preserve">synthetic urea fertilizer. Digestate N content is estimated as</w:t>
      </w:r>
      <w:r>
        <w:t xml:space="preserve"> </w:t>
      </w:r>
      <m:oMath>
        <m:r>
          <m:t>0.003</m:t>
        </m:r>
        <m:r>
          <m:t> </m:t>
        </m:r>
        <m:r>
          <m:rPr>
            <m:nor/>
            <m:sty m:val="p"/>
          </m:rPr>
          <m:t>kg</m:t>
        </m:r>
        <m:r>
          <m:t> </m:t>
        </m:r>
        <m:r>
          <m:rPr>
            <m:nor/>
            <m:sty m:val="p"/>
          </m:rPr>
          <m:t>N</m:t>
        </m:r>
        <m:r>
          <m:t> </m:t>
        </m:r>
        <m:sSup>
          <m:e>
            <m:r>
              <m:rPr>
                <m:nor/>
                <m:sty m:val="p"/>
              </m:rPr>
              <m:t>kg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fresh</w:t>
      </w:r>
      <w:r>
        <w:t xml:space="preserve"> </w:t>
      </w:r>
      <w:r>
        <w:t xml:space="preserve">residue 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S5</w:t>
      </w:r>
      <w:r>
        <w:t xml:space="preserve"> </w:t>
      </w:r>
      <w:r>
        <w:t xml:space="preserve">models biomethane grid injection under European</w:t>
      </w:r>
      <w:r>
        <w:t xml:space="preserve"> </w:t>
      </w:r>
      <w:r>
        <w:t xml:space="preserve">EEG 2023 and RED III incentives, where the effective biomethane</w:t>
      </w:r>
      <w:r>
        <w:t xml:space="preserve"> </w:t>
      </w:r>
      <w:r>
        <w:t xml:space="preserve">market price is</w:t>
      </w:r>
      <w:r>
        <w:t xml:space="preserve"> </w:t>
      </w:r>
      <m:oMath>
        <m:r>
          <m:t>5.5</m:t>
        </m:r>
        <m:r>
          <m:rPr>
            <m:sty m:val="p"/>
          </m:rPr>
          <m:t>×</m:t>
        </m:r>
      </m:oMath>
      <w:r>
        <w:t xml:space="preserve"> </w:t>
      </w:r>
      <w:r>
        <w:t xml:space="preserve">the local electricity purchase</w:t>
      </w:r>
      <w:r>
        <w:t xml:space="preserve"> </w:t>
      </w:r>
      <w:r>
        <w:t xml:space="preserve">price </w:t>
      </w:r>
      <w:r>
        <w:t xml:space="preserve">. This scenario is</w:t>
      </w:r>
      <w:r>
        <w:t xml:space="preserve"> </w:t>
      </w:r>
      <w:r>
        <w:t xml:space="preserve">directly applicable to Almería and Freiburg; for Konya and</w:t>
      </w:r>
      <w:r>
        <w:t xml:space="preserve"> </w:t>
      </w:r>
      <w:r>
        <w:t xml:space="preserve">Ouagadougou, which lack biomethane grid injection policy frameworks,</w:t>
      </w:r>
      <w:r>
        <w:t xml:space="preserve"> </w:t>
      </w:r>
      <w:r>
        <w:t xml:space="preserve">S5 represents an aspirational upper bound pending regulatory</w:t>
      </w:r>
      <w:r>
        <w:t xml:space="preserve"> </w:t>
      </w:r>
      <w:r>
        <w:t xml:space="preserve">development.</w:t>
      </w:r>
    </w:p>
    <w:p>
      <w:pPr>
        <w:pStyle w:val="BodyText"/>
      </w:pPr>
      <w:r>
        <w:rPr>
          <w:b/>
          <w:bCs/>
        </w:rPr>
        <w:t xml:space="preserve">Scenario S6</w:t>
      </w:r>
      <w:r>
        <w:t xml:space="preserve"> </w:t>
      </w:r>
      <w:r>
        <w:t xml:space="preserve">adds a carbon credit revenue stream based on</w:t>
      </w:r>
      <w:r>
        <w:t xml:space="preserve"> </w:t>
      </w:r>
      <w:r>
        <w:t xml:space="preserve">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displaced by PV electricity and biogas substituting fossil</w:t>
      </w:r>
      <w:r>
        <w:t xml:space="preserve"> </w:t>
      </w:r>
      <w:r>
        <w:t xml:space="preserve">fuels. Carbon prices are site-specific: EU ETS market rate</w:t>
      </w:r>
      <w:r>
        <w:t xml:space="preserve"> </w:t>
      </w:r>
      <w:r>
        <w:t xml:space="preserve">($65 tCO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 for Almería and Freiburg; voluntary Gold</w:t>
      </w:r>
      <w:r>
        <w:t xml:space="preserve"> </w:t>
      </w:r>
      <w:r>
        <w:t xml:space="preserve">Standard rate ($12 tCO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 for Ouagadougou; and Turkish</w:t>
      </w:r>
      <w:r>
        <w:t xml:space="preserve"> </w:t>
      </w:r>
      <w:r>
        <w:t xml:space="preserve">voluntary carbon market rate ($15 tCO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 for Konya.</w:t>
      </w:r>
      <w:r>
        <w:t xml:space="preserve"> </w:t>
      </w:r>
      <w:r>
        <w:t xml:space="preserve">Annual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 is: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O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avoided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PV,sold</m:t>
              </m:r>
            </m:sub>
          </m:sSub>
          <m:r>
            <m:rPr>
              <m:sty m:val="p"/>
            </m:rPr>
            <m:t>×</m:t>
          </m:r>
          <m:r>
            <m:t>E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grid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biogas</m:t>
                  </m:r>
                </m:sub>
              </m:sSub>
            </m:num>
            <m:den>
              <m:r>
                <m:t>1000</m:t>
              </m:r>
            </m:den>
          </m:f>
          <m:r>
            <m:rPr>
              <m:sty m:val="p"/>
            </m:rPr>
            <m:t>×</m:t>
          </m:r>
          <m:r>
            <m:t>E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gas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E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grid</m:t>
            </m:r>
          </m:sub>
        </m:sSub>
      </m:oMath>
      <w:r>
        <w:t xml:space="preserve"> </w:t>
      </w:r>
      <w:r>
        <w:t xml:space="preserve">is the site-specific grid emission factor</w:t>
      </w:r>
      <w:r>
        <w:t xml:space="preserve"> </w:t>
      </w:r>
      <w:r>
        <w:t xml:space="preserve">(Table </w:t>
      </w:r>
      <w:hyperlink w:anchor="tab:crop">
        <w:r>
          <w:rPr>
            <w:rStyle w:val="Hyperlink"/>
          </w:rPr>
          <w:t xml:space="preserve">2</w:t>
        </w:r>
      </w:hyperlink>
      <w:r>
        <w:t xml:space="preserve">) and</w:t>
      </w:r>
      <w:r>
        <w:t xml:space="preserve"> </w:t>
      </w:r>
      <m:oMath>
        <m:r>
          <m:t>E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gas</m:t>
            </m:r>
          </m:sub>
        </m:sSub>
        <m:r>
          <m:rPr>
            <m:sty m:val="p"/>
          </m:rPr>
          <m:t>=</m:t>
        </m:r>
        <m:r>
          <m:t>0.202</m:t>
        </m:r>
        <m:r>
          <m:t> </m:t>
        </m:r>
        <m:r>
          <m:t>t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 </m:t>
        </m:r>
        <m:r>
          <m:t>M</m:t>
        </m:r>
        <m:r>
          <m:t>W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natural gas emission factor</w:t>
      </w:r>
      <w:r>
        <w:t xml:space="preserve"> </w:t>
      </w:r>
      <w:r>
        <w:t xml:space="preserve">from IPCC AR6 </w:t>
      </w:r>
      <w:r>
        <w:t xml:space="preserve">.</w:t>
      </w:r>
    </w:p>
    <w:bookmarkEnd w:id="41"/>
    <w:bookmarkStart w:id="47" w:name="sec:4e"/>
    <w:p>
      <w:pPr>
        <w:pStyle w:val="Heading2"/>
      </w:pPr>
      <w:r>
        <w:t xml:space="preserve">4E Analysis Framework</w:t>
      </w:r>
    </w:p>
    <w:p>
      <w:pPr>
        <w:pStyle w:val="FirstParagraph"/>
      </w:pPr>
      <w:r>
        <w:t xml:space="preserve">Investment-grade economic evaluation uses a 20-year project</w:t>
      </w:r>
      <w:r>
        <w:t xml:space="preserve"> </w:t>
      </w:r>
      <w:r>
        <w:t xml:space="preserve">life with site-specific discount rates (Table </w:t>
      </w:r>
      <w:hyperlink w:anchor="tab:crop">
        <w:r>
          <w:rPr>
            <w:rStyle w:val="Hyperlink"/>
          </w:rPr>
          <w:t xml:space="preserve">2</w:t>
        </w:r>
      </w:hyperlink>
      <w:r>
        <w:t xml:space="preserve">), annualized</w:t>
      </w:r>
      <w:r>
        <w:t xml:space="preserve"> </w:t>
      </w:r>
      <w:r>
        <w:t xml:space="preserve">CAPEX, and annual O&amp;M fixed at 1.5% of total CAPEX. The 4E framework</w:t>
      </w:r>
      <w:r>
        <w:t xml:space="preserve"> </w:t>
      </w:r>
      <w:r>
        <w:t xml:space="preserve">integrates four performance dimensions into a single comparative</w:t>
      </w:r>
      <w:r>
        <w:t xml:space="preserve"> </w:t>
      </w:r>
      <w:r>
        <w:t xml:space="preserve">assessment across sites and scenarios.</w:t>
      </w:r>
    </w:p>
    <w:bookmarkStart w:id="42" w:name="e1-energetic-analysis"/>
    <w:p>
      <w:pPr>
        <w:pStyle w:val="Heading3"/>
      </w:pPr>
      <w:r>
        <w:t xml:space="preserve">E1 — Energetic Analysis</w:t>
      </w:r>
    </w:p>
    <w:p>
      <w:pPr>
        <w:pStyle w:val="FirstParagraph"/>
      </w:pPr>
      <w:r>
        <w:t xml:space="preserve">The energetic dimension quantifies annual energy flows:</w:t>
      </w:r>
      <w:r>
        <w:t xml:space="preserve"> </w:t>
      </w:r>
      <w:r>
        <w:t xml:space="preserve">PV total generation, PV sold to grid, biogas energy, digester heat</w:t>
      </w:r>
      <w:r>
        <w:t xml:space="preserve"> </w:t>
      </w:r>
      <w:r>
        <w:t xml:space="preserve">demand, and ESR (Equation </w:t>
      </w:r>
      <w:hyperlink w:anchor="eq:esr">
        <w:r>
          <w:rPr>
            <w:rStyle w:val="Hyperlink"/>
          </w:rPr>
          <w:t xml:space="preserve">[eq:esr]</w:t>
        </w:r>
      </w:hyperlink>
      <w:r>
        <w:t xml:space="preserve">). These are reported per</w:t>
      </w:r>
      <w:r>
        <w:t xml:space="preserve"> </w:t>
      </w:r>
      <w:r>
        <w:t xml:space="preserve">hectare of land area for cross-site comparability.</w:t>
      </w:r>
    </w:p>
    <w:bookmarkEnd w:id="42"/>
    <w:bookmarkStart w:id="43" w:name="e2-economic-analysis"/>
    <w:p>
      <w:pPr>
        <w:pStyle w:val="Heading3"/>
      </w:pPr>
      <w:r>
        <w:t xml:space="preserve">E2 — Economic Analysis</w:t>
      </w:r>
    </w:p>
    <w:p>
      <w:pPr>
        <w:pStyle w:val="FirstParagraph"/>
      </w:pPr>
      <w:r>
        <w:t xml:space="preserve">CAPEX is decomposed into four components: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PV array</w:t>
      </w:r>
      <w:r>
        <w:t xml:space="preserve"> </w:t>
      </w:r>
      <w:r>
        <w:t xml:space="preserve">(elevated APV structure):</w:t>
      </w:r>
      <w:r>
        <w:t xml:space="preserve"> </w:t>
      </w:r>
      <w:r>
        <w:t xml:space="preserve">$0.63 W</w:t>
      </w:r>
      <m:oMath>
        <m:sSubSup>
          <m:e>
            <m:r>
              <m:t>​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reflecting the $0.45 W</w:t>
      </w:r>
      <m:oMath>
        <m:sSubSup>
          <m:e>
            <m:r>
              <m:t>​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utility-scale ground-mount benchmark </w:t>
      </w:r>
      <w:r>
        <w:t xml:space="preserve"> </w:t>
      </w:r>
      <w:r>
        <w:t xml:space="preserve">plus a 40% premium for elevated APV mounting structure,</w:t>
      </w:r>
      <w:r>
        <w:t xml:space="preserve"> </w:t>
      </w:r>
      <w:r>
        <w:t xml:space="preserve">cable routing, and installation.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 digester</w:t>
      </w:r>
      <w:r>
        <w:t xml:space="preserve">: $800 m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installed</w:t>
      </w:r>
      <w:r>
        <w:t xml:space="preserve"> </w:t>
      </w:r>
      <w:r>
        <w:t xml:space="preserve">capacity </w:t>
      </w:r>
      <w:r>
        <w:t xml:space="preserve">, covering tank construction,</w:t>
      </w:r>
      <w:r>
        <w:t xml:space="preserve"> </w:t>
      </w:r>
      <w:r>
        <w:t xml:space="preserve">mixing system, gas handling, and instrumentation for</w:t>
      </w:r>
      <w:r>
        <w:t xml:space="preserve"> </w:t>
      </w:r>
      <w:r>
        <w:t xml:space="preserve">small farm-scale CSTR digesters (2–50 m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Agricultural infrastructure</w:t>
      </w:r>
      <w:r>
        <w:t xml:space="preserve">: $2 500 ha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(FAO benchmark), covering drip irrigation installation,</w:t>
      </w:r>
      <w:r>
        <w:t xml:space="preserve"> </w:t>
      </w:r>
      <w:r>
        <w:t xml:space="preserve">soil preparation, and access tracks.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Balance of plant (BOP)</w:t>
      </w:r>
      <w:r>
        <w:t xml:space="preserve">: 15% of (PV + AD) CAPEX,</w:t>
      </w:r>
      <w:r>
        <w:t xml:space="preserve"> </w:t>
      </w:r>
      <w:r>
        <w:t xml:space="preserve">covering inverters, electrical wiring, civil works,</w:t>
      </w:r>
      <w:r>
        <w:t xml:space="preserve"> </w:t>
      </w:r>
      <w:r>
        <w:t xml:space="preserve">and commissioning.</w:t>
      </w:r>
    </w:p>
    <w:p>
      <w:pPr>
        <w:pStyle w:val="FirstParagraph"/>
      </w:pPr>
      <w:r>
        <w:t xml:space="preserve">Annual gross revenue combines all income streams active under the</w:t>
      </w:r>
      <w:r>
        <w:t xml:space="preserve"> </w:t>
      </w:r>
      <w:r>
        <w:t xml:space="preserve">relevant scenario: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gross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tomato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biogas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digestate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carbon</m:t>
              </m:r>
            </m:sub>
          </m:sSub>
        </m:oMath>
      </m:oMathPara>
    </w:p>
    <w:p>
      <w:pPr>
        <w:pStyle w:val="FirstParagraph"/>
      </w:pPr>
      <w:r>
        <w:t xml:space="preserve">Net annual cash flow, Net Present Value, Internal Rate of Return,</w:t>
      </w:r>
      <w:r>
        <w:t xml:space="preserve"> </w:t>
      </w:r>
      <w:r>
        <w:t xml:space="preserve">and simple payback period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net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gross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O&amp;M</m:t>
                  </m:r>
                </m:sub>
              </m:sSub>
            </m:e>
            <m:e>
              <m:r>
                <m:t>N</m:t>
              </m:r>
              <m:r>
                <m:t>P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net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t>I</m:t>
              </m:r>
              <m:r>
                <m:t>R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net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R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num>
                <m:den>
                  <m:r>
                    <m:t>I</m:t>
                  </m:r>
                  <m:r>
                    <m:t>R</m:t>
                  </m:r>
                  <m:r>
                    <m:t>R</m:t>
                  </m:r>
                </m:den>
              </m:f>
            </m:e>
            <m:e>
              <m:r>
                <m:t>P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t>A</m:t>
                  </m:r>
                  <m:r>
                    <m:t>P</m:t>
                  </m:r>
                  <m:r>
                    <m:t>E</m:t>
                  </m:r>
                  <m:r>
                    <m:t>X</m:t>
                  </m:r>
                </m:num>
                <m:den>
                  <m:r>
                    <m:t>C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net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site-specific discount rate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 years.</w:t>
      </w:r>
      <w:r>
        <w:t xml:space="preserve"> </w:t>
      </w:r>
      <w:r>
        <w:t xml:space="preserve">IRR is solved by bisection on the NPV equation.</w:t>
      </w:r>
    </w:p>
    <w:bookmarkEnd w:id="43"/>
    <w:bookmarkStart w:id="44" w:name="e3-energo-economic-analysis"/>
    <w:p>
      <w:pPr>
        <w:pStyle w:val="Heading3"/>
      </w:pPr>
      <w:r>
        <w:t xml:space="preserve">E3 — Energo-Economic Analysis</w:t>
      </w:r>
    </w:p>
    <w:p>
      <w:pPr>
        <w:pStyle w:val="FirstParagraph"/>
      </w:pPr>
      <w:r>
        <w:t xml:space="preserve">The Levelised Cost of Electricity for the PV component</w:t>
      </w:r>
      <w:r>
        <w:t xml:space="preserve"> </w:t>
      </w:r>
      <w:r>
        <w:t xml:space="preserve">isolates the cost of generating one kWh of PV electricity, accounting</w:t>
      </w:r>
      <w:r>
        <w:t xml:space="preserve"> </w:t>
      </w:r>
      <w:r>
        <w:t xml:space="preserve">for both annualized PV CAPEX and the proportional share of O&amp;M: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C</m:t>
          </m:r>
          <m:r>
            <m:t>O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PV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O&amp;M,PV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PV,sold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den>
          </m:f>
        </m:oMath>
      </m:oMathPara>
    </w:p>
    <w:p>
      <w:pPr>
        <w:pStyle w:val="FirstParagraph"/>
      </w:pPr>
      <w:r>
        <w:t xml:space="preserve">The levelised cost of biogas production is computed analogously</w:t>
      </w:r>
      <w:r>
        <w:t xml:space="preserve"> </w:t>
      </w:r>
      <w:r>
        <w:t xml:space="preserve">using</w:t>
      </w:r>
      <w:r>
        <w:t xml:space="preserve"> </w:t>
      </w:r>
      <m:oMath>
        <m:r>
          <m:t>C</m:t>
        </m:r>
        <m:r>
          <m:t>A</m:t>
        </m:r>
        <m:r>
          <m:t>P</m:t>
        </m:r>
        <m:r>
          <m:t>E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AD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r>
        <w:t xml:space="preserve">denominator, providing a cost-of-energy metric comparable to</w:t>
      </w:r>
      <w:r>
        <w:t xml:space="preserve"> </w:t>
      </w:r>
      <w:r>
        <w:t xml:space="preserve">published small-scale AD benchmarks </w:t>
      </w:r>
      <w:r>
        <w:t xml:space="preserve">.</w:t>
      </w:r>
    </w:p>
    <w:bookmarkEnd w:id="44"/>
    <w:bookmarkStart w:id="46" w:name="e4-environmental-analysis"/>
    <w:p>
      <w:pPr>
        <w:pStyle w:val="Heading3"/>
      </w:pPr>
      <w:r>
        <w:t xml:space="preserve">E4 — Environmental Analysis</w:t>
      </w:r>
    </w:p>
    <w:p>
      <w:pPr>
        <w:pStyle w:val="FirstParagraph"/>
      </w:pPr>
      <w:r>
        <w:t xml:space="preserve">The environmental dimension quantifies annual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 (Equation </w:t>
      </w:r>
      <w:hyperlink w:anchor="eq:co2">
        <w:r>
          <w:rPr>
            <w:rStyle w:val="Hyperlink"/>
          </w:rPr>
          <w:t xml:space="preserve">[eq:co2]</w:t>
        </w:r>
      </w:hyperlink>
      <w:r>
        <w:t xml:space="preserve">) and its monetary value under</w:t>
      </w:r>
      <w:r>
        <w:t xml:space="preserve"> </w:t>
      </w:r>
      <w:r>
        <w:t xml:space="preserve">site-specific carbon pricing (Table </w:t>
      </w:r>
      <w:hyperlink w:anchor="tab:crop">
        <w:r>
          <w:rPr>
            <w:rStyle w:val="Hyperlink"/>
          </w:rPr>
          <w:t xml:space="preserve">2</w:t>
        </w:r>
      </w:hyperlink>
      <w:r>
        <w:t xml:space="preserve">). Two</w:t>
      </w:r>
      <w:r>
        <w:t xml:space="preserve"> </w:t>
      </w:r>
      <w:r>
        <w:t xml:space="preserve">displacement pathways are distinguished: grid electricity displaced</w:t>
      </w:r>
      <w:r>
        <w:t xml:space="preserve"> </w:t>
      </w:r>
      <w:r>
        <w:t xml:space="preserve">by PV generation (valued at the grid emission factor</w:t>
      </w:r>
      <w:r>
        <w:t xml:space="preserve"> </w:t>
      </w:r>
      <m:oMath>
        <m:r>
          <m:t>E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grid</m:t>
            </m:r>
          </m:sub>
        </m:sSub>
      </m:oMath>
      <w:r>
        <w:t xml:space="preserve">) and natural gas displaced by biogas (valued</w:t>
      </w:r>
      <w:r>
        <w:t xml:space="preserve"> </w:t>
      </w:r>
      <w:r>
        <w:t xml:space="preserve">at the IPCC AR6 natural gas factor</w:t>
      </w:r>
      <w:r>
        <w:t xml:space="preserve"> </w:t>
      </w:r>
      <m:oMath>
        <m:r>
          <m:t>E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gas</m:t>
            </m:r>
          </m:sub>
        </m:sSub>
        <m:r>
          <m:rPr>
            <m:sty m:val="p"/>
          </m:rPr>
          <m:t>=</m:t>
        </m:r>
        <m:r>
          <m:t>0.202</m:t>
        </m:r>
        <m:r>
          <m:t> </m:t>
        </m:r>
        <m:r>
          <m:t>t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 </m:t>
        </m:r>
        <m:r>
          <m:t>M</m:t>
        </m:r>
        <m:r>
          <m:t>W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 </w:t>
      </w:r>
      <w:r>
        <w:t xml:space="preserve">).</w:t>
      </w:r>
      <w:r>
        <w:t xml:space="preserve"> </w:t>
      </w:r>
      <w:r>
        <w:t xml:space="preserve">The carbon credit value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carbon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avoided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enters the revenue calculation of Scenario S6</w:t>
      </w:r>
      <w:r>
        <w:t xml:space="preserve"> </w:t>
      </w:r>
      <w:r>
        <w:t xml:space="preserve">(Equation </w:t>
      </w:r>
      <w:hyperlink w:anchor="eq:revenue">
        <w:r>
          <w:rPr>
            <w:rStyle w:val="Hyperlink"/>
          </w:rPr>
          <w:t xml:space="preserve">[eq:revenue]</w:t>
        </w:r>
      </w:hyperlink>
      <w:r>
        <w:t xml:space="preserve">). Table </w:t>
      </w:r>
      <w:hyperlink w:anchor="tab:4eparam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summarises</w:t>
      </w:r>
      <w:r>
        <w:t xml:space="preserve"> </w:t>
      </w:r>
      <w:r>
        <w:t xml:space="preserve">all fixed 4E analysis parameters.</w:t>
      </w:r>
    </w:p>
    <w:bookmarkStart w:id="45" w:name="tab:4eparams"/>
    <w:p>
      <w:pPr>
        <w:pStyle w:val="TableCaption"/>
      </w:pPr>
      <w:r>
        <w:t xml:space="preserve">Fixed parameters for the 4E economic and environmental</w:t>
      </w:r>
      <w:r>
        <w:t xml:space="preserve"> </w:t>
      </w:r>
      <w:r>
        <w:t xml:space="preserve">analysis.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parameters for the 4E economic and environmental analysi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lifetime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 rate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O&amp;M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1.5% CAPEX yr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CAPEX (APV)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PV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$0.63 W</w:t>
            </w:r>
            <m:oMath>
              <m:sSubSup>
                <m:e>
                  <m:r>
                    <m:t>​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CAPEX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$800 m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Agricultural CAPEX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agri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$2 500 ha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BOP fraction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BOP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15% of (PV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gas EF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gas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0.202 tCO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 MWh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Digestate 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kg N kg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credit price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$1.20 kg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equivalent price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LPG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$0.18 kWh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Biomethane premium (S5)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5.5</m:t>
              </m:r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elec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</w:p>
        </w:tc>
      </w:tr>
    </w:tbl>
    <w:bookmarkEnd w:id="45"/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2026-08-06T11:51:57Z</dcterms:created>
  <dcterms:modified xsi:type="dcterms:W3CDTF">2026-08-06T11:51:57Z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