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9.png" ContentType="image/png"/>
  <Override PartName="/word/media/rId47.png" ContentType="image/png"/>
  <Override PartName="/word/media/rId5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sec:results"/>
    <w:p>
      <w:pPr>
        <w:pStyle w:val="Heading1"/>
      </w:pPr>
      <w:r>
        <w:t xml:space="preserve">Results</w:t>
      </w:r>
    </w:p>
    <w:bookmarkStart w:id="14" w:name="sec:results_optimal"/>
    <w:p>
      <w:pPr>
        <w:pStyle w:val="Heading2"/>
      </w:pPr>
      <w:r>
        <w:t xml:space="preserve">Optimization Convergence and Optimal Design Parameters</w:t>
      </w:r>
    </w:p>
    <w:p>
      <w:pPr>
        <w:pStyle w:val="FirstParagraph"/>
      </w:pPr>
      <w:r>
        <w:t xml:space="preserve">The Differential Evolution optimizer converged to feasible</w:t>
      </w:r>
      <w:r>
        <w:t xml:space="preserve"> </w:t>
      </w:r>
      <w:r>
        <w:t xml:space="preserve">solutions within 50 generations at all four sites. Runtime ranged from</w:t>
      </w:r>
      <w:r>
        <w:t xml:space="preserve"> </w:t>
      </w:r>
      <w:r>
        <w:t xml:space="preserve">102 s (Konya) to 172 s (Ouagadougou) on a standard desktop CPU,</w:t>
      </w:r>
      <w:r>
        <w:t xml:space="preserve"> </w:t>
      </w:r>
      <w:r>
        <w:t xml:space="preserve">reflecting differences in feasibility constraint violation frequency</w:t>
      </w:r>
      <w:r>
        <w:t xml:space="preserve"> </w:t>
      </w:r>
      <w:r>
        <w:t xml:space="preserve">across the population during early generations. The convergence curves</w:t>
      </w:r>
      <w:r>
        <w:t xml:space="preserve"> </w:t>
      </w:r>
      <w:r>
        <w:t xml:space="preserve">(Figure </w:t>
      </w:r>
      <w:hyperlink w:anchor="fig:convergence">
        <w:r>
          <w:rPr>
            <w:rStyle w:val="Hyperlink"/>
          </w:rPr>
          <w:t xml:space="preserve">1</w:t>
        </w:r>
      </w:hyperlink>
      <w:r>
        <w:t xml:space="preserve">) show rapid improvement in the first</w:t>
      </w:r>
      <w:r>
        <w:t xml:space="preserve"> </w:t>
      </w:r>
      <w:r>
        <w:t xml:space="preserve">10–15 generations followed by progressive refinement, with no evidence</w:t>
      </w:r>
      <w:r>
        <w:t xml:space="preserve"> </w:t>
      </w:r>
      <w:r>
        <w:t xml:space="preserve">of premature convergence or stagnation.</w:t>
      </w:r>
    </w:p>
    <w:bookmarkStart w:id="12" w:name="fig:convergence"/>
    <w:p>
      <w:pPr>
        <w:pStyle w:val="CaptionedFigure"/>
      </w:pPr>
      <w:r>
        <w:drawing>
          <wp:inline>
            <wp:extent cx="5334000" cy="317088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fig_convergenc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0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 convergence curves for all four sites: best eLER (Definition A)</w:t>
      </w:r>
      <w:r>
        <w:t xml:space="preserve"> </w:t>
      </w:r>
      <w:r>
        <w:t xml:space="preserve">as a function of generation number. The red dashed line indicates the</w:t>
      </w:r>
      <w:r>
        <w:t xml:space="preserve"> </w:t>
      </w:r>
      <w:r>
        <w:t xml:space="preserve">published two-component LER benchmark of 1.94 </w:t>
      </w:r>
      <w:r>
        <w:t xml:space="preserve">. All</w:t>
      </w:r>
      <w:r>
        <w:t xml:space="preserve"> </w:t>
      </w:r>
      <w:r>
        <w:t xml:space="preserve">sites exceed this benchmark when the biogas term is included.</w:t>
      </w:r>
    </w:p>
    <w:bookmarkEnd w:id="12"/>
    <w:p>
      <w:pPr>
        <w:pStyle w:val="BodyText"/>
      </w:pPr>
      <w:r>
        <w:t xml:space="preserve">Table </w:t>
      </w:r>
      <w:hyperlink w:anchor="tab:optimal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the optimal design variables and</w:t>
      </w:r>
      <w:r>
        <w:t xml:space="preserve"> </w:t>
      </w:r>
      <w:r>
        <w:t xml:space="preserve">primary performance metrics for all four sites after L-BFGS-B polishing.</w:t>
      </w:r>
    </w:p>
    <w:bookmarkStart w:id="13" w:name="tab:optimal"/>
    <w:p>
      <w:pPr>
        <w:pStyle w:val="TableCaption"/>
      </w:pPr>
      <w:r>
        <w:t xml:space="preserve">Optimal design parameters and primary performance metrics</w:t>
      </w:r>
      <w:r>
        <w:t xml:space="preserve"> </w:t>
      </w:r>
      <w:r>
        <w:t xml:space="preserve">for all four sites (Scenario S0, baseline). All values correspond</w:t>
      </w:r>
      <w:r>
        <w:t xml:space="preserve"> </w:t>
      </w:r>
      <w:r>
        <w:t xml:space="preserve">to the L-BFGS-B-polished DE solution.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timal design parameters and primary performance metrics for all four sites (Scenario S0, baseline). All values correspond to the L-BFGS-B-polished DE solut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Konya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Almería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Ouagadougou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Freiburg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Tilt angle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spacing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row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height</w:t>
            </w:r>
            <w:r>
              <w:t xml:space="preserve"> </w:t>
            </w:r>
            <m:oMath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Digester volume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dig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(m³)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HRT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(days)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PV,heat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GCR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OLR (kg VS m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 d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1.58</w:t>
            </w:r>
          </w:p>
        </w:tc>
      </w:tr>
    </w:tbl>
    <w:bookmarkEnd w:id="13"/>
    <w:p>
      <w:pPr>
        <w:pStyle w:val="BodyText"/>
      </w:pPr>
      <w:r>
        <w:t xml:space="preserve">Three structural findings emerge from Table </w:t>
      </w:r>
      <w:hyperlink w:anchor="tab:optimal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Finding 1 — Boundary convergence on row spacing and module</w:t>
      </w:r>
      <w:r>
        <w:rPr>
          <w:b/>
          <w:bCs/>
        </w:rPr>
        <w:t xml:space="preserve"> </w:t>
      </w:r>
      <w:r>
        <w:rPr>
          <w:b/>
          <w:bCs/>
        </w:rPr>
        <w:t xml:space="preserve">height.</w:t>
      </w:r>
      <w:r>
        <w:t xml:space="preserve"> </w:t>
      </w:r>
      <w:r>
        <w:t xml:space="preserve">The optimizer converges to</w:t>
      </w:r>
      <w:r>
        <w:t xml:space="preserve"> </w:t>
      </w:r>
      <m:oMath>
        <m:sSubSup>
          <m:e>
            <m:r>
              <m:t>d</m:t>
            </m:r>
          </m:e>
          <m:sub>
            <m:r>
              <m:rPr>
                <m:nor/>
                <m:sty m:val="p"/>
              </m:rPr>
              <m:t>row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3.03</m:t>
        </m:r>
        <m:r>
          <m:t> </m:t>
        </m:r>
        <m:r>
          <m:t>m</m:t>
        </m:r>
      </m:oMath>
      <w:r>
        <w:t xml:space="preserve"> </w:t>
      </w:r>
      <w:r>
        <w:t xml:space="preserve">at all four sites — the minimum value permitted by the inter-row</w:t>
      </w:r>
      <w:r>
        <w:t xml:space="preserve"> </w:t>
      </w:r>
      <w:r>
        <w:t xml:space="preserve">clearance constraint (Equation </w:t>
      </w:r>
      <w:hyperlink w:anchor="eq:overlap">
        <w:r>
          <w:rPr>
            <w:rStyle w:val="Hyperlink"/>
          </w:rPr>
          <w:t xml:space="preserve">[eq:overlap]</w:t>
        </w:r>
      </w:hyperlink>
      <w:r>
        <w:t xml:space="preserve">) at the optimal tilt</w:t>
      </w:r>
      <w:r>
        <w:t xml:space="preserve"> </w:t>
      </w:r>
      <w:r>
        <w:t xml:space="preserve">angles of 16–23°. Similarly,</w:t>
      </w:r>
      <w:r>
        <w:t xml:space="preserve"> </w:t>
      </w:r>
      <m:oMath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≈</m:t>
        </m:r>
        <m:r>
          <m:t>1.50</m:t>
        </m:r>
        <m:r>
          <m:t> </m:t>
        </m:r>
        <m:r>
          <m:t>m</m:t>
        </m:r>
      </m:oMath>
      <w:r>
        <w:t xml:space="preserve"> </w:t>
      </w:r>
      <w:r>
        <w:t xml:space="preserve">at all sites,</w:t>
      </w:r>
      <w:r>
        <w:t xml:space="preserve"> </w:t>
      </w:r>
      <w:r>
        <w:t xml:space="preserve">the specified lower bound. This boundary convergence indicates that</w:t>
      </w:r>
      <w:r>
        <w:t xml:space="preserve"> </w:t>
      </w:r>
      <w:r>
        <w:t xml:space="preserve">the eLER landscape has its global maximum at the physical constraint</w:t>
      </w:r>
      <w:r>
        <w:t xml:space="preserve"> </w:t>
      </w:r>
      <w:r>
        <w:t xml:space="preserve">boundary: increasing panel density simultaneously raises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PV,sold</m:t>
            </m:r>
          </m:sub>
        </m:sSub>
      </m:oMath>
      <w:r>
        <w:t xml:space="preserve"> </w:t>
      </w:r>
      <w:r>
        <w:t xml:space="preserve">(more modules per hectare) and increases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shad</m:t>
            </m:r>
          </m:sub>
        </m:sSub>
      </m:oMath>
      <w:r>
        <w:t xml:space="preserve"> </w:t>
      </w:r>
      <w:r>
        <w:t xml:space="preserve">(reducing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open</m:t>
            </m:r>
          </m:sub>
        </m:sSub>
      </m:oMath>
      <w:r>
        <w:t xml:space="preserve"> </w:t>
      </w:r>
      <w:r>
        <w:t xml:space="preserve">denominator in</w:t>
      </w:r>
      <w:r>
        <w:t xml:space="preserve"> </w:t>
      </w:r>
      <w:r>
        <w:t xml:space="preserve">Equation </w:t>
      </w:r>
      <w:hyperlink w:anchor="eq:lercrop">
        <w:r>
          <w:rPr>
            <w:rStyle w:val="Hyperlink"/>
          </w:rPr>
          <w:t xml:space="preserve">[eq:lercrop]</w:t>
        </w:r>
      </w:hyperlink>
      <w:r>
        <w:t xml:space="preserve">), both of which improve eLER. The</w:t>
      </w:r>
      <w:r>
        <w:t xml:space="preserve"> </w:t>
      </w:r>
      <w:r>
        <w:t xml:space="preserve">L-BFGS-B polishing step confirms that no interior local maximum</w:t>
      </w:r>
      <w:r>
        <w:t xml:space="preserve"> </w:t>
      </w:r>
      <w:r>
        <w:t xml:space="preserve">exists in the neighbourhood of the boundary solution. The eLER</w:t>
      </w:r>
      <w:r>
        <w:t xml:space="preserve"> </w:t>
      </w:r>
      <w:r>
        <w:t xml:space="preserve">penalty associated with any mechanical access corridor beyond the</w:t>
      </w:r>
      <w:r>
        <w:t xml:space="preserve"> </w:t>
      </w:r>
      <w:r>
        <w:t xml:space="preserve">minimum physical clearance is discussed in</w:t>
      </w:r>
      <w:r>
        <w:t xml:space="preserve"> </w:t>
      </w:r>
      <w:r>
        <w:t xml:space="preserve">Section </w:t>
      </w:r>
      <w:hyperlink w:anchor="sec:discussion">
        <w:r>
          <w:rPr>
            <w:rStyle w:val="Hyperlink"/>
          </w:rPr>
          <w:t xml:space="preserve">[sec:discussion]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Finding 2 — Climate-specific tilt angles.</w:t>
      </w:r>
      <w:r>
        <w:t xml:space="preserve"> </w:t>
      </w:r>
      <w:r>
        <w:t xml:space="preserve">Unlike row</w:t>
      </w:r>
      <w:r>
        <w:t xml:space="preserve"> </w:t>
      </w:r>
      <w:r>
        <w:t xml:space="preserve">spacing and module height, the optimal tilt angle varies meaningfully</w:t>
      </w:r>
      <w:r>
        <w:t xml:space="preserve"> </w:t>
      </w:r>
      <w:r>
        <w:t xml:space="preserve">across sites: from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16.4</m:t>
        </m:r>
      </m:oMath>
      <w:r>
        <w:t xml:space="preserve">° at Ouagadougou (12.37°N, low</w:t>
      </w:r>
      <w:r>
        <w:t xml:space="preserve"> </w:t>
      </w:r>
      <w:r>
        <w:t xml:space="preserve">latitude) to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23.1</m:t>
        </m:r>
      </m:oMath>
      <w:r>
        <w:t xml:space="preserve">° at Freiburg (47.99°N, high latitude).</w:t>
      </w:r>
      <w:r>
        <w:t xml:space="preserve"> </w:t>
      </w:r>
      <w:r>
        <w:t xml:space="preserve">This variation reflects the trade-off between maximising annual PV</w:t>
      </w:r>
      <w:r>
        <w:t xml:space="preserve"> </w:t>
      </w:r>
      <w:r>
        <w:t xml:space="preserve">yield (which favours a tilt closer to the site latitude) and</w:t>
      </w:r>
      <w:r>
        <w:t xml:space="preserve"> </w:t>
      </w:r>
      <w:r>
        <w:t xml:space="preserve">minimising the inter-row shading shadow length (which favours a</w:t>
      </w:r>
      <w:r>
        <w:t xml:space="preserve"> </w:t>
      </w:r>
      <w:r>
        <w:t xml:space="preserve">lower tilt at a given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row</m:t>
            </m:r>
          </m:sub>
        </m:sSub>
      </m:oMath>
      <w:r>
        <w:t xml:space="preserve">). The optimal tilt is</w:t>
      </w:r>
      <w:r>
        <w:t xml:space="preserve"> </w:t>
      </w:r>
      <w:r>
        <w:t xml:space="preserve">approximately 0.4–0.5 times the site latitude, consistent with</w:t>
      </w:r>
      <w:r>
        <w:t xml:space="preserve"> </w:t>
      </w:r>
      <w:r>
        <w:t xml:space="preserve">the latitude rule-of-thumb for fixed-tilt systems but modified</w:t>
      </w:r>
      <w:r>
        <w:t xml:space="preserve"> </w:t>
      </w:r>
      <w:r>
        <w:t xml:space="preserve">downward by the shading penalty.</w:t>
      </w:r>
    </w:p>
    <w:p>
      <w:pPr>
        <w:pStyle w:val="BodyText"/>
      </w:pPr>
      <w:r>
        <w:rPr>
          <w:b/>
          <w:bCs/>
        </w:rPr>
        <w:t xml:space="preserve">Finding 3 — Small digester volumes, weakly determined by</w:t>
      </w:r>
      <w:r>
        <w:rPr>
          <w:b/>
          <w:bCs/>
        </w:rPr>
        <w:t xml:space="preserve"> </w:t>
      </w:r>
      <w:r>
        <w:rPr>
          <w:b/>
          <w:bCs/>
        </w:rPr>
        <w:t xml:space="preserve">the objective.</w:t>
      </w:r>
      <w:r>
        <w:t xml:space="preserve"> </w:t>
      </w:r>
      <w:r>
        <w:t xml:space="preserve">Optimal digester volumes of 2.64–4.32 m³</w:t>
      </w:r>
      <w:r>
        <w:t xml:space="preserve"> </w:t>
      </w:r>
      <w:r>
        <w:t xml:space="preserve">reflect the modest VS input from 1 ha of tomato cultivation combined</w:t>
      </w:r>
      <w:r>
        <w:t xml:space="preserve"> </w:t>
      </w:r>
      <w:r>
        <w:t xml:space="preserve">with cattle manure co-substrate</w:t>
      </w:r>
      <w:r>
        <w:t xml:space="preserve"> </w:t>
      </w:r>
      <w:r>
        <w:t xml:space="preserve">(VS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 </w:t>
      </w:r>
      <w:r>
        <w:t xml:space="preserve">= 2 061–2 575 kg ha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</w:t>
      </w:r>
      <w:r>
        <w:t xml:space="preserve"> </w:t>
      </w:r>
      <w:r>
        <w:t xml:space="preserve">OLR values of 1.57–2.67 kg VS m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 d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within</w:t>
      </w:r>
      <w:r>
        <w:t xml:space="preserve"> </w:t>
      </w:r>
      <w:r>
        <w:t xml:space="preserve">the stable mesophilic operating range</w:t>
      </w:r>
      <w:r>
        <w:t xml:space="preserve"> </w:t>
      </w:r>
      <m:oMath>
        <m:r>
          <m:rPr>
            <m:sty m:val="p"/>
          </m:rPr>
          <m:t>[</m:t>
        </m:r>
        <m:r>
          <m:t>1.5</m:t>
        </m:r>
        <m:r>
          <m:rPr>
            <m:sty m:val="p"/>
          </m:rPr>
          <m:t>,</m:t>
        </m:r>
        <m:r>
          <m:t> </m:t>
        </m:r>
        <m:r>
          <m:t>5.0</m:t>
        </m:r>
        <m:r>
          <m:rPr>
            <m:sty m:val="p"/>
          </m:rPr>
          <m:t>]</m:t>
        </m:r>
      </m:oMath>
      <w:r>
        <w:t xml:space="preserve"> </w:t>
      </w:r>
      <w:r>
        <w:t xml:space="preserve">at all sites,</w:t>
      </w:r>
      <w:r>
        <w:t xml:space="preserve"> </w:t>
      </w:r>
      <w:r>
        <w:t xml:space="preserve">confirming feasibility. Because eLER is only weakly sensitive to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dig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R</m:t>
        </m:r>
        <m:r>
          <m:t>T</m:t>
        </m:r>
      </m:oMath>
      <w:r>
        <w:t xml:space="preserve"> </w:t>
      </w:r>
      <w:r>
        <w:t xml:space="preserve">once the OLR constraint is satisfied</w:t>
      </w:r>
      <w:r>
        <w:t xml:space="preserve"> </w:t>
      </w:r>
      <w:r>
        <w:t xml:space="preserve">(Section </w:t>
      </w:r>
      <w:hyperlink w:anchor="sec:discussion">
        <w:r>
          <w:rPr>
            <w:rStyle w:val="Hyperlink"/>
          </w:rPr>
          <w:t xml:space="preserve">[sec:discussion]</w:t>
        </w:r>
      </w:hyperlink>
      <w:r>
        <w:t xml:space="preserve">), these two variables are less tightly</w:t>
      </w:r>
      <w:r>
        <w:t xml:space="preserve"> </w:t>
      </w:r>
      <w:r>
        <w:t xml:space="preserve">determined by the optimizer than the geometric variables, and their</w:t>
      </w:r>
      <w:r>
        <w:t xml:space="preserve"> </w:t>
      </w:r>
      <w:r>
        <w:t xml:space="preserve">optimal values are more sensitive to small changes elsewhere in the</w:t>
      </w:r>
      <w:r>
        <w:t xml:space="preserve"> </w:t>
      </w:r>
      <w:r>
        <w:t xml:space="preserve">model. The minimum heating fraction</w:t>
      </w:r>
      <w:r>
        <w:t xml:space="preserve"> </w:t>
      </w:r>
      <m:oMath>
        <m:sSubSup>
          <m:e>
            <m:r>
              <m:t>f</m:t>
            </m:r>
          </m:e>
          <m:sub>
            <m:r>
              <m:rPr>
                <m:nor/>
                <m:sty m:val="p"/>
              </m:rPr>
              <m:t>PV,heat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at all sites confirms that</w:t>
      </w:r>
      <w:r>
        <w:t xml:space="preserve"> </w:t>
      </w:r>
      <w:r>
        <w:t xml:space="preserve">the PV array provides far more energy than the digester requires:</w:t>
      </w:r>
      <w:r>
        <w:t xml:space="preserve"> </w:t>
      </w:r>
      <w:r>
        <w:t xml:space="preserve">5% of annual PV output is more than sufficient to cover all</w:t>
      </w:r>
      <w:r>
        <w:t xml:space="preserve"> </w:t>
      </w:r>
      <w:r>
        <w:t xml:space="preserve">thermal demand.</w:t>
      </w:r>
    </w:p>
    <w:bookmarkEnd w:id="14"/>
    <w:bookmarkStart w:id="20" w:name="sec:results_eler"/>
    <w:p>
      <w:pPr>
        <w:pStyle w:val="Heading2"/>
      </w:pPr>
      <w:r>
        <w:t xml:space="preserve">Extended Land Equivalent Ratio Decomposition</w:t>
      </w:r>
    </w:p>
    <w:p>
      <w:pPr>
        <w:pStyle w:val="FirstParagraph"/>
      </w:pPr>
      <w:r>
        <w:t xml:space="preserve">Table </w:t>
      </w:r>
      <w:hyperlink w:anchor="tab:eLER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presents the complete eLER decomposition</w:t>
      </w:r>
      <w:r>
        <w:t xml:space="preserve"> </w:t>
      </w:r>
      <w:r>
        <w:t xml:space="preserve">for all four sites under Scenario S0 (baseline). Figure </w:t>
      </w:r>
      <w:hyperlink w:anchor="fig:eler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displays the same results as a stacked bar chart, enabling direct visual</w:t>
      </w:r>
      <w:r>
        <w:t xml:space="preserve"> </w:t>
      </w:r>
      <w:r>
        <w:t xml:space="preserve">comparison of the three components across sites and reference definitions.</w:t>
      </w:r>
    </w:p>
    <w:bookmarkStart w:id="15" w:name="tab:eLER"/>
    <w:p>
      <w:pPr>
        <w:pStyle w:val="TableCaption"/>
      </w:pPr>
      <w:r>
        <w:t xml:space="preserve">eLER decomposition for all four sites (Scenario S0, baseline).</w:t>
      </w:r>
      <w:r>
        <w:t xml:space="preserve"> </w:t>
      </w:r>
      <w:r>
        <w:t xml:space="preserve">Definition A uses an independent dense-pack PV reference;</w:t>
      </w:r>
      <w:r>
        <w:t xml:space="preserve"> </w:t>
      </w:r>
      <w:r>
        <w:t xml:space="preserve">Definition B uses GCR as the PV reference (circular).</w:t>
      </w:r>
      <w:r>
        <w:t xml:space="preserve"> </w:t>
      </w:r>
      <w:r>
        <w:t xml:space="preserve">Literature benchmark: maximum two-component LER of 1.94</w:t>
      </w:r>
      <w:r>
        <w:t xml:space="preserve"> </w:t>
      </w:r>
      <w:r>
        <w:t xml:space="preserve">from</w:t>
      </w:r>
      <w:r>
        <w:t xml:space="preserve"> 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LER decomposition for all four sites (Scenario S0, baseline). Definition A uses an independent dense-pack PV reference; Definition B uses GCR as the PV reference (circular). Literature benchmark: maximum two-component LER of 1.94 from 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Konya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Almería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Ouagadougou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Freiburg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crop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PV</m:t>
                  </m:r>
                </m:sub>
              </m:sSub>
            </m:oMath>
            <w:r>
              <w:t xml:space="preserve"> </w:t>
            </w:r>
            <w:r>
              <w:t xml:space="preserve">(Def. 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PV</m:t>
                  </m:r>
                </m:sub>
              </m:sSub>
            </m:oMath>
            <w:r>
              <w:t xml:space="preserve"> </w:t>
            </w:r>
            <w:r>
              <w:t xml:space="preserve">(Def. B = GCR)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biogas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eLER (Def. 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1.641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1.657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eLER (Def. 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2C</m:t>
                  </m:r>
                </m:sub>
              </m:sSub>
            </m:oMath>
            <w:r>
              <w:t xml:space="preserve"> </w:t>
            </w:r>
            <w:r>
              <w:t xml:space="preserve">(Def. 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Lit. benchmark</w:t>
            </w:r>
            <w:r>
              <w:t xml:space="preserve"> </w:t>
            </w:r>
            <m:oMath>
              <m:r>
                <m:t>L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2C</m:t>
                  </m:r>
                </m:sub>
              </m:sSub>
            </m:oMath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1.94 </w:t>
            </w:r>
          </w:p>
        </w:tc>
      </w:tr>
    </w:tbl>
    <w:bookmarkEnd w:id="15"/>
    <w:bookmarkStart w:id="19" w:name="fig:eler"/>
    <w:p>
      <w:pPr>
        <w:pStyle w:val="CaptionedFigure"/>
      </w:pPr>
      <w:r>
        <w:drawing>
          <wp:inline>
            <wp:extent cx="5334000" cy="226663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figures/fig03_eLER_stacke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eLER decomposition stacked bar chart for all four sites.</w:t>
      </w:r>
      <w:r>
        <w:t xml:space="preserve"> </w:t>
      </w:r>
      <w:r>
        <w:t xml:space="preserve">Left panel: Definition A (independent PV reference); right panel:</w:t>
      </w:r>
      <w:r>
        <w:t xml:space="preserve"> </w:t>
      </w:r>
      <w:r>
        <w:t xml:space="preserve">Definition B (GCR-based, circular). Blue: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;</w:t>
      </w:r>
      <w:r>
        <w:t xml:space="preserve"> </w:t>
      </w:r>
      <w:r>
        <w:t xml:space="preserve">orange: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; green: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. Red dashed</w:t>
      </w:r>
      <w:r>
        <w:t xml:space="preserve"> </w:t>
      </w:r>
      <w:r>
        <w:t xml:space="preserve">line: published two-component maximum LER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2C</m:t>
            </m:r>
          </m:sub>
        </m:sSub>
      </m:oMath>
      <w:r>
        <w:t xml:space="preserve"> </w:t>
      </w:r>
      <w:r>
        <w:t xml:space="preserve">= 1.94</w:t>
      </w:r>
      <w:r>
        <w:t xml:space="preserve"> </w:t>
      </w:r>
      <w:r>
        <w:t xml:space="preserve">. Annotated values are eLER totals (Definition A).</w:t>
      </w:r>
    </w:p>
    <w:bookmarkEnd w:id="19"/>
    <w:p>
      <w:pPr>
        <w:pStyle w:val="BodyText"/>
      </w:pPr>
      <w:r>
        <w:t xml:space="preserve">Three findings emerge from the eLER decomposition.</w:t>
      </w:r>
    </w:p>
    <w:p>
      <w:pPr>
        <w:pStyle w:val="BodyText"/>
      </w:pPr>
      <w:r>
        <w:rPr>
          <w:b/>
          <w:bCs/>
        </w:rPr>
        <w:t xml:space="preserve">Finding 1 —</w:t>
      </w:r>
      <w:r>
        <w:rPr>
          <w:b/>
          <w:bCs/>
        </w:rP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2C</m:t>
            </m:r>
          </m:sub>
        </m:sSub>
        <m:r>
          <m:rPr>
            <m:sty m:val="p"/>
          </m:rPr>
          <m:t>&gt;</m:t>
        </m:r>
        <m:r>
          <m:t>1.0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all sites.</w:t>
      </w:r>
      <w:r>
        <w:t xml:space="preserve"> </w:t>
      </w:r>
      <w:r>
        <w:t xml:space="preserve">The two-component agrivoltaic LER (crop + PV, without biogas) ranges</w:t>
      </w:r>
      <w:r>
        <w:t xml:space="preserve"> </w:t>
      </w:r>
      <w:r>
        <w:t xml:space="preserve">from 1.030 (Konya) to 1.088 (Ouagadougou), confirming that the</w:t>
      </w:r>
      <w:r>
        <w:t xml:space="preserve"> </w:t>
      </w:r>
      <w:r>
        <w:t xml:space="preserve">APV system outperforms two separate monocultures at every site even</w:t>
      </w:r>
      <w:r>
        <w:t xml:space="preserve"> </w:t>
      </w:r>
      <w:r>
        <w:t xml:space="preserve">without the AD contribution. This result improves on the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2C</m:t>
            </m:r>
          </m:sub>
        </m:sSub>
      </m:oMath>
      <w:r>
        <w:t xml:space="preserve"> </w:t>
      </w:r>
      <w:r>
        <w:t xml:space="preserve">reported in earlier versions of the model and reflects the boundary</w:t>
      </w:r>
      <w:r>
        <w:t xml:space="preserve"> </w:t>
      </w:r>
      <w:r>
        <w:t xml:space="preserve">convergence to high GCR (69–72%), which substantially increases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 </w:t>
      </w:r>
      <w:r>
        <w:t xml:space="preserve">relative to lower-density designs. However,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2C</m:t>
            </m:r>
          </m:sub>
        </m:sSub>
      </m:oMath>
      <w:r>
        <w:t xml:space="preserve"> </w:t>
      </w:r>
      <w:r>
        <w:t xml:space="preserve">remains well below the published benchmark of 1.94</w:t>
      </w:r>
      <w:r>
        <w:t xml:space="preserve"> </w:t>
      </w:r>
      <w:r>
        <w:t xml:space="preserve">at all sites, confirming that the biogas term is the primary driver of</w:t>
      </w:r>
      <w:r>
        <w:t xml:space="preserve"> </w:t>
      </w:r>
      <w:r>
        <w:t xml:space="preserve">the eLER advantage over the two-component benchmark.</w:t>
      </w:r>
    </w:p>
    <w:p>
      <w:pPr>
        <w:pStyle w:val="BodyText"/>
      </w:pPr>
      <w:r>
        <w:rPr>
          <w:b/>
          <w:bCs/>
        </w:rPr>
        <w:t xml:space="preserve">Finding 2 —</w:t>
      </w:r>
      <w:r>
        <w:rPr>
          <w:b/>
          <w:bCs/>
        </w:rP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  <m:r>
          <m:rPr>
            <m:sty m:val="p"/>
          </m:rPr>
          <m:t>&lt;</m:t>
        </m:r>
        <m:r>
          <m:t>1.0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all sites.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ranges from 0.611 (Konya) to 0.729 (Freiburg),</w:t>
      </w:r>
      <w:r>
        <w:t xml:space="preserve"> </w:t>
      </w:r>
      <w:r>
        <w:t xml:space="preserve">meaning the APV–AD system produces less biogas than the standalone</w:t>
      </w:r>
      <w:r>
        <w:t xml:space="preserve"> </w:t>
      </w:r>
      <w:r>
        <w:t xml:space="preserve">open-field reference AD unit. This is a structural consequence of</w:t>
      </w:r>
      <w:r>
        <w:t xml:space="preserve"> </w:t>
      </w:r>
      <w:r>
        <w:t xml:space="preserve">the shading-residue coupling: with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  <m:r>
          <m:rPr>
            <m:sty m:val="p"/>
          </m:rPr>
          <m:t>≈</m:t>
        </m:r>
        <m:r>
          <m:t>0.36</m:t>
        </m:r>
      </m:oMath>
      <w:r>
        <w:t xml:space="preserve">–</w:t>
      </w:r>
      <m:oMath>
        <m:r>
          <m:t>0.40</m:t>
        </m:r>
      </m:oMath>
      <w:r>
        <w:t xml:space="preserve">,</w:t>
      </w:r>
      <w:r>
        <w:t xml:space="preserve"> </w:t>
      </w:r>
      <w:r>
        <w:t xml:space="preserve">the APV system produces only 36–40% of the open-field crop residue</w:t>
      </w:r>
      <w:r>
        <w:t xml:space="preserve"> </w:t>
      </w:r>
      <w:r>
        <w:t xml:space="preserve">quantity, reducing VS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residues</m:t>
            </m:r>
          </m:sub>
        </m:sSub>
      </m:oMath>
      <w:r>
        <w:t xml:space="preserve"> </w:t>
      </w:r>
      <w:r>
        <w:t xml:space="preserve">input to the digester</w:t>
      </w:r>
      <w:r>
        <w:t xml:space="preserve"> </w:t>
      </w:r>
      <w:r>
        <w:t xml:space="preserve">proportionally. The manure co-substrate (</w:t>
      </w:r>
      <m:oMath>
        <m:r>
          <m:t>V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manure</m:t>
            </m:r>
          </m:sub>
        </m:sSub>
      </m:oMath>
      <w:r>
        <w:t xml:space="preserve">),</w:t>
      </w:r>
      <w:r>
        <w:t xml:space="preserve"> </w:t>
      </w:r>
      <w:r>
        <w:t xml:space="preserve">identical in both the APV and reference cases, partially compensates</w:t>
      </w:r>
      <w:r>
        <w:t xml:space="preserve"> </w:t>
      </w:r>
      <w:r>
        <w:t xml:space="preserve">for this deficit, raising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above the value it</w:t>
      </w:r>
      <w:r>
        <w:t xml:space="preserve"> </w:t>
      </w:r>
      <w:r>
        <w:t xml:space="preserve">would take under residues-only digestion. Freiburg achieves the</w:t>
      </w:r>
      <w:r>
        <w:t xml:space="preserve"> </w:t>
      </w:r>
      <w:r>
        <w:t xml:space="preserve">highest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(0.729) because its lower open-field</w:t>
      </w:r>
      <w:r>
        <w:t xml:space="preserve"> </w:t>
      </w:r>
      <w:r>
        <w:t xml:space="preserve">reference yield (30 t ha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vs. 60 t ha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other</w:t>
      </w:r>
      <w:r>
        <w:t xml:space="preserve"> </w:t>
      </w:r>
      <w:r>
        <w:t xml:space="preserve">sites) reduces the reference VS input, making the APV/reference</w:t>
      </w:r>
      <w:r>
        <w:t xml:space="preserve"> </w:t>
      </w:r>
      <w:r>
        <w:t xml:space="preserve">biogas ratio more favourable.</w:t>
      </w:r>
    </w:p>
    <w:p>
      <w:pPr>
        <w:pStyle w:val="BodyText"/>
      </w:pPr>
      <w:r>
        <w:rPr>
          <w:b/>
          <w:bCs/>
        </w:rPr>
        <w:t xml:space="preserve">Finding 3 —</w:t>
      </w:r>
      <w:r>
        <w:rPr>
          <w:b/>
          <w:bCs/>
        </w:rP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near-uniform across sites</w:t>
      </w:r>
      <w:r>
        <w:rPr>
          <w:b/>
          <w:bCs/>
        </w:rPr>
        <w:t xml:space="preserve"> </w:t>
      </w:r>
      <w:r>
        <w:rPr>
          <w:b/>
          <w:bCs/>
        </w:rPr>
        <w:t xml:space="preserve">despite 1.8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GHI variation.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 </w:t>
      </w:r>
      <w:r>
        <w:t xml:space="preserve">(Definition A) ranges narrowly from 0.659 (Freiburg)</w:t>
      </w:r>
      <w:r>
        <w:t xml:space="preserve"> </w:t>
      </w:r>
      <w:r>
        <w:t xml:space="preserve">to 0.691 (Ouagadougou), despite annual GHI varying from</w:t>
      </w:r>
      <w:r>
        <w:t xml:space="preserve"> </w:t>
      </w:r>
      <w:r>
        <w:t xml:space="preserve">1 150 to 2 050 kWh m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 This uniformity arises because</w:t>
      </w:r>
      <w:r>
        <w:t xml:space="preserve"> </w:t>
      </w:r>
      <w:r>
        <w:t xml:space="preserve">Definition A references a dense-pack array at the same tilt angle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 both the APV system and the reference are subject to the</w:t>
      </w:r>
      <w:r>
        <w:t xml:space="preserve"> </w:t>
      </w:r>
      <w:r>
        <w:t xml:space="preserve">same local irradiance, and their ratio reflects only the shading</w:t>
      </w:r>
      <w:r>
        <w:t xml:space="preserve"> </w:t>
      </w:r>
      <w:r>
        <w:t xml:space="preserve">loss within the APV array. Since GCR is near-identical at all sites</w:t>
      </w:r>
      <w:r>
        <w:t xml:space="preserve"> </w:t>
      </w:r>
      <w:r>
        <w:t xml:space="preserve">(69–72%) due to boundary convergence, the inter-row shading pattern</w:t>
      </w:r>
      <w:r>
        <w:t xml:space="preserve"> </w:t>
      </w:r>
      <w:r>
        <w:t xml:space="preserve">— and hence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 </w:t>
      </w:r>
      <w:r>
        <w:t xml:space="preserve">— is also near-identical. The small</w:t>
      </w:r>
      <w:r>
        <w:t xml:space="preserve"> </w:t>
      </w:r>
      <w:r>
        <w:t xml:space="preserve">variation across sites reflects differences in solar elevation angle</w:t>
      </w:r>
      <w:r>
        <w:t xml:space="preserve"> </w:t>
      </w:r>
      <w:r>
        <w:t xml:space="preserve">distribution, which modulates the effective shading fraction at a</w:t>
      </w:r>
      <w:r>
        <w:t xml:space="preserve"> </w:t>
      </w:r>
      <w:r>
        <w:t xml:space="preserve">given GCR.</w:t>
      </w:r>
    </w:p>
    <w:bookmarkEnd w:id="20"/>
    <w:bookmarkStart w:id="26" w:name="sec:results_energy"/>
    <w:p>
      <w:pPr>
        <w:pStyle w:val="Heading2"/>
      </w:pPr>
      <w:r>
        <w:t xml:space="preserve">Energy Performance and Thermal Balance</w:t>
      </w:r>
    </w:p>
    <w:p>
      <w:pPr>
        <w:pStyle w:val="FirstParagraph"/>
      </w:pPr>
      <w:r>
        <w:t xml:space="preserve">Table </w:t>
      </w:r>
      <w:hyperlink w:anchor="tab:energy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summarises annual energy performance</w:t>
      </w:r>
      <w:r>
        <w:t xml:space="preserve"> </w:t>
      </w:r>
      <w:r>
        <w:t xml:space="preserve">for all four sites. Figure </w:t>
      </w:r>
      <w:hyperlink w:anchor="fig:energy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presents the monthly energy</w:t>
      </w:r>
      <w:r>
        <w:t xml:space="preserve"> </w:t>
      </w:r>
      <w:r>
        <w:t xml:space="preserve">balance, showing the seasonal distribution of PV generation, biogas</w:t>
      </w:r>
      <w:r>
        <w:t xml:space="preserve"> </w:t>
      </w:r>
      <w:r>
        <w:t xml:space="preserve">production, and digester heat demand.</w:t>
      </w:r>
    </w:p>
    <w:bookmarkStart w:id="21" w:name="tab:energy"/>
    <w:p>
      <w:pPr>
        <w:pStyle w:val="TableCaption"/>
      </w:pPr>
      <w:r>
        <w:t xml:space="preserve">Annual energy performance and thermal balance for all four</w:t>
      </w:r>
      <w:r>
        <w:t xml:space="preserve"> </w:t>
      </w:r>
      <w:r>
        <w:t xml:space="preserve">sites (Scenario S0, 1 ha normalisation).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nual energy performance and thermal balance for all four sites (Scenario S0, 1 ha normalisation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Konya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Almería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Ouagadougou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Freiburg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 total (MWh ha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 yr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1 295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1 386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1 433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 sold to grid (MWh ha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 yr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1 229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1 317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1 361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 self-consumed (MWh ha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 yr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Biogas total (MWh ha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 yr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 demand (MWh ha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 yr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Biogas for heating (MWh ha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 yr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2 000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BMP annual avg (NmL CH</w:t>
            </w:r>
            <m:oMath>
              <m:sSub>
                <m:e>
                  <m:r>
                    <m:t>​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 gVS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avg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dig,eff</m:t>
                  </m:r>
                </m:sub>
              </m:sSub>
            </m:oMath>
            <w:r>
              <w:t xml:space="preserve"> </w:t>
            </w:r>
            <w:r>
              <w:t xml:space="preserve">(°C)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26.0</w:t>
            </w:r>
          </w:p>
        </w:tc>
      </w:tr>
    </w:tbl>
    <w:bookmarkEnd w:id="21"/>
    <w:bookmarkStart w:id="25" w:name="fig:energy"/>
    <w:p>
      <w:pPr>
        <w:pStyle w:val="CaptionedFigure"/>
      </w:pPr>
      <w:r>
        <w:drawing>
          <wp:inline>
            <wp:extent cx="5334000" cy="378455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/fig04_energy_monthl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4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Monthly energy balance for all four sites. Bars: monthly PV</w:t>
      </w:r>
      <w:r>
        <w:t xml:space="preserve"> </w:t>
      </w:r>
      <w:r>
        <w:t xml:space="preserve">generation (MWh month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 Dashed line: monthly average digester</w:t>
      </w:r>
      <w:r>
        <w:t xml:space="preserve"> </w:t>
      </w:r>
      <w:r>
        <w:t xml:space="preserve">heat demand. The heat demand is nearly constant year-round at all</w:t>
      </w:r>
      <w:r>
        <w:t xml:space="preserve"> </w:t>
      </w:r>
      <w:r>
        <w:t xml:space="preserve">sites because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dig,eff</m:t>
            </m:r>
          </m:sub>
        </m:sSub>
      </m:oMath>
      <w:r>
        <w:t xml:space="preserve"> </w:t>
      </w:r>
      <w:r>
        <w:t xml:space="preserve">is clipped to</w:t>
      </w:r>
      <w:r>
        <w:t xml:space="preserve"> </w:t>
      </w:r>
      <m:oMath>
        <m:r>
          <m:rPr>
            <m:sty m:val="p"/>
          </m:rPr>
          <m:t>[</m:t>
        </m:r>
        <m:r>
          <m:t>26</m:t>
        </m:r>
        <m:r>
          <m:rPr>
            <m:sty m:val="p"/>
          </m:rPr>
          <m:t>,</m:t>
        </m:r>
        <m:r>
          <m:t> </m:t>
        </m:r>
        <m:r>
          <m:t>37</m:t>
        </m:r>
        <m:r>
          <m:rPr>
            <m:sty m:val="p"/>
          </m:rPr>
          <m:t>]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(Equation </w:t>
      </w:r>
      <w:hyperlink w:anchor="eq:tdig">
        <w:r>
          <w:rPr>
            <w:rStyle w:val="Hyperlink"/>
          </w:rPr>
          <w:t xml:space="preserve">[eq:tdig]</w:t>
        </w:r>
      </w:hyperlink>
      <w:r>
        <w:t xml:space="preserve">), decoupling heat</w:t>
      </w:r>
      <w:r>
        <w:t xml:space="preserve"> </w:t>
      </w:r>
      <w:r>
        <w:t xml:space="preserve">demand from the seasonal PV profile.</w:t>
      </w:r>
    </w:p>
    <w:bookmarkEnd w:id="25"/>
    <w:p>
      <w:pPr>
        <w:pStyle w:val="BodyText"/>
      </w:pPr>
      <w:r>
        <w:t xml:space="preserve">Four observations characterize the energy performance across sites.</w:t>
      </w:r>
    </w:p>
    <w:p>
      <w:pPr>
        <w:pStyle w:val="BodyText"/>
      </w:pPr>
      <w:r>
        <w:rPr>
          <w:b/>
          <w:bCs/>
        </w:rPr>
        <w:t xml:space="preserve">PV generation follows the GHI gradient.</w:t>
      </w:r>
      <w:r>
        <w:t xml:space="preserve"> </w:t>
      </w:r>
      <w:r>
        <w:t xml:space="preserve">Annual PV output</w:t>
      </w:r>
      <w:r>
        <w:t xml:space="preserve"> </w:t>
      </w:r>
      <w:r>
        <w:t xml:space="preserve">ranges from 1 002 MWh ha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(Freiburg) to</w:t>
      </w:r>
      <w:r>
        <w:t xml:space="preserve"> </w:t>
      </w:r>
      <w:r>
        <w:t xml:space="preserve">1 433 MWh ha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(Ouagadougou), tracking the GHI gradient</w:t>
      </w:r>
      <w:r>
        <w:t xml:space="preserve"> </w:t>
      </w:r>
      <w:r>
        <w:t xml:space="preserve">as expected. The ratio of PV sold to PV total is 94–95% at all</w:t>
      </w:r>
      <w:r>
        <w:t xml:space="preserve"> </w:t>
      </w:r>
      <w:r>
        <w:t xml:space="preserve">sites, reflecting the near-minimum</w:t>
      </w:r>
      <w:r>
        <w:t xml:space="preserve"> </w:t>
      </w:r>
      <m:oMath>
        <m:sSubSup>
          <m:e>
            <m:r>
              <m:t>f</m:t>
            </m:r>
          </m:e>
          <m:sub>
            <m:r>
              <m:rPr>
                <m:nor/>
                <m:sty m:val="p"/>
              </m:rPr>
              <m:t>PV,heat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at the optimized design: only 5% of PV output is allocated to</w:t>
      </w:r>
      <w:r>
        <w:t xml:space="preserve"> </w:t>
      </w:r>
      <w:r>
        <w:t xml:space="preserve">digester heating.</w:t>
      </w:r>
    </w:p>
    <w:p>
      <w:pPr>
        <w:pStyle w:val="BodyText"/>
      </w:pPr>
      <w:r>
        <w:rPr>
          <w:b/>
          <w:bCs/>
        </w:rPr>
        <w:t xml:space="preserve">Biogas production is dominated by temperature regime.</w:t>
      </w:r>
      <w:r>
        <w:t xml:space="preserve"> </w:t>
      </w:r>
      <w:r>
        <w:t xml:space="preserve">Biogas output varies from 2.88 MWh ha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(Freiburg) to</w:t>
      </w:r>
      <w:r>
        <w:t xml:space="preserve"> </w:t>
      </w:r>
      <w:r>
        <w:t xml:space="preserve">5.98 MWh ha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(Ouagadougou), a factor of 2.1</w:t>
      </w:r>
      <m:oMath>
        <m:r>
          <m:rPr>
            <m:sty m:val="p"/>
          </m:rPr>
          <m:t>×</m:t>
        </m:r>
      </m:oMath>
      <w:r>
        <w:t xml:space="preserve">.</w:t>
      </w:r>
      <w:r>
        <w:t xml:space="preserve"> </w:t>
      </w:r>
      <w:r>
        <w:t xml:space="preserve">This variation is driven primarily by the annual average BMP, which</w:t>
      </w:r>
      <w:r>
        <w:t xml:space="preserve"> </w:t>
      </w:r>
      <w:r>
        <w:t xml:space="preserve">ranges from 140.4 NmL CH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 gVS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(Freiburg) to</w:t>
      </w:r>
      <w:r>
        <w:t xml:space="preserve"> </w:t>
      </w:r>
      <w:r>
        <w:t xml:space="preserve">234.0 NmL CH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 gVS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(Ouagadougou). At Ouagadougou,</w:t>
      </w:r>
      <w:r>
        <w:t xml:space="preserve"> </w:t>
      </w:r>
      <w:r>
        <w:t xml:space="preserve">the tropical ambient temperature (28.5 °C annual mean)</w:t>
      </w:r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dig,eff</m:t>
            </m:r>
          </m:sub>
        </m:sSub>
      </m:oMath>
      <w:r>
        <w:t xml:space="preserve"> </w:t>
      </w:r>
      <w:r>
        <w:t xml:space="preserve">to 33.2 °C year-round,</w:t>
      </w:r>
      <w:r>
        <w:t xml:space="preserve"> </w:t>
      </w:r>
      <w:r>
        <w:t xml:space="preserve">approaching the mesophilic optimum and maintaining BMP at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300 NmL CH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 gVS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minimal seasonal</w:t>
      </w:r>
      <w:r>
        <w:t xml:space="preserve"> </w:t>
      </w:r>
      <w:r>
        <w:t xml:space="preserve">variation. At Konya and Freiburg, winter ambient temperatures</w:t>
      </w:r>
      <w:r>
        <w:t xml:space="preserve"> </w:t>
      </w:r>
      <w:r>
        <w:t xml:space="preserve">below 0 °C suppress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dig,eff</m:t>
            </m:r>
          </m:sub>
        </m:sSub>
      </m:oMath>
      <w:r>
        <w:t xml:space="preserve"> </w:t>
      </w:r>
      <w:r>
        <w:t xml:space="preserve">to the</w:t>
      </w:r>
      <w:r>
        <w:t xml:space="preserve"> </w:t>
      </w:r>
      <w:r>
        <w:t xml:space="preserve">minimum threshold of 26 °C, reducing BMP to</w:t>
      </w:r>
      <w:r>
        <w:t xml:space="preserve"> </w:t>
      </w:r>
      <w:r>
        <w:t xml:space="preserve">approximately 130–140 NmL CH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 gVS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during</w:t>
      </w:r>
      <w:r>
        <w:t xml:space="preserve"> </w:t>
      </w:r>
      <w:r>
        <w:t xml:space="preserve">December–February. The Arrhenius-corrected annual average BMP</w:t>
      </w:r>
      <w:r>
        <w:t xml:space="preserve"> </w:t>
      </w:r>
      <w:r>
        <w:t xml:space="preserve">of 148.8 NmL CH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 gVS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Konya and</w:t>
      </w:r>
      <w:r>
        <w:t xml:space="preserve"> </w:t>
      </w:r>
      <w:r>
        <w:t xml:space="preserve">140.4 NmL CH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 gVS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Freiburg represent a 50–53%</w:t>
      </w:r>
      <w:r>
        <w:t xml:space="preserve"> </w:t>
      </w:r>
      <w:r>
        <w:t xml:space="preserve">suppression relative to the mesophilic reference, quantifying</w:t>
      </w:r>
      <w:r>
        <w:t xml:space="preserve"> </w:t>
      </w:r>
      <w:r>
        <w:t xml:space="preserve">the thermal penalty of cold climates on biogas yield.</w:t>
      </w:r>
    </w:p>
    <w:p>
      <w:pPr>
        <w:pStyle w:val="BodyText"/>
      </w:pPr>
      <w:r>
        <w:rPr>
          <w:b/>
          <w:bCs/>
        </w:rPr>
        <w:t xml:space="preserve">Thermal self-sufficiency is confirmed at all sites.</w:t>
      </w:r>
      <w:r>
        <w:t xml:space="preserve"> </w:t>
      </w:r>
      <w:r>
        <w:t xml:space="preserve">ESR ranges from 453 (Freiburg) to 2 000 (Ouagadougou), orders of</w:t>
      </w:r>
      <w:r>
        <w:t xml:space="preserve"> </w:t>
      </w:r>
      <w:r>
        <w:t xml:space="preserve">magnitude above the threshold of 1.0. Zero biogas is consumed for</w:t>
      </w:r>
      <w:r>
        <w:t xml:space="preserve"> </w:t>
      </w:r>
      <w:r>
        <w:t xml:space="preserve">digester heating at any site, even at Freiburg in January. This</w:t>
      </w:r>
      <w:r>
        <w:t xml:space="preserve"> </w:t>
      </w:r>
      <w:r>
        <w:t xml:space="preserve">confirms that the PV array provides far more energy than the</w:t>
      </w:r>
      <w:r>
        <w:t xml:space="preserve"> </w:t>
      </w:r>
      <w:r>
        <w:t xml:space="preserve">digester requires under the optimal</w:t>
      </w:r>
      <w:r>
        <w:t xml:space="preserve"> </w:t>
      </w:r>
      <m:oMath>
        <m:sSubSup>
          <m:e>
            <m:r>
              <m:t>f</m:t>
            </m:r>
          </m:e>
          <m:sub>
            <m:r>
              <m:rPr>
                <m:nor/>
                <m:sty m:val="p"/>
              </m:rPr>
              <m:t>PV,heat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design: 5% of 1 002 MWh ha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= 50 MWh is available</w:t>
      </w:r>
      <w:r>
        <w:t xml:space="preserve"> </w:t>
      </w:r>
      <w:r>
        <w:t xml:space="preserve">for heating against a total heat demand of only</w:t>
      </w:r>
      <w:r>
        <w:t xml:space="preserve"> </w:t>
      </w:r>
      <w:r>
        <w:t xml:space="preserve">2.22 MWh ha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Freiburg. The implication is that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is driven entirely by the reduction in</w:t>
      </w:r>
      <w:r>
        <w:t xml:space="preserve"> </w:t>
      </w:r>
      <w:r>
        <w:t xml:space="preserve">crop residues under APV shading, not by any thermal penalty on</w:t>
      </w:r>
      <w:r>
        <w:t xml:space="preserve"> </w:t>
      </w:r>
      <w:r>
        <w:t xml:space="preserve">the digestion process.</w:t>
      </w:r>
    </w:p>
    <w:p>
      <w:pPr>
        <w:pStyle w:val="BodyText"/>
      </w:pPr>
      <w:r>
        <w:rPr>
          <w:b/>
          <w:bCs/>
        </w:rPr>
        <w:t xml:space="preserve">Heat demand is highest at Konya, lowest at Ouagadougou.</w:t>
      </w:r>
      <w:r>
        <w:t xml:space="preserve"> </w:t>
      </w:r>
      <w:r>
        <w:t xml:space="preserve">Despite the largest digester volume (2.64 m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), Ouagadougou has</w:t>
      </w:r>
      <w:r>
        <w:t xml:space="preserve"> </w:t>
      </w:r>
      <w:r>
        <w:t xml:space="preserve">by far the lowest heat demand (0.72 MWh ha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</w:t>
      </w:r>
      <w:r>
        <w:t xml:space="preserve"> </w:t>
      </w:r>
      <w:r>
        <w:t xml:space="preserve">because the small temperature difference between ambient</w:t>
      </w:r>
      <w:r>
        <w:t xml:space="preserve"> </w:t>
      </w:r>
      <w:r>
        <w:t xml:space="preserve">(28.5 °C mean) and digester (33.2 °C</w:t>
      </w:r>
      <w:r>
        <w:t xml:space="preserve"> </w:t>
      </w:r>
      <w:r>
        <w:t xml:space="preserve">effective) minimises both conductive wall losses (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loss</m:t>
            </m:r>
          </m:sub>
        </m:sSub>
      </m:oMath>
      <w:r>
        <w:t xml:space="preserve">)</w:t>
      </w:r>
      <w:r>
        <w:t xml:space="preserve"> </w:t>
      </w:r>
      <w:r>
        <w:t xml:space="preserve">and substrate heating demand (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inflow</m:t>
            </m:r>
          </m:sub>
        </m:sSub>
      </m:oMath>
      <w:r>
        <w:t xml:space="preserve">). Konya now has</w:t>
      </w:r>
      <w:r>
        <w:t xml:space="preserve"> </w:t>
      </w:r>
      <w:r>
        <w:t xml:space="preserve">the highest heat demand (2.26 MWh ha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 narrowly</w:t>
      </w:r>
      <w:r>
        <w:t xml:space="preserve"> </w:t>
      </w:r>
      <w:r>
        <w:t xml:space="preserve">exceeding Freiburg (2.22 MWh ha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despite</w:t>
      </w:r>
      <w:r>
        <w:t xml:space="preserve"> </w:t>
      </w:r>
      <w:r>
        <w:t xml:space="preserve">Freiburg’s colder winter minimum (</w:t>
      </w:r>
      <m:oMath>
        <m:r>
          <m:rPr>
            <m:sty m:val="p"/>
          </m:rPr>
          <m:t>−</m:t>
        </m:r>
        <m:r>
          <m:t>12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vs. </w:t>
      </w:r>
      <m:oMath>
        <m:r>
          <m:rPr>
            <m:sty m:val="p"/>
          </m:rPr>
          <m:t>−</m:t>
        </m:r>
        <m:r>
          <m:t>10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C). This is because Konya’s optimised digester volume</w:t>
      </w:r>
      <w:r>
        <w:t xml:space="preserve"> </w:t>
      </w:r>
      <w:r>
        <w:t xml:space="preserve">(4.32 m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) is the largest of the four sites — larger than</w:t>
      </w:r>
      <w:r>
        <w:t xml:space="preserve"> </w:t>
      </w:r>
      <w:r>
        <w:t xml:space="preserve">Freiburg’s (3.57 m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) — increasing the conductive wall area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wall</m:t>
            </m:r>
          </m:sub>
        </m:sSub>
      </m:oMath>
      <w:r>
        <w:t xml:space="preserve"> </w:t>
      </w:r>
      <w:r>
        <w:t xml:space="preserve">and hence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loss</m:t>
            </m:r>
          </m:sub>
        </m:sSub>
      </m:oMath>
      <w:r>
        <w:t xml:space="preserve"> </w:t>
      </w:r>
      <w:r>
        <w:t xml:space="preserve">enough to outweigh</w:t>
      </w:r>
      <w:r>
        <w:t xml:space="preserve"> </w:t>
      </w:r>
      <w:r>
        <w:t xml:space="preserve">Freiburg’s colder ambient temperature. As noted in Finding 3</w:t>
      </w:r>
      <w:r>
        <w:t xml:space="preserve"> </w:t>
      </w:r>
      <w:r>
        <w:t xml:space="preserve">(Section </w:t>
      </w:r>
      <w:hyperlink w:anchor="sec:results_optimal">
        <w:r>
          <w:rPr>
            <w:rStyle w:val="Hyperlink"/>
          </w:rPr>
          <w:t xml:space="preserve">1.1</w:t>
        </w:r>
      </w:hyperlink>
      <w:r>
        <w:t xml:space="preserve">),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dig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R</m:t>
        </m:r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only weakly constrained by the eLER objective once the OLR</w:t>
      </w:r>
      <w:r>
        <w:t xml:space="preserve"> </w:t>
      </w:r>
      <w:r>
        <w:t xml:space="preserve">feasibility bound is satisfied, so this ranking should be read as a</w:t>
      </w:r>
      <w:r>
        <w:t xml:space="preserve"> </w:t>
      </w:r>
      <w:r>
        <w:t xml:space="preserve">close, second-order result rather than a robust climate-driven</w:t>
      </w:r>
      <w:r>
        <w:t xml:space="preserve"> </w:t>
      </w:r>
      <w:r>
        <w:t xml:space="preserve">effect; the two sites’ heat demands are within 2% of each other.</w:t>
      </w:r>
    </w:p>
    <w:bookmarkEnd w:id="26"/>
    <w:bookmarkStart w:id="31" w:name="sec:results_gradient"/>
    <w:p>
      <w:pPr>
        <w:pStyle w:val="Heading2"/>
      </w:pPr>
      <w:r>
        <w:t xml:space="preserve">Climate Gradient and Non-Monotone eLER Ordering</w:t>
      </w:r>
    </w:p>
    <w:p>
      <w:pPr>
        <w:pStyle w:val="FirstParagraph"/>
      </w:pPr>
      <w:r>
        <w:t xml:space="preserve">Figure </w:t>
      </w:r>
      <w:hyperlink w:anchor="fig:gradient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presents the four-site climate</w:t>
      </w:r>
      <w:r>
        <w:t xml:space="preserve"> </w:t>
      </w:r>
      <w:r>
        <w:t xml:space="preserve">gradient alongside the corresponding eLER and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2C</m:t>
            </m:r>
          </m:sub>
        </m:sSub>
      </m:oMath>
      <w:r>
        <w:t xml:space="preserve"> </w:t>
      </w:r>
      <w:r>
        <w:t xml:space="preserve">values.</w:t>
      </w:r>
      <w:r>
        <w:t xml:space="preserve"> </w:t>
      </w:r>
      <w:r>
        <w:t xml:space="preserve">The central finding of this study emerges from this comparison: the eLER</w:t>
      </w:r>
      <w:r>
        <w:t xml:space="preserve"> </w:t>
      </w:r>
      <w:r>
        <w:t xml:space="preserve">ordering does not follow the solar resource gradient.</w:t>
      </w:r>
    </w:p>
    <w:bookmarkStart w:id="30" w:name="fig:gradient"/>
    <w:p>
      <w:pPr>
        <w:pStyle w:val="CaptionedFigure"/>
      </w:pPr>
      <w:r>
        <w:drawing>
          <wp:inline>
            <wp:extent cx="5334000" cy="178161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s/fig05_climate_gradien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Four-site climate gradient. Left panel: annual GHI</w:t>
      </w:r>
      <w:r>
        <w:t xml:space="preserve"> </w:t>
      </w:r>
      <w:r>
        <w:t xml:space="preserve">(kWh m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 Centre panel: mean annual air temperature</w:t>
      </w:r>
      <w:r>
        <w:t xml:space="preserve"> </w:t>
      </w:r>
      <w:r>
        <w:t xml:space="preserve">(°C). Right panel: eLER (Definition A, solid bars) and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2C</m:t>
            </m:r>
          </m:sub>
        </m:sSub>
      </m:oMath>
      <w:r>
        <w:t xml:space="preserve"> </w:t>
      </w:r>
      <w:r>
        <w:t xml:space="preserve">(faded bars) with the red dashed line at the</w:t>
      </w:r>
      <w:r>
        <w:t xml:space="preserve"> </w:t>
      </w:r>
      <w:r>
        <w:t xml:space="preserve">published benchmark of 1.94 </w:t>
      </w:r>
      <w:r>
        <w:t xml:space="preserve">. The annotation</w:t>
      </w:r>
      <w:r>
        <w:t xml:space="preserve"> </w:t>
      </w:r>
      <w:r>
        <w:t xml:space="preserve">highlights the non-monotone result: Freiburg (lowest GHI) achieves</w:t>
      </w:r>
      <w:r>
        <w:t xml:space="preserve"> </w:t>
      </w:r>
      <w:r>
        <w:t xml:space="preserve">the highest eLER.</w:t>
      </w:r>
    </w:p>
    <w:bookmarkEnd w:id="30"/>
    <w:p>
      <w:pPr>
        <w:pStyle w:val="BodyText"/>
      </w:pPr>
      <w:r>
        <w:t xml:space="preserve">The solar resource and eLER rankings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GHI:</m:t>
              </m:r>
              <m:r>
                <m:t> </m:t>
              </m:r>
              <m:r>
                <m:t>&amp;</m:t>
              </m:r>
              <m:r>
                <m:rPr>
                  <m:nor/>
                  <m:sty m:val="p"/>
                </m:rPr>
                <m:t>Ouagadougou</m:t>
              </m:r>
              <m:r>
                <m:rPr>
                  <m:sty m:val="p"/>
                </m:rPr>
                <m:t>(</m:t>
              </m:r>
              <m:r>
                <m:t>2050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Almería</m:t>
              </m:r>
              <m:r>
                <m:rPr>
                  <m:sty m:val="p"/>
                </m:rPr>
                <m:t>(</m:t>
              </m:r>
              <m:r>
                <m:t>1850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Konya</m:t>
              </m:r>
              <m:r>
                <m:rPr>
                  <m:sty m:val="p"/>
                </m:rPr>
                <m:t>(</m:t>
              </m:r>
              <m:r>
                <m:t>1650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Freiburg</m:t>
              </m:r>
              <m:r>
                <m:rPr>
                  <m:sty m:val="p"/>
                </m:rPr>
                <m:t>(</m:t>
              </m:r>
              <m:r>
                <m:t>1150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eLER:</m:t>
              </m:r>
              <m:r>
                <m:t> </m:t>
              </m:r>
              <m:r>
                <m:t>&amp;</m:t>
              </m:r>
              <m:r>
                <m:rPr>
                  <m:nor/>
                  <m:sty m:val="p"/>
                </m:rPr>
                <m:t>Freiburg</m:t>
              </m:r>
              <m:r>
                <m:rPr>
                  <m:sty m:val="p"/>
                </m:rPr>
                <m:t>(</m:t>
              </m:r>
              <m:r>
                <m:t>1.764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Ouagadougou</m:t>
              </m:r>
              <m:r>
                <m:rPr>
                  <m:sty m:val="p"/>
                </m:rPr>
                <m:t>(</m:t>
              </m:r>
              <m:r>
                <m:t>1.723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Almería</m:t>
              </m:r>
              <m:r>
                <m:rPr>
                  <m:sty m:val="p"/>
                </m:rPr>
                <m:t>(</m:t>
              </m:r>
              <m:r>
                <m:t>1.657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Konya</m:t>
              </m:r>
              <m:r>
                <m:rPr>
                  <m:sty m:val="p"/>
                </m:rPr>
                <m:t>(</m:t>
              </m:r>
              <m:r>
                <m:t>1.641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eLER ordering is the inverse of the GHI ordering at the two</w:t>
      </w:r>
      <w:r>
        <w:t xml:space="preserve"> </w:t>
      </w:r>
      <w:r>
        <w:t xml:space="preserve">extremes: Freiburg, with the lowest annual irradiance</w:t>
      </w:r>
      <w:r>
        <w:t xml:space="preserve"> </w:t>
      </w:r>
      <w:r>
        <w:t xml:space="preserve">(1 150 kWh m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), achieves the highest eLER (1.764), while</w:t>
      </w:r>
      <w:r>
        <w:t xml:space="preserve"> </w:t>
      </w:r>
      <w:r>
        <w:t xml:space="preserve">Konya, with 43% more irradiance (1 650 kWh m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), achieves</w:t>
      </w:r>
      <w:r>
        <w:t xml:space="preserve"> </w:t>
      </w:r>
      <w:r>
        <w:t xml:space="preserve">the lowest eLER (1.641).</w:t>
      </w:r>
    </w:p>
    <w:p>
      <w:pPr>
        <w:pStyle w:val="BodyText"/>
      </w:pPr>
      <w:r>
        <w:rPr>
          <w:b/>
          <w:bCs/>
        </w:rPr>
        <w:t xml:space="preserve">Mechanism: PAR saturation inflates the LER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denominator at high-irradiance sites.</w:t>
      </w:r>
      <w:r>
        <w:t xml:space="preserve"> </w:t>
      </w:r>
      <w:r>
        <w:t xml:space="preserve">The PAR integral formulation (Equation </w:t>
      </w:r>
      <w:hyperlink w:anchor="eq:lercrop">
        <w:r>
          <w:rPr>
            <w:rStyle w:val="Hyperlink"/>
          </w:rPr>
          <w:t xml:space="preserve">[eq:lercrop]</w:t>
        </w:r>
      </w:hyperlink>
      <w:r>
        <w:t xml:space="preserve">) clips the</w:t>
      </w:r>
      <w:r>
        <w:t xml:space="preserve"> </w:t>
      </w:r>
      <w:r>
        <w:t xml:space="preserve">numerator at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=</m:t>
        </m:r>
        <m:r>
          <m:t>174</m:t>
        </m:r>
        <m:r>
          <m:t> </m:t>
        </m:r>
        <m:r>
          <m:t>W</m:t>
        </m:r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but leaves the</w:t>
      </w:r>
      <w:r>
        <w:t xml:space="preserve"> </w:t>
      </w:r>
      <w:r>
        <w:t xml:space="preserve">denominator uncapped. At high-irradiance sites, mean daytime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open</m:t>
            </m:r>
          </m:sub>
        </m:sSub>
      </m:oMath>
      <w:r>
        <w:t xml:space="preserve"> </w:t>
      </w:r>
      <w:r>
        <w:t xml:space="preserve">frequently exceeds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</m:oMath>
      <w:r>
        <w:t xml:space="preserve">, making the</w:t>
      </w:r>
      <w:r>
        <w:t xml:space="preserve"> </w:t>
      </w:r>
      <w:r>
        <w:t xml:space="preserve">denominator large while the numerator is bounded. The following</w:t>
      </w:r>
      <w:r>
        <w:t xml:space="preserve"> </w:t>
      </w:r>
      <w:r>
        <w:t xml:space="preserve">site-specific analysis quantifies this effect.</w:t>
      </w:r>
    </w:p>
    <w:p>
      <w:pPr>
        <w:pStyle w:val="BodyText"/>
      </w:pPr>
      <w:r>
        <w:t xml:space="preserve">At Konya, mean growing-season daytime GHI exceeds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PAR</m:t>
            </m:r>
          </m:sub>
        </m:sSub>
        <m:r>
          <m:rPr>
            <m:sty m:val="p"/>
          </m:rPr>
          <m:t>=</m:t>
        </m:r>
        <m:r>
          <m:t>174</m:t>
        </m:r>
        <m:r>
          <m:rPr>
            <m:sty m:val="p"/>
          </m:rPr>
          <m:t>/</m:t>
        </m:r>
        <m:r>
          <m:t>0.48</m:t>
        </m:r>
        <m:r>
          <m:rPr>
            <m:sty m:val="p"/>
          </m:rPr>
          <m:t>=</m:t>
        </m:r>
        <m:r>
          <m:t>362</m:t>
        </m:r>
        <m:r>
          <m:t> </m:t>
        </m:r>
        <m:r>
          <m:t>W</m:t>
        </m:r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for approximately 60% of daylight hours,</w:t>
      </w:r>
      <w:r>
        <w:t xml:space="preserve"> </w:t>
      </w:r>
      <w:r>
        <w:t xml:space="preserve">meaning the open-field denominator accumulates uncapped PAR for more</w:t>
      </w:r>
      <w:r>
        <w:t xml:space="preserve"> </w:t>
      </w:r>
      <w:r>
        <w:t xml:space="preserve">than half the season while the APV numerator is clipped at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</m:oMath>
      <w:r>
        <w:t xml:space="preserve"> </w:t>
      </w:r>
      <w:r>
        <w:t xml:space="preserve">for the same hours. The result is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  <m:r>
          <m:rPr>
            <m:sty m:val="p"/>
          </m:rPr>
          <m:t>=</m:t>
        </m:r>
        <m:r>
          <m:t>0.356</m:t>
        </m:r>
      </m:oMath>
      <w:r>
        <w:t xml:space="preserve"> </w:t>
      </w:r>
      <w:r>
        <w:t xml:space="preserve">despite the high solar resource.</w:t>
      </w:r>
    </w:p>
    <w:p>
      <w:pPr>
        <w:pStyle w:val="BodyText"/>
      </w:pPr>
      <w:r>
        <w:t xml:space="preserve">At Freiburg, mean growing-season daytime GHI exceeds</w:t>
      </w:r>
      <w:r>
        <w:t xml:space="preserve"> </w:t>
      </w:r>
      <w:r>
        <w:t xml:space="preserve">362 W   m</w:t>
      </w:r>
      <w:r>
        <w:rPr>
          <w:vertAlign w:val="superscript"/>
        </w:rPr>
        <w:t xml:space="preserve">−2</w:t>
      </w:r>
      <w:r>
        <w:t xml:space="preserve"> </w:t>
      </w:r>
      <w:r>
        <w:t xml:space="preserve">for only approximately 20% of daylight hours.</w:t>
      </w:r>
      <w:r>
        <w:t xml:space="preserve"> </w:t>
      </w:r>
      <w:r>
        <w:t xml:space="preserve">The denominator accumulates proportionally less uncapped PAR,</w:t>
      </w:r>
      <w:r>
        <w:t xml:space="preserve"> </w:t>
      </w:r>
      <w:r>
        <w:t xml:space="preserve">making the ratio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AV</m:t>
            </m:r>
          </m:sub>
        </m:sSub>
        <m:r>
          <m:rPr>
            <m:sty m:val="p"/>
          </m:rPr>
          <m:t>,</m:t>
        </m:r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∫</m:t>
        </m:r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open</m:t>
            </m:r>
          </m:sub>
        </m:sSub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more favourable. The result is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  <m:r>
          <m:rPr>
            <m:sty m:val="p"/>
          </m:rPr>
          <m:t>=</m:t>
        </m:r>
        <m:r>
          <m:t>0.376</m:t>
        </m:r>
      </m:oMath>
      <w:r>
        <w:t xml:space="preserve">, marginally higher than Konya despite</w:t>
      </w:r>
      <w:r>
        <w:t xml:space="preserve"> </w:t>
      </w:r>
      <w:r>
        <w:t xml:space="preserve">Freiburg receiving 500 kWh m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less annual irradiance.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 </w:t>
      </w:r>
      <w:r>
        <w:t xml:space="preserve">(Definition A) is near-uniform across sites</w:t>
      </w:r>
      <w:r>
        <w:t xml:space="preserve"> </w:t>
      </w:r>
      <w:r>
        <w:t xml:space="preserve">(0.659–0.691, as established in Section </w:t>
      </w:r>
      <w:hyperlink w:anchor="sec:results_eler">
        <w:r>
          <w:rPr>
            <w:rStyle w:val="Hyperlink"/>
          </w:rPr>
          <w:t xml:space="preserve">1.2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is highest at Freiburg (0.729) due to the</w:t>
      </w:r>
      <w:r>
        <w:t xml:space="preserve"> </w:t>
      </w:r>
      <w:r>
        <w:t xml:space="preserve">lower open-field reference yield, the combination of a slightly</w:t>
      </w:r>
      <w:r>
        <w:t xml:space="preserve"> </w:t>
      </w:r>
      <w:r>
        <w:t xml:space="preserve">higher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 </w:t>
      </w:r>
      <w:r>
        <w:t xml:space="preserve">and the highest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gives Freiburg the overall eLER advantage.</w:t>
      </w:r>
    </w:p>
    <w:p>
      <w:pPr>
        <w:pStyle w:val="BodyText"/>
      </w:pPr>
      <w:r>
        <w:rPr>
          <w:b/>
          <w:bCs/>
        </w:rPr>
        <w:t xml:space="preserve">Design implication.</w:t>
      </w:r>
      <w:r>
        <w:t xml:space="preserve"> </w:t>
      </w:r>
      <w:r>
        <w:t xml:space="preserve">For tomato cultivation</w:t>
      </w:r>
      <w:r>
        <w:t xml:space="preserve"> </w:t>
      </w:r>
      <w:r>
        <w:t xml:space="preserve">(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=</m:t>
        </m:r>
        <m:r>
          <m:t>174</m:t>
        </m:r>
        <m:r>
          <m:t> </m:t>
        </m:r>
        <m:r>
          <m:t>W</m:t>
        </m:r>
        <m:r>
          <m:t> 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), integrated APV–AD</w:t>
      </w:r>
      <w:r>
        <w:t xml:space="preserve"> </w:t>
      </w:r>
      <w:r>
        <w:t xml:space="preserve">systems deliver proportionally higher land-use efficiency in</w:t>
      </w:r>
      <w:r>
        <w:t xml:space="preserve"> </w:t>
      </w:r>
      <w:r>
        <w:t xml:space="preserve">moderate-irradiance temperate climates than in high-irradiance</w:t>
      </w:r>
      <w:r>
        <w:t xml:space="preserve"> </w:t>
      </w:r>
      <w:r>
        <w:t xml:space="preserve">semi-arid climates. This result is crop-specific: shade-tolerant</w:t>
      </w:r>
      <w:r>
        <w:t xml:space="preserve"> </w:t>
      </w:r>
      <w:r>
        <w:t xml:space="preserve">crops with lower</w:t>
      </w:r>
      <w:r>
        <w:t xml:space="preserve"> </w:t>
      </w:r>
      <m:oMath>
        <m:r>
          <m:t>P</m:t>
        </m:r>
        <m:r>
          <m:t>A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sat</m:t>
            </m:r>
          </m:sub>
        </m:sSub>
      </m:oMath>
      <w:r>
        <w:t xml:space="preserve"> </w:t>
      </w:r>
      <w:r>
        <w:t xml:space="preserve">(e.g. lettuce,</w:t>
      </w:r>
      <w:r>
        <w:t xml:space="preserve"> </w:t>
      </w:r>
      <w:r>
        <w:t xml:space="preserve">76 W   m</w:t>
      </w:r>
      <w:r>
        <w:rPr>
          <w:vertAlign w:val="superscript"/>
        </w:rPr>
        <w:t xml:space="preserve">−2</w:t>
      </w:r>
      <w:r>
        <w:t xml:space="preserve">) would be saturated more frequently at all</w:t>
      </w:r>
      <w:r>
        <w:t xml:space="preserve"> </w:t>
      </w:r>
      <w:r>
        <w:t xml:space="preserve">sites, potentially eliminating or reversing the gradient. Multi-crop</w:t>
      </w:r>
      <w:r>
        <w:t xml:space="preserve"> </w:t>
      </w:r>
      <w:r>
        <w:t xml:space="preserve">generalization is identified as a priority for future work</w:t>
      </w:r>
      <w:r>
        <w:t xml:space="preserve"> </w:t>
      </w:r>
      <w:r>
        <w:t xml:space="preserve">(Section </w:t>
      </w:r>
      <w:hyperlink w:anchor="sec:discussion">
        <w:r>
          <w:rPr>
            <w:rStyle w:val="Hyperlink"/>
          </w:rPr>
          <w:t xml:space="preserve">[sec:discussion]</w:t>
        </w:r>
      </w:hyperlink>
      <w:r>
        <w:t xml:space="preserve">).</w:t>
      </w:r>
    </w:p>
    <w:bookmarkEnd w:id="31"/>
    <w:bookmarkStart w:id="45" w:name="sec:results_4e"/>
    <w:p>
      <w:pPr>
        <w:pStyle w:val="Heading2"/>
      </w:pPr>
      <w:r>
        <w:t xml:space="preserve">4E Analysis: Energetic, Economic, Energo-Economic,</w:t>
      </w:r>
      <w:r>
        <w:t xml:space="preserve"> </w:t>
      </w:r>
      <w:r>
        <w:t xml:space="preserve">and Environmental Performance</w:t>
      </w:r>
    </w:p>
    <w:p>
      <w:pPr>
        <w:pStyle w:val="FirstParagraph"/>
      </w:pPr>
      <w:r>
        <w:t xml:space="preserve">Figure </w:t>
      </w:r>
      <w:hyperlink w:anchor="fig:4e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presents the 4E dashboard for all</w:t>
      </w:r>
      <w:r>
        <w:t xml:space="preserve"> </w:t>
      </w:r>
      <w:r>
        <w:t xml:space="preserve">four sites under Scenario S0. Table </w:t>
      </w:r>
      <w:hyperlink w:anchor="tab:capex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reports the CAPEX</w:t>
      </w:r>
      <w:r>
        <w:t xml:space="preserve"> </w:t>
      </w:r>
      <w:r>
        <w:t xml:space="preserve">breakdown; Table </w:t>
      </w:r>
      <w:hyperlink w:anchor="tab:economic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summarises the key investment</w:t>
      </w:r>
      <w:r>
        <w:t xml:space="preserve"> </w:t>
      </w:r>
      <w:r>
        <w:t xml:space="preserve">metrics for Scenarios S0 and S6 across all sites.</w:t>
      </w:r>
    </w:p>
    <w:bookmarkStart w:id="35" w:name="fig:4e"/>
    <w:p>
      <w:pPr>
        <w:pStyle w:val="CaptionedFigure"/>
      </w:pPr>
      <w:r>
        <w:drawing>
          <wp:inline>
            <wp:extent cx="5334000" cy="378289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/fig06_4E_dashboar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2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4E performance dashboard for all four sites (Scenario S0).</w:t>
      </w:r>
      <w:r>
        <w:t xml:space="preserve"> </w:t>
      </w:r>
      <w:r>
        <w:t xml:space="preserve">Top left (E1): annual PV and biogas energy (MWh ha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</w:t>
      </w:r>
      <w:r>
        <w:t xml:space="preserve"> </w:t>
      </w:r>
      <w:r>
        <w:t xml:space="preserve">Top right (E2): NPV (k$, bars) and IRR (%, line).</w:t>
      </w:r>
      <w:r>
        <w:t xml:space="preserve"> </w:t>
      </w:r>
      <w:r>
        <w:t xml:space="preserve">Bottom left (E3): LCOE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 </w:t>
      </w:r>
      <w:r>
        <w:t xml:space="preserve">(USD kWh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with the</w:t>
      </w:r>
      <w:r>
        <w:t xml:space="preserve"> </w:t>
      </w:r>
      <w:r>
        <w:t xml:space="preserve">IRENA 2023 global benchmark (red dashed line).</w:t>
      </w:r>
      <w:r>
        <w:t xml:space="preserve"> </w:t>
      </w:r>
      <w:r>
        <w:t xml:space="preserve">Bottom right (E4):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avoided (tCO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bars) and carbon credit value (USD ha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line).</w:t>
      </w:r>
    </w:p>
    <w:bookmarkEnd w:id="35"/>
    <w:bookmarkStart w:id="37" w:name="capex-breakdown"/>
    <w:p>
      <w:pPr>
        <w:pStyle w:val="Heading3"/>
      </w:pPr>
      <w:r>
        <w:t xml:space="preserve">CAPEX Breakdown</w:t>
      </w:r>
    </w:p>
    <w:bookmarkStart w:id="36" w:name="tab:capex"/>
    <w:p>
      <w:pPr>
        <w:pStyle w:val="TableCaption"/>
      </w:pPr>
      <w:r>
        <w:t xml:space="preserve">CAPEX breakdown for all four sites (1 ha, Scenario S0).</w:t>
      </w:r>
      <w:r>
        <w:t xml:space="preserve"> </w:t>
      </w:r>
      <w:r>
        <w:t xml:space="preserve">PV CAPEX based on 1 419 modules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550 W</w:t>
      </w:r>
      <m:oMath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$0.63 W</w:t>
      </w:r>
      <m:oMath>
        <m:sSubSup>
          <m:e>
            <m:r>
              <m:t>​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 AD CAPEX based on optimal</w:t>
      </w:r>
      <w:r>
        <w:t xml:space="preserve"> </w:t>
      </w:r>
      <m:oMath>
        <m:sSubSup>
          <m:e>
            <m:r>
              <m:t>V</m:t>
            </m:r>
          </m:e>
          <m:sub>
            <m:r>
              <m:rPr>
                <m:nor/>
                <m:sty m:val="p"/>
              </m:rPr>
              <m:t>dig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$800 m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PEX breakdown for all four sites (1 ha, Scenario S0). PV CAPEX based on 1 419 modules \times 550 W_p \times $0.63 W_p^{-1}. AD CAPEX based on optimal V_{\text{dig}}^* \times $800 m^{-3}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Konya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Almería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Ouagadougou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Freiburg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 array (k$)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digester (k$)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Agricultural infra. (k$)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of plant (k$)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CAPEX (k$)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O&amp;M (k$ yr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</w:t>
            </w:r>
          </w:p>
        </w:tc>
      </w:tr>
    </w:tbl>
    <w:bookmarkEnd w:id="36"/>
    <w:p>
      <w:pPr>
        <w:pStyle w:val="BodyText"/>
      </w:pPr>
      <w:r>
        <w:t xml:space="preserve">Total CAPEX is near-identical across sites ($570–572 k ha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</w:t>
      </w:r>
      <w:r>
        <w:t xml:space="preserve"> </w:t>
      </w:r>
      <w:r>
        <w:t xml:space="preserve">because the number of modules (1 419) and the module unit cost</w:t>
      </w:r>
      <w:r>
        <w:t xml:space="preserve"> </w:t>
      </w:r>
      <w:r>
        <w:t xml:space="preserve">dominate the budget: PV accounts for 86% of total CAPEX. The AD</w:t>
      </w:r>
      <w:r>
        <w:t xml:space="preserve"> </w:t>
      </w:r>
      <w:r>
        <w:t xml:space="preserve">digester contributes only 0.4–0.6% of CAPEX, reflecting the</w:t>
      </w:r>
      <w:r>
        <w:t xml:space="preserve"> </w:t>
      </w:r>
      <w:r>
        <w:t xml:space="preserve">small optimal digester volumes (2.64–4.32 m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). The marginal</w:t>
      </w:r>
      <w:r>
        <w:t xml:space="preserve"> </w:t>
      </w:r>
      <w:r>
        <w:t xml:space="preserve">cost of adding an AD unit to an existing APV system is therefore</w:t>
      </w:r>
      <w:r>
        <w:t xml:space="preserve"> </w:t>
      </w:r>
      <w:r>
        <w:t xml:space="preserve">negligible relative to the PV investment, making the biogas revenue</w:t>
      </w:r>
      <w:r>
        <w:t xml:space="preserve"> </w:t>
      </w:r>
      <w:r>
        <w:t xml:space="preserve">stream a low-risk addition.</w:t>
      </w:r>
    </w:p>
    <w:bookmarkEnd w:id="37"/>
    <w:bookmarkStart w:id="43" w:name="investment-metrics-e2"/>
    <w:p>
      <w:pPr>
        <w:pStyle w:val="Heading3"/>
      </w:pPr>
      <w:r>
        <w:t xml:space="preserve">Investment Metrics (E2)</w:t>
      </w:r>
    </w:p>
    <w:bookmarkStart w:id="38" w:name="tab:economics"/>
    <w:p>
      <w:pPr>
        <w:pStyle w:val="TableCaption"/>
      </w:pPr>
      <w:r>
        <w:t xml:space="preserve">Investment metrics for Scenarios S0 (baseline) and S6</w:t>
      </w:r>
      <w:r>
        <w:t xml:space="preserve"> </w:t>
      </w:r>
      <w:r>
        <w:t xml:space="preserve">(carbon credit) at all four sites. NPV computed at site-specific</w:t>
      </w:r>
      <w:r>
        <w:t xml:space="preserve"> </w:t>
      </w:r>
      <w:r>
        <w:t xml:space="preserve">discount rates over 20-year project life. IRR solved by bisection.</w:t>
      </w:r>
      <w:r>
        <w:t xml:space="preserve"> </w:t>
      </w:r>
      <w:r>
        <w:t xml:space="preserve">LCOE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 </w:t>
      </w:r>
      <w:r>
        <w:t xml:space="preserve">uses PV CAPEX and annual PV sold.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vestment metrics for Scenarios S0 (baseline) and S6 (carbon credit) at all four sites. NPV computed at site-specific discount rates over 20-year project life. IRR solved by bisection. LCOE_{\text{PV}} uses PV CAPEX and annual PV sold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Konya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Almería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Ouagadougou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Freiburg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revenue (k$ yr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Net CF (k$ yr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NPV (k$)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IRR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Payback (yr)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CF (k$ yr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NPV (k$)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IRR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Payback (yr)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</w:t>
            </w:r>
          </w:p>
        </w:tc>
      </w:tr>
    </w:tbl>
    <w:bookmarkEnd w:id="38"/>
    <w:p>
      <w:pPr>
        <w:pStyle w:val="BodyText"/>
      </w:pPr>
      <w:r>
        <w:t xml:space="preserve">Four economic findings are noteworthy.</w:t>
      </w:r>
    </w:p>
    <w:p>
      <w:pPr>
        <w:pStyle w:val="BodyText"/>
      </w:pPr>
      <w:r>
        <w:rPr>
          <w:b/>
          <w:bCs/>
        </w:rPr>
        <w:t xml:space="preserve">Ouagadougou offers the most favorable investment case among the four sites.</w:t>
      </w:r>
      <w:r>
        <w:t xml:space="preserve"> </w:t>
      </w:r>
      <w:r>
        <w:t xml:space="preserve">Under S0, Ouagadougou achieves IRR = 28.1% and payback = 3.5 yr,</w:t>
      </w:r>
      <w:r>
        <w:t xml:space="preserve"> </w:t>
      </w:r>
      <w:r>
        <w:t xml:space="preserve">driven by the combination of the highest electricity price</w:t>
      </w:r>
      <w:r>
        <w:t xml:space="preserve"> </w:t>
      </w:r>
      <w:r>
        <w:t xml:space="preserve">($0.12 kWh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 the highest PV output (1 433 MWh ha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</w:t>
      </w:r>
      <w:r>
        <w:t xml:space="preserve"> </w:t>
      </w:r>
      <w:r>
        <w:t xml:space="preserve">and the highest biogas yield (5.98 MWh ha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 The IRR exceeds</w:t>
      </w:r>
      <w:r>
        <w:t xml:space="preserve"> </w:t>
      </w:r>
      <w:r>
        <w:t xml:space="preserve">the site discount rate (10%) by 18.1 percentage points, providing</w:t>
      </w:r>
      <w:r>
        <w:t xml:space="preserve"> </w:t>
      </w:r>
      <w:r>
        <w:t xml:space="preserve">a large investment margin.</w:t>
      </w:r>
    </w:p>
    <w:p>
      <w:pPr>
        <w:pStyle w:val="BodyText"/>
      </w:pPr>
      <w:r>
        <w:rPr>
          <w:b/>
          <w:bCs/>
        </w:rPr>
        <w:t xml:space="preserve">Konya is marginal but viable under S0.</w:t>
      </w:r>
      <w:r>
        <w:t xml:space="preserve"> </w:t>
      </w:r>
      <w:r>
        <w:t xml:space="preserve">IRR = 11.0% exceeds the 8% discount rate by only 3.0 percentage</w:t>
      </w:r>
      <w:r>
        <w:t xml:space="preserve"> </w:t>
      </w:r>
      <w:r>
        <w:t xml:space="preserve">points, and NPV = 134 k$ is the lowest of the four sites. The</w:t>
      </w:r>
      <w:r>
        <w:t xml:space="preserve"> </w:t>
      </w:r>
      <w:r>
        <w:t xml:space="preserve">primary constraint is the low electricity tariff</w:t>
      </w:r>
      <w:r>
        <w:t xml:space="preserve"> </w:t>
      </w:r>
      <w:r>
        <w:t xml:space="preserve">($0.06 kWh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 which limits PV revenue despite the</w:t>
      </w:r>
      <w:r>
        <w:t xml:space="preserve"> </w:t>
      </w:r>
      <w:r>
        <w:t xml:space="preserve">competitive PV output (1 295 MWh ha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S6 (carbon credit) is the highest-IRR economic scenario</w:t>
      </w:r>
      <w:r>
        <w:rPr>
          <w:b/>
          <w:bCs/>
        </w:rPr>
        <w:t xml:space="preserve"> </w:t>
      </w:r>
      <w:r>
        <w:rPr>
          <w:b/>
          <w:bCs/>
        </w:rPr>
        <w:t xml:space="preserve">at all sites.</w:t>
      </w:r>
      <w:r>
        <w:t xml:space="preserve"> </w:t>
      </w:r>
      <w:r>
        <w:t xml:space="preserve">S6 raises IRR by 1.7–4.6 percentage points above</w:t>
      </w:r>
      <w:r>
        <w:t xml:space="preserve"> </w:t>
      </w:r>
      <w:r>
        <w:t xml:space="preserve">S0, with the largest absolute improvement at Freiburg</w:t>
      </w:r>
      <w:r>
        <w:t xml:space="preserve"> </w:t>
      </w:r>
      <w:r>
        <w:t xml:space="preserve">(+4.6 pp, from 13.0% to 17.6%) driven by the high EU ETS</w:t>
      </w:r>
      <w:r>
        <w:t xml:space="preserve"> </w:t>
      </w:r>
      <w:r>
        <w:t xml:space="preserve">carbon price ($65 tCO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 and the large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avoidance</w:t>
      </w:r>
      <w:r>
        <w:t xml:space="preserve"> </w:t>
      </w:r>
      <w:r>
        <w:t xml:space="preserve">from displacing Germany’s carbon-intensive grid</w:t>
      </w:r>
      <w:r>
        <w:t xml:space="preserve"> </w:t>
      </w:r>
      <w:r>
        <w:t xml:space="preserve">(EF = 0.380 tCO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 MWh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 Figure </w:t>
      </w:r>
      <w:hyperlink w:anchor="fig:scenario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shows the full scenario comparison.</w:t>
      </w:r>
    </w:p>
    <w:p>
      <w:pPr>
        <w:pStyle w:val="BodyText"/>
      </w:pPr>
      <w:r>
        <w:rPr>
          <w:b/>
          <w:bCs/>
        </w:rPr>
        <w:t xml:space="preserve">LCOE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at or below the utility-scale</w:t>
      </w:r>
      <w:r>
        <w:rPr>
          <w:b/>
          <w:bCs/>
        </w:rPr>
        <w:t xml:space="preserve"> </w:t>
      </w:r>
      <w:r>
        <w:rPr>
          <w:b/>
          <w:bCs/>
        </w:rPr>
        <w:t xml:space="preserve">benchmark at every site.</w:t>
      </w:r>
      <w:r>
        <w:t xml:space="preserve"> </w:t>
      </w:r>
      <w:r>
        <w:t xml:space="preserve">As shown in the E3 panel of</w:t>
      </w:r>
      <w:r>
        <w:t xml:space="preserve"> </w:t>
      </w:r>
      <w:r>
        <w:t xml:space="preserve">Figure </w:t>
      </w:r>
      <w:hyperlink w:anchor="fig:4e">
        <w:r>
          <w:rPr>
            <w:rStyle w:val="Hyperlink"/>
          </w:rPr>
          <w:t xml:space="preserve">5</w:t>
        </w:r>
      </w:hyperlink>
      <w:r>
        <w:t xml:space="preserve">, LCOE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PV</m:t>
            </m:r>
          </m:sub>
        </m:sSub>
      </m:oMath>
      <w:r>
        <w:t xml:space="preserve"> </w:t>
      </w:r>
      <w:r>
        <w:t xml:space="preserve">ranges from</w:t>
      </w:r>
      <w:r>
        <w:t xml:space="preserve"> </w:t>
      </w:r>
      <w:r>
        <w:t xml:space="preserve">$0.038 kWh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(Almería) to $0.049 kWh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(Freiburg), against the IRENA 2023 global utility-scale solar</w:t>
      </w:r>
      <w:r>
        <w:t xml:space="preserve"> </w:t>
      </w:r>
      <w:r>
        <w:t xml:space="preserve">benchmark of $0.049 kWh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Almería is 22% below the</w:t>
      </w:r>
      <w:r>
        <w:t xml:space="preserve"> </w:t>
      </w:r>
      <w:r>
        <w:t xml:space="preserve">benchmark; Konya ($0.047 kWh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and Ouagadougou</w:t>
      </w:r>
      <w:r>
        <w:t xml:space="preserve"> </w:t>
      </w:r>
      <w:r>
        <w:t xml:space="preserve">($0.048 kWh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are 2–4% below it; and Freiburg sits</w:t>
      </w:r>
      <w:r>
        <w:t xml:space="preserve"> </w:t>
      </w:r>
      <w:r>
        <w:t xml:space="preserve">essentially at parity with it. No site exceeds the benchmark. This</w:t>
      </w:r>
      <w:r>
        <w:t xml:space="preserve"> </w:t>
      </w:r>
      <w:r>
        <w:t xml:space="preserve">holds both before and after the model corrections described in</w:t>
      </w:r>
      <w:r>
        <w:t xml:space="preserve"> </w:t>
      </w:r>
      <w:r>
        <w:t xml:space="preserve">Section </w:t>
      </w:r>
      <w:hyperlink w:anchor="sec:discussion">
        <w:r>
          <w:rPr>
            <w:rStyle w:val="Hyperlink"/>
          </w:rPr>
          <w:t xml:space="preserve">[sec:discussion]</w:t>
        </w:r>
      </w:hyperlink>
      <w:r>
        <w:t xml:space="preserve">: all four sites were already at or</w:t>
      </w:r>
      <w:r>
        <w:t xml:space="preserve"> </w:t>
      </w:r>
      <w:r>
        <w:t xml:space="preserve">below $0.049 kWh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under the earlier version of the model as</w:t>
      </w:r>
      <w:r>
        <w:t xml:space="preserve"> </w:t>
      </w:r>
      <w:r>
        <w:t xml:space="preserve">well, so the qualitative conclusion — APV LCOE is competitive with</w:t>
      </w:r>
      <w:r>
        <w:t xml:space="preserve"> </w:t>
      </w:r>
      <w:r>
        <w:t xml:space="preserve">utility-scale ground-mount despite the 40% elevated-structure CAPEX</w:t>
      </w:r>
      <w:r>
        <w:t xml:space="preserve"> </w:t>
      </w:r>
      <w:r>
        <w:t xml:space="preserve">premium — is unaffected by the corrections. The absolute values</w:t>
      </w:r>
      <w:r>
        <w:t xml:space="preserve"> </w:t>
      </w:r>
      <w:r>
        <w:t xml:space="preserve">shifted modestly higher (Almería: $0.034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$0.038 kWh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 Freiburg: $0.045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$0.049 kWh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</w:t>
      </w:r>
      <w:r>
        <w:t xml:space="preserve"> </w:t>
      </w:r>
      <w:r>
        <w:t xml:space="preserve">following the corrected solar-position and transposition models.</w:t>
      </w:r>
    </w:p>
    <w:bookmarkStart w:id="42" w:name="fig:scenarios"/>
    <w:p>
      <w:pPr>
        <w:pStyle w:val="CaptionedFigure"/>
      </w:pPr>
      <w:r>
        <w:drawing>
          <wp:inline>
            <wp:extent cx="5334000" cy="226736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fig07_scenario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Scenario economics for all four sites. Left panel: NPV (k$)</w:t>
      </w:r>
      <w:r>
        <w:t xml:space="preserve"> </w:t>
      </w:r>
      <w:r>
        <w:t xml:space="preserve">for Scenarios S0–S6. Right panel: IRR (%) for Scenarios S0–S6,</w:t>
      </w:r>
      <w:r>
        <w:t xml:space="preserve"> </w:t>
      </w:r>
      <w:r>
        <w:t xml:space="preserve">with dotted horizontal lines indicating site-specific discount rates.</w:t>
      </w:r>
      <w:r>
        <w:t xml:space="preserve"> </w:t>
      </w:r>
      <w:r>
        <w:t xml:space="preserve">S6 (carbon credit, starred) is the highest-IRR scenario at all sites.</w:t>
      </w:r>
    </w:p>
    <w:bookmarkEnd w:id="42"/>
    <w:bookmarkEnd w:id="43"/>
    <w:bookmarkStart w:id="44" w:name="environmental-performance-e4"/>
    <w:p>
      <w:pPr>
        <w:pStyle w:val="Heading3"/>
      </w:pPr>
      <w:r>
        <w:t xml:space="preserve">Environmental Performance (E4)</w:t>
      </w:r>
    </w:p>
    <w:p>
      <w:pPr>
        <w:pStyle w:val="FirstParagraph"/>
      </w:pPr>
      <w:r>
        <w:t xml:space="preserve">Annual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avoidance ranges from</w:t>
      </w:r>
      <w:r>
        <w:t xml:space="preserve"> </w:t>
      </w:r>
      <w:r>
        <w:t xml:space="preserve">221 tCO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(Almería) to</w:t>
      </w:r>
      <w:r>
        <w:t xml:space="preserve"> </w:t>
      </w:r>
      <w:r>
        <w:t xml:space="preserve">861 tCO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(Ouagadougou), driven primarily by the</w:t>
      </w:r>
      <w:r>
        <w:t xml:space="preserve"> </w:t>
      </w:r>
      <w:r>
        <w:t xml:space="preserve">grid emission factor of the displacement context. Ouagadougou’s</w:t>
      </w:r>
      <w:r>
        <w:t xml:space="preserve"> </w:t>
      </w:r>
      <w:r>
        <w:t xml:space="preserve">diesel-dominated grid (EF = 0.632 tCO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 MWh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combined</w:t>
      </w:r>
      <w:r>
        <w:t xml:space="preserve"> </w:t>
      </w:r>
      <w:r>
        <w:t xml:space="preserve">with the highest PV output (1 361 MWh ha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sold) produces</w:t>
      </w:r>
      <w:r>
        <w:t xml:space="preserve"> </w:t>
      </w:r>
      <w:r>
        <w:t xml:space="preserve">the largest absolute avoidance. Almería’s already low-carbon</w:t>
      </w:r>
      <w:r>
        <w:t xml:space="preserve"> </w:t>
      </w:r>
      <w:r>
        <w:t xml:space="preserve">Spanish grid (EF = 0.167 tCO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 MWh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limits avoidance</w:t>
      </w:r>
      <w:r>
        <w:t xml:space="preserve"> </w:t>
      </w:r>
      <w:r>
        <w:t xml:space="preserve">despite competitive PV output. The carbon credit value — the</w:t>
      </w:r>
      <w:r>
        <w:t xml:space="preserve"> </w:t>
      </w:r>
      <w:r>
        <w:t xml:space="preserve">monetary expression of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avoidance under site-specific carbon</w:t>
      </w:r>
      <w:r>
        <w:t xml:space="preserve"> </w:t>
      </w:r>
      <w:r>
        <w:t xml:space="preserve">prices — is highest at Freiburg ($23 532 ha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 yr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</w:t>
      </w:r>
      <w:r>
        <w:t xml:space="preserve"> </w:t>
      </w:r>
      <w:r>
        <w:t xml:space="preserve">where the EU ETS price ($65 tCO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 amplifies the moderate</w:t>
      </w:r>
      <w:r>
        <w:t xml:space="preserve"> </w:t>
      </w:r>
      <w:r>
        <w:t xml:space="preserve">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avoidance (362 tCO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into the largest</w:t>
      </w:r>
      <w:r>
        <w:t xml:space="preserve"> </w:t>
      </w:r>
      <w:r>
        <w:t xml:space="preserve">financial environmental benefit of the four sites. This explains</w:t>
      </w:r>
      <w:r>
        <w:t xml:space="preserve"> </w:t>
      </w:r>
      <w:r>
        <w:t xml:space="preserve">why S6 provides the largest absolute NPV improvement at Freiburg</w:t>
      </w:r>
      <w:r>
        <w:t xml:space="preserve"> </w:t>
      </w:r>
      <w:r>
        <w:t xml:space="preserve">(+$293 k vs. S0).</w:t>
      </w:r>
    </w:p>
    <w:bookmarkEnd w:id="44"/>
    <w:bookmarkEnd w:id="45"/>
    <w:bookmarkStart w:id="51" w:name="sec:results_water"/>
    <w:p>
      <w:pPr>
        <w:pStyle w:val="Heading2"/>
      </w:pPr>
      <w:r>
        <w:t xml:space="preserve">Water Savings and LER</w:t>
      </w:r>
      <w:r>
        <w:rPr>
          <w:vertAlign w:val="subscript"/>
        </w:rPr>
        <w:t xml:space="preserve">water</w:t>
      </w:r>
    </w:p>
    <w:p>
      <w:pPr>
        <w:pStyle w:val="FirstParagraph"/>
      </w:pPr>
      <w:r>
        <w:t xml:space="preserve">Table </w:t>
      </w:r>
      <w:hyperlink w:anchor="tab:water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reports growing-season water savings</w:t>
      </w:r>
      <w:r>
        <w:t xml:space="preserve"> </w:t>
      </w:r>
      <w:r>
        <w:t xml:space="preserve">and the corrected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for all four sites.</w:t>
      </w:r>
      <w:r>
        <w:t xml:space="preserve"> </w:t>
      </w:r>
      <w:r>
        <w:t xml:space="preserve">Figure </w:t>
      </w:r>
      <w:hyperlink w:anchor="fig:water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compares the corrected growing-season metric</w:t>
      </w:r>
      <w:r>
        <w:t xml:space="preserve"> </w:t>
      </w:r>
      <w:r>
        <w:t xml:space="preserve">against the erroneous annual-denominator value used in prior studies.</w:t>
      </w:r>
    </w:p>
    <w:bookmarkStart w:id="46" w:name="tab:water"/>
    <w:p>
      <w:pPr>
        <w:pStyle w:val="TableCaption"/>
      </w:pPr>
      <w:r>
        <w:t xml:space="preserve">Growing-season water savings and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for all four sites at the optimised design. The annual-denominator</w:t>
      </w:r>
      <w:r>
        <w:t xml:space="preserve"> </w:t>
      </w:r>
      <w:r>
        <w:t xml:space="preserve">value is reported for literature comparison only and should not</w:t>
      </w:r>
      <w:r>
        <w:t xml:space="preserve"> </w:t>
      </w:r>
      <w:r>
        <w:t xml:space="preserve">be used as an agronomic indicator.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rowing-season water savings and LER_{\text{water}} for all four sites at the optimised design. The annual-denominator value is reported for literature comparison only and should not be used as an agronomic indicator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Konya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Almería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Ouagadougou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Freiburg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saved</m:t>
                  </m:r>
                </m:sub>
              </m:sSub>
            </m:oMath>
            <w:r>
              <w:t xml:space="preserve"> </w:t>
            </w:r>
            <w:r>
              <w:t xml:space="preserve">(mm season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</w:t>
            </w:r>
            <m:oMath>
              <m:sSub>
                <m:e>
                  <m:r>
                    <m:t>​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season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</w:t>
            </w:r>
            <m:oMath>
              <m:sSub>
                <m:e>
                  <m:r>
                    <m:t>​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annual (mm)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1 151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1 839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water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season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water</m:t>
                  </m:r>
                </m:sub>
              </m:sSub>
            </m:oMath>
            <w:r>
              <w:t xml:space="preserve"> </w:t>
            </w:r>
            <w:r>
              <w:t xml:space="preserve">annual (%) [ref.]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Correction 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1.3</w:t>
            </w:r>
            <m:oMath>
              <m:r>
                <m:rPr>
                  <m:sty m:val="p"/>
                </m:rPr>
                <m:t>×</m:t>
              </m:r>
            </m:oMath>
          </w:p>
        </w:tc>
      </w:tr>
    </w:tbl>
    <w:bookmarkEnd w:id="46"/>
    <w:bookmarkStart w:id="50" w:name="fig:water"/>
    <w:p>
      <w:pPr>
        <w:pStyle w:val="CaptionedFigure"/>
      </w:pPr>
      <w:r>
        <w:drawing>
          <wp:inline>
            <wp:extent cx="5334000" cy="189622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fig08_wate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Water savings analysis for all four sites. Left panel:</w:t>
      </w:r>
      <w:r>
        <w:t xml:space="preserve"> </w:t>
      </w:r>
      <w:r>
        <w:t xml:space="preserve">absolute growing-season water savings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saved</m:t>
            </m:r>
          </m:sub>
        </m:sSub>
      </m:oMath>
      <w:r>
        <w:t xml:space="preserve"> </w:t>
      </w:r>
      <w:r>
        <w:t xml:space="preserve">(mm season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bars) against seasonal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(mm, secondary</w:t>
      </w:r>
      <w:r>
        <w:t xml:space="preserve"> </w:t>
      </w:r>
      <w:r>
        <w:t xml:space="preserve">bars). Right panel: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computed with the corrected</w:t>
      </w:r>
      <w:r>
        <w:t xml:space="preserve"> </w:t>
      </w:r>
      <w:r>
        <w:t xml:space="preserve">growing-season denominator (solid bars) versus the erroneous</w:t>
      </w:r>
      <w:r>
        <w:t xml:space="preserve"> </w:t>
      </w:r>
      <w:r>
        <w:t xml:space="preserve">annual-denominator value (hatched bars). The correction factor</w:t>
      </w:r>
      <w:r>
        <w:t xml:space="preserve"> </w:t>
      </w:r>
      <w:r>
        <w:t xml:space="preserve">ranges from 1.3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(Konya) to 3.5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(Ouagadougou).</w:t>
      </w:r>
    </w:p>
    <w:bookmarkEnd w:id="50"/>
    <w:p>
      <w:pPr>
        <w:pStyle w:val="BodyText"/>
      </w:pPr>
      <w:r>
        <w:rPr>
          <w:b/>
          <w:bCs/>
        </w:rPr>
        <w:t xml:space="preserve">Absolute water savings are largest at Konya.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saved</m:t>
            </m:r>
          </m:sub>
        </m:sSub>
        <m:r>
          <m:rPr>
            <m:sty m:val="p"/>
          </m:rPr>
          <m:t>=</m:t>
        </m:r>
        <m:r>
          <m:t>159</m:t>
        </m:r>
        <m:r>
          <m:t> </m:t>
        </m:r>
        <m:r>
          <m:t>m</m:t>
        </m:r>
        <m:r>
          <m:t>m</m:t>
        </m:r>
        <m:r>
          <m:t> </m:t>
        </m:r>
        <m:r>
          <m:t>s</m:t>
        </m:r>
        <m:r>
          <m:t>e</m:t>
        </m:r>
        <m:r>
          <m:t>a</m:t>
        </m:r>
        <m:r>
          <m:t>s</m:t>
        </m:r>
        <m:r>
          <m:t>o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Konya, compared</w:t>
      </w:r>
      <w:r>
        <w:t xml:space="preserve"> </w:t>
      </w:r>
      <w:r>
        <w:t xml:space="preserve">to 81–114 mm at the other three sites. This reflects Konya’s</w:t>
      </w:r>
      <w:r>
        <w:t xml:space="preserve"> </w:t>
      </w:r>
      <w:r>
        <w:t xml:space="preserve">longer growing season (189 days vs. 122–167 days at the other</w:t>
      </w:r>
      <w:r>
        <w:t xml:space="preserve"> </w:t>
      </w:r>
      <w:r>
        <w:t xml:space="preserve">sites), which provides more hours of shading-induced ET reduction.</w:t>
      </w:r>
      <w:r>
        <w:t xml:space="preserve"> </w:t>
      </w:r>
      <w:r>
        <w:t xml:space="preserve">Analytically,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saved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rPr>
                <m:nor/>
                <m:sty m:val="p"/>
              </m:rPr>
              <m:t>shade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b>
          <m:sup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p>
          <m:e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shad</m:t>
                </m:r>
              </m:sub>
            </m:sSub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E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: a longer season</w:t>
      </w:r>
      <w:r>
        <w:t xml:space="preserve"> </w:t>
      </w:r>
      <w:r>
        <w:t xml:space="preserve">integrates more shading hours even at the same hourly shading fraction.</w:t>
      </w:r>
    </w:p>
    <w:p>
      <w:pPr>
        <w:pStyle w:val="BodyText"/>
      </w:pPr>
      <w:r>
        <w:rPr>
          <w:b/>
          <w:bCs/>
        </w:rPr>
        <w:t xml:space="preserve">Relative water savings (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rPr>
          <w:b/>
          <w:bCs/>
        </w:rPr>
        <w:t xml:space="preserve">) are largest</w:t>
      </w:r>
      <w:r>
        <w:rPr>
          <w:b/>
          <w:bCs/>
        </w:rPr>
        <w:t xml:space="preserve"> </w:t>
      </w:r>
      <w:r>
        <w:rPr>
          <w:b/>
          <w:bCs/>
        </w:rPr>
        <w:t xml:space="preserve">at Freiburg.</w:t>
      </w:r>
      <w:r>
        <w:t xml:space="preserve"> </w:t>
      </w:r>
      <w:r>
        <w:t xml:space="preserve">Freiburg achieves the highest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(22.4%) despite</w:t>
      </w:r>
      <w:r>
        <w:t xml:space="preserve"> </w:t>
      </w:r>
      <w:r>
        <w:t xml:space="preserve">having neither the largest absolute savings (114 mm season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second to Konya) nor the smallest seasonal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denominator</w:t>
      </w:r>
      <w:r>
        <w:t xml:space="preserve"> </w:t>
      </w:r>
      <w:r>
        <w:t xml:space="preserve">(509 mm, second-smallest to Almería at 466 mm).</w:t>
      </w:r>
      <w:r>
        <w:t xml:space="preserve"> </w:t>
      </w:r>
      <w:r>
        <w:t xml:space="preserve">The result instead reflects the timing overlap between shading and</w:t>
      </w:r>
      <w:r>
        <w:t xml:space="preserve"> </w:t>
      </w:r>
      <w:r>
        <w:t xml:space="preserve">water demand: at Freiburg’s higher latitude, the optimal tilt</w:t>
      </w:r>
      <w:r>
        <w:t xml:space="preserve"> </w:t>
      </w:r>
      <w:r>
        <w:t xml:space="preserve">(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23.1</m:t>
        </m:r>
      </m:oMath>
      <w:r>
        <w:t xml:space="preserve">°, the steepest of the four sites) produces an</w:t>
      </w:r>
      <w:r>
        <w:t xml:space="preserve"> </w:t>
      </w:r>
      <w:r>
        <w:t xml:space="preserve">inter-row shading pattern that coincides more closely with the</w:t>
      </w:r>
      <w:r>
        <w:t xml:space="preserve"> </w:t>
      </w:r>
      <w:r>
        <w:t xml:space="preserve">site’s highest-ET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hours than at the other three sites, despite</w:t>
      </w:r>
      <w:r>
        <w:t xml:space="preserve"> </w:t>
      </w:r>
      <w:r>
        <w:t xml:space="preserve">Freiburg’s GCR (69.2%) being the lowest, not the highest, of the</w:t>
      </w:r>
      <w:r>
        <w:t xml:space="preserve"> </w:t>
      </w:r>
      <w:r>
        <w:t xml:space="preserve">four designs. A full decomposition of this timing effect is left</w:t>
      </w:r>
      <w:r>
        <w:t xml:space="preserve"> </w:t>
      </w:r>
      <w:r>
        <w:t xml:space="preserve">for future work; the present result should be read as an emergent</w:t>
      </w:r>
      <w:r>
        <w:t xml:space="preserve"> </w:t>
      </w:r>
      <w:r>
        <w:t xml:space="preserve">property of the coupled solar-geometry and climate data rather than</w:t>
      </w:r>
      <w:r>
        <w:t xml:space="preserve"> </w:t>
      </w:r>
      <w:r>
        <w:t xml:space="preserve">a simple function of GCR alone.</w:t>
      </w:r>
    </w:p>
    <w:p>
      <w:pPr>
        <w:pStyle w:val="BodyText"/>
      </w:pPr>
      <w:r>
        <w:rPr>
          <w:b/>
          <w:bCs/>
        </w:rPr>
        <w:t xml:space="preserve">The denominator correction is largest at Ouagadougou.</w:t>
      </w:r>
      <w:r>
        <w:t xml:space="preserve"> </w:t>
      </w:r>
      <w:r>
        <w:t xml:space="preserve">The annual-denominator value for Ouagadougou is only 4.4%,</w:t>
      </w:r>
      <w:r>
        <w:t xml:space="preserve"> </w:t>
      </w:r>
      <w:r>
        <w:t xml:space="preserve">compared to the corrected seasonal value of 15.6% — a correction</w:t>
      </w:r>
      <w:r>
        <w:t xml:space="preserve"> </w:t>
      </w:r>
      <w:r>
        <w:t xml:space="preserve">factor of 3.5</w:t>
      </w:r>
      <m:oMath>
        <m:r>
          <m:rPr>
            <m:sty m:val="p"/>
          </m:rPr>
          <m:t>×</m:t>
        </m:r>
      </m:oMath>
      <w:r>
        <w:t xml:space="preserve">. This extreme underestimation arises because</w:t>
      </w:r>
      <w:r>
        <w:t xml:space="preserve"> </w:t>
      </w:r>
      <w:r>
        <w:t xml:space="preserve">Ouagadougou has a very short growing season (122 days) relative</w:t>
      </w:r>
      <w:r>
        <w:t xml:space="preserve"> </w:t>
      </w:r>
      <w:r>
        <w:t xml:space="preserve">to a high annual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(1839 mm   yr</w:t>
      </w:r>
      <w:r>
        <w:rPr>
          <w:vertAlign w:val="superscript"/>
        </w:rPr>
        <w:t xml:space="preserve">−1</w:t>
      </w:r>
      <w:r>
        <w:t xml:space="preserve">): the annual</w:t>
      </w:r>
      <w:r>
        <w:t xml:space="preserve"> </w:t>
      </w:r>
      <w:r>
        <w:t xml:space="preserve">denominator dilutes the growing-season savings by a factor of</w:t>
      </w:r>
      <w:r>
        <w:t xml:space="preserve"> </w:t>
      </w:r>
      <m:oMath>
        <m:r>
          <m:t>365</m:t>
        </m:r>
        <m:r>
          <m:rPr>
            <m:sty m:val="p"/>
          </m:rPr>
          <m:t>/</m:t>
        </m:r>
        <m:r>
          <m:t>122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E</m:t>
        </m:r>
        <m:sSub>
          <m:e>
            <m:r>
              <m:t>T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annual</m:t>
            </m:r>
          </m:sub>
        </m:sSub>
        <m:r>
          <m:rPr>
            <m:sty m:val="p"/>
          </m:rPr>
          <m:t>/</m:t>
        </m:r>
        <m:r>
          <m:t>E</m:t>
        </m:r>
        <m:sSub>
          <m:e>
            <m:r>
              <m:t>T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season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r>
          <m:t>1.2</m:t>
        </m:r>
        <m:r>
          <m:rPr>
            <m:sty m:val="p"/>
          </m:rPr>
          <m:t>=</m:t>
        </m:r>
        <m:r>
          <m:t>3.5</m:t>
        </m:r>
      </m:oMath>
      <w:r>
        <w:t xml:space="preserve">. This correction is agronomically significant:</w:t>
      </w:r>
      <w:r>
        <w:t xml:space="preserve"> </w:t>
      </w:r>
      <w:r>
        <w:t xml:space="preserve">a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of 4.4% does not justify irrigation</w:t>
      </w:r>
      <w:r>
        <w:t xml:space="preserve"> </w:t>
      </w:r>
      <w:r>
        <w:t xml:space="preserve">infrastructure investment, while 15.6% represents a meaningful</w:t>
      </w:r>
      <w:r>
        <w:t xml:space="preserve"> </w:t>
      </w:r>
      <w:r>
        <w:t xml:space="preserve">contribution to food security in a water-stressed smallholder</w:t>
      </w:r>
      <w:r>
        <w:t xml:space="preserve"> </w:t>
      </w:r>
      <w:r>
        <w:t xml:space="preserve">context. Reporting the uncorrected value systematically</w:t>
      </w:r>
      <w:r>
        <w:t xml:space="preserve"> </w:t>
      </w:r>
      <w:r>
        <w:t xml:space="preserve">misrepresents the water benefit of APV deployment in</w:t>
      </w:r>
      <w:r>
        <w:t xml:space="preserve"> </w:t>
      </w:r>
      <w:r>
        <w:t xml:space="preserve">Sub-Saharan Africa.</w:t>
      </w:r>
    </w:p>
    <w:p>
      <w:pPr>
        <w:pStyle w:val="BodyText"/>
      </w:pPr>
      <w:r>
        <w:rPr>
          <w:b/>
          <w:bCs/>
        </w:rPr>
        <w:t xml:space="preserve">Practical interpretation.</w:t>
      </w:r>
      <w:r>
        <w:t xml:space="preserve"> </w:t>
      </w:r>
      <w:r>
        <w:t xml:space="preserve">At the optimised GCR of 69–72%,</w:t>
      </w:r>
      <w:r>
        <w:t xml:space="preserve"> </w:t>
      </w:r>
      <w:r>
        <w:t xml:space="preserve">the APV system saves 81–159 mm of irrigation water per growing</w:t>
      </w:r>
      <w:r>
        <w:t xml:space="preserve"> </w:t>
      </w:r>
      <w:r>
        <w:t xml:space="preserve">season across the four sites. For a smallholder operating under</w:t>
      </w:r>
      <w:r>
        <w:t xml:space="preserve"> </w:t>
      </w:r>
      <w:r>
        <w:t xml:space="preserve">water scarcity, this is equivalent to 810–1 590 m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 ha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 irrigation water — a quantity sufficient to extend the growing</w:t>
      </w:r>
      <w:r>
        <w:t xml:space="preserve"> </w:t>
      </w:r>
      <w:r>
        <w:t xml:space="preserve">season by roughly 2–4 weeks at typical semi-arid ET</w:t>
      </w:r>
      <m:oMath>
        <m:sSub>
          <m:e>
            <m:r>
              <m:t>​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rates of</w:t>
      </w:r>
      <w:r>
        <w:t xml:space="preserve"> </w:t>
      </w:r>
      <w:r>
        <w:t xml:space="preserve">3–5 mm day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or to cultivate an additional 16–22% of</w:t>
      </w:r>
      <w:r>
        <w:t xml:space="preserve"> </w:t>
      </w:r>
      <w:r>
        <w:t xml:space="preserve">land area with the saved water.</w:t>
      </w:r>
    </w:p>
    <w:bookmarkEnd w:id="51"/>
    <w:bookmarkStart w:id="61" w:name="sec:validation"/>
    <w:p>
      <w:pPr>
        <w:pStyle w:val="Heading2"/>
      </w:pPr>
      <w:r>
        <w:t xml:space="preserve">Model Validation</w:t>
      </w:r>
    </w:p>
    <w:p>
      <w:pPr>
        <w:pStyle w:val="FirstParagraph"/>
      </w:pPr>
      <w:r>
        <w:t xml:space="preserve">Two component-level validations against independent</w:t>
      </w:r>
      <w:r>
        <w:t xml:space="preserve"> </w:t>
      </w:r>
      <w:r>
        <w:t xml:space="preserve">literature datasets (V1 and V2), plus an external validation of the</w:t>
      </w:r>
      <w:r>
        <w:t xml:space="preserve"> </w:t>
      </w:r>
      <w:r>
        <w:t xml:space="preserve">POA irradiance model against an independently maintained solar</w:t>
      </w:r>
      <w:r>
        <w:t xml:space="preserve"> </w:t>
      </w:r>
      <w:r>
        <w:t xml:space="preserve">modelling library (V3), were performed</w:t>
      </w:r>
      <w:r>
        <w:t xml:space="preserve"> </w:t>
      </w:r>
      <w:r>
        <w:t xml:space="preserve">to assess model accuracy and characterise the direction of bias.</w:t>
      </w:r>
      <w:r>
        <w:t xml:space="preserve"> </w:t>
      </w:r>
      <w:r>
        <w:t xml:space="preserve">Figure </w:t>
      </w:r>
      <w:hyperlink w:anchor="fig:validation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presents both validations side by side.</w:t>
      </w:r>
    </w:p>
    <w:bookmarkStart w:id="55" w:name="fig:validation"/>
    <w:p>
      <w:pPr>
        <w:pStyle w:val="CaptionedFigure"/>
      </w:pPr>
      <w:r>
        <w:drawing>
          <wp:inline>
            <wp:extent cx="5334000" cy="189109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ures/fig09_validati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validation. Left panel (V1): modelled vs. observed</w:t>
      </w:r>
      <w:r>
        <w:t xml:space="preserve"> </w:t>
      </w:r>
      <w:r>
        <w:t xml:space="preserve">relative crop yield ratio at six shading fraction levels</w:t>
      </w:r>
      <w:r>
        <w:t xml:space="preserve"> </w:t>
      </w:r>
      <w:r>
        <w:t xml:space="preserve">. The 1:1 line is shown dashed. Right panel</w:t>
      </w:r>
      <w:r>
        <w:t xml:space="preserve"> </w:t>
      </w:r>
      <w:r>
        <w:t xml:space="preserve">(V2): modelled vs. observed BMP temperature response at six</w:t>
      </w:r>
      <w:r>
        <w:t xml:space="preserve"> </w:t>
      </w:r>
      <w:r>
        <w:t xml:space="preserve">temperature points</w:t>
      </w:r>
      <w:r>
        <w:t xml:space="preserve"> </w:t>
      </w:r>
      <w:r>
        <w:t xml:space="preserve">. The mesophilic reference</w:t>
      </w:r>
      <w:r>
        <w:t xml:space="preserve"> </w:t>
      </w:r>
      <w:r>
        <w:t xml:space="preserve">temperature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=</m:t>
        </m:r>
        <m:r>
          <m:t>37</m:t>
        </m:r>
        <m:r>
          <m:t> </m:t>
        </m:r>
        <m:r>
          <m:rPr>
            <m:nor/>
            <m:sty m:val="p"/>
          </m:rPr>
          <m:t>°C</m:t>
        </m:r>
      </m:oMath>
      <w:r>
        <w:t xml:space="preserve"> </w:t>
      </w:r>
      <w:r>
        <w:t xml:space="preserve">is indicated by</w:t>
      </w:r>
      <w:r>
        <w:t xml:space="preserve"> </w:t>
      </w:r>
      <w:r>
        <w:t xml:space="preserve">the vertical dashed line.</w:t>
      </w:r>
    </w:p>
    <w:bookmarkEnd w:id="55"/>
    <w:bookmarkStart w:id="57" w:name="v1-crop-yield-model"/>
    <w:p>
      <w:pPr>
        <w:pStyle w:val="Heading3"/>
      </w:pPr>
      <w:r>
        <w:t xml:space="preserve">V1 — Crop Yield Model</w:t>
      </w:r>
    </w:p>
    <w:p>
      <w:pPr>
        <w:pStyle w:val="FirstParagraph"/>
      </w:pPr>
      <w:r>
        <w:t xml:space="preserve">The crop yield model (Equation </w:t>
      </w:r>
      <w:hyperlink w:anchor="eq:lercrop">
        <w:r>
          <w:rPr>
            <w:rStyle w:val="Hyperlink"/>
          </w:rPr>
          <w:t xml:space="preserve">[eq:lercrop]</w:t>
        </w:r>
      </w:hyperlink>
      <w:r>
        <w:t xml:space="preserve">) was</w:t>
      </w:r>
      <w:r>
        <w:t xml:space="preserve"> </w:t>
      </w:r>
      <w:r>
        <w:t xml:space="preserve">validated against the six-point shading dataset of</w:t>
      </w:r>
      <w:r>
        <w:t xml:space="preserve"> </w:t>
      </w:r>
      <w:r>
        <w:t xml:space="preserve">, who measured tomato yield ratio under six</w:t>
      </w:r>
      <w:r>
        <w:t xml:space="preserve"> </w:t>
      </w:r>
      <w:r>
        <w:t xml:space="preserve">controlled shading fractions (0.05–0.35) in a Mediterranean</w:t>
      </w:r>
      <w:r>
        <w:t xml:space="preserve"> </w:t>
      </w:r>
      <w:r>
        <w:t xml:space="preserve">greenhouse experiment. Table </w:t>
      </w:r>
      <w:hyperlink w:anchor="tab:v1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reports the validation</w:t>
      </w:r>
      <w:r>
        <w:t xml:space="preserve"> </w:t>
      </w:r>
      <w:r>
        <w:t xml:space="preserve">statistics.</w:t>
      </w:r>
    </w:p>
    <w:bookmarkStart w:id="56" w:name="tab:v1"/>
    <w:p>
      <w:pPr>
        <w:pStyle w:val="TableCaption"/>
      </w:pPr>
      <w:r>
        <w:t xml:space="preserve">V1 — Crop yield model validation against</w:t>
      </w:r>
      <w:r>
        <w:t xml:space="preserve"> </w:t>
      </w:r>
      <w:r>
        <w:t xml:space="preserve">. Operational range: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shad</m:t>
            </m:r>
          </m:sub>
        </m:sSub>
        <m:r>
          <m:rPr>
            <m:sty m:val="p"/>
          </m:rPr>
          <m:t>≤</m:t>
        </m:r>
        <m:r>
          <m:t>0.25</m:t>
        </m:r>
      </m:oMath>
      <w:r>
        <w:t xml:space="preserve">,</w:t>
      </w:r>
      <w:r>
        <w:t xml:space="preserve"> </w:t>
      </w:r>
      <w:r>
        <w:t xml:space="preserve">corresponding to the GCR range at the optimised designs</w:t>
      </w:r>
      <w:r>
        <w:t xml:space="preserve"> </w:t>
      </w:r>
      <w:r>
        <w:t xml:space="preserve">(GCR = 69–72%).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1 — Crop yield model validation against . Operational range: F_{\text{shad}} \leq 0.25, corresponding to the GCR range at the optimised designs (GCR = 69–72%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shad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Modelled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extrapolation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MAPE (operational,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shad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0.25</m:t>
              </m:r>
            </m:oMath>
            <w:r>
              <w:t xml:space="preserve">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2.4%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MAPE (full range, 0.05–0.35)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3.3%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0.029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Mean bias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0.002 (slightly optimistic)</w:t>
            </w:r>
          </w:p>
        </w:tc>
      </w:tr>
    </w:tbl>
    <w:bookmarkEnd w:id="56"/>
    <w:p>
      <w:pPr>
        <w:pStyle w:val="BodyText"/>
      </w:pPr>
      <w:r>
        <w:t xml:space="preserve">MAPE in the operational shading range 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shad</m:t>
            </m:r>
          </m:sub>
        </m:sSub>
        <m:r>
          <m:rPr>
            <m:sty m:val="p"/>
          </m:rPr>
          <m:t>≤</m:t>
        </m:r>
        <m:r>
          <m:t>0.25</m:t>
        </m:r>
      </m:oMath>
      <w:r>
        <w:t xml:space="preserve">,</w:t>
      </w:r>
      <w:r>
        <w:t xml:space="preserve"> </w:t>
      </w:r>
      <w:r>
        <w:t xml:space="preserve">covering the GCR values of 69–72% at the optimised designs) is</w:t>
      </w:r>
      <w:r>
        <w:t xml:space="preserve"> </w:t>
      </w:r>
      <w:r>
        <w:t xml:space="preserve">2.4%, well within the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5% accuracy threshold typically</w:t>
      </w:r>
      <w:r>
        <w:t xml:space="preserve"> </w:t>
      </w:r>
      <w:r>
        <w:t xml:space="preserve">applied to agrivoltaic yield models </w:t>
      </w:r>
      <w:r>
        <w:t xml:space="preserve">. The mean</w:t>
      </w:r>
      <w:r>
        <w:t xml:space="preserve"> </w:t>
      </w:r>
      <w:r>
        <w:t xml:space="preserve">bias is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0.002, indicating a very slight optimistic tendency:</w:t>
      </w:r>
      <w:r>
        <w:t xml:space="preserve"> </w:t>
      </w:r>
      <w:r>
        <w:t xml:space="preserve">the model marginally overestimates yield ratio at high shading</w:t>
      </w:r>
      <w:r>
        <w:t xml:space="preserve"> </w:t>
      </w:r>
      <w:r>
        <w:t xml:space="preserve">fractions 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shad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4.2%) and marginally</w:t>
      </w:r>
      <w:r>
        <w:t xml:space="preserve"> </w:t>
      </w:r>
      <w:r>
        <w:t xml:space="preserve">underestimates at low shading fractions 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shad</m:t>
            </m:r>
          </m:sub>
        </m:sSub>
        <m:r>
          <m:rPr>
            <m:sty m:val="p"/>
          </m:rPr>
          <m:t>≤</m:t>
        </m:r>
        <m:r>
          <m:t>0.15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2.1% to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3.2%). The net effect on annual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 </w:t>
      </w:r>
      <w:r>
        <w:t xml:space="preserve">is close to zero, and the RMSE of 0.029 is smaller than the</w:t>
      </w:r>
      <w:r>
        <w:t xml:space="preserve"> </w:t>
      </w:r>
      <w:r>
        <w:t xml:space="preserve">between-site variation in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 </w:t>
      </w:r>
      <w:r>
        <w:t xml:space="preserve">(0.363–0.397).</w:t>
      </w:r>
      <w:r>
        <w:t xml:space="preserve"> </w:t>
      </w:r>
      <w:r>
        <w:t xml:space="preserve">The V1 validation supports the conclusion that reported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 </w:t>
      </w:r>
      <w:r>
        <w:t xml:space="preserve">values are accurate to within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3% for</w:t>
      </w:r>
      <w:r>
        <w:t xml:space="preserve"> </w:t>
      </w:r>
      <w:r>
        <w:t xml:space="preserve">the GCR and crop combination studied here.</w:t>
      </w:r>
    </w:p>
    <w:bookmarkEnd w:id="57"/>
    <w:bookmarkStart w:id="59" w:name="v2-bmp-temperature-response-model"/>
    <w:p>
      <w:pPr>
        <w:pStyle w:val="Heading3"/>
      </w:pPr>
      <w:r>
        <w:t xml:space="preserve">V2 — BMP Temperature Response Model</w:t>
      </w:r>
    </w:p>
    <w:p>
      <w:pPr>
        <w:pStyle w:val="FirstParagraph"/>
      </w:pPr>
      <w:r>
        <w:t xml:space="preserve">The Arrhenius BMP correction (Equation </w:t>
      </w:r>
      <w:hyperlink w:anchor="eq:bmp">
        <w:r>
          <w:rPr>
            <w:rStyle w:val="Hyperlink"/>
          </w:rPr>
          <w:t xml:space="preserve">[eq:bmp]</w:t>
        </w:r>
      </w:hyperlink>
      <w:r>
        <w:t xml:space="preserve">)</w:t>
      </w:r>
      <w:r>
        <w:t xml:space="preserve"> </w:t>
      </w:r>
      <w:r>
        <w:t xml:space="preserve">was validated against the five-temperature experimental dataset of</w:t>
      </w:r>
      <w:r>
        <w:t xml:space="preserve"> </w:t>
      </w:r>
      <w:r>
        <w:t xml:space="preserve"> </w:t>
      </w:r>
      <w:r>
        <w:t xml:space="preserve">for tomato plant residues. Table </w:t>
      </w:r>
      <w:hyperlink w:anchor="tab:v2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reports the validation statistics.</w:t>
      </w:r>
    </w:p>
    <w:bookmarkStart w:id="58" w:name="tab:v2"/>
    <w:p>
      <w:pPr>
        <w:pStyle w:val="TableCaption"/>
      </w:pPr>
      <w:r>
        <w:t xml:space="preserve">V2 — BMP temperature model validation against</w:t>
      </w:r>
      <w:r>
        <w:t xml:space="preserve"> </w:t>
      </w:r>
      <w:r>
        <w:t xml:space="preserve">. The 40 °C point falls in the</w:t>
      </w:r>
      <w:r>
        <w:t xml:space="preserve"> </w:t>
      </w:r>
      <w:r>
        <w:t xml:space="preserve">thermophilic inhibition zone and is excluded from the operational</w:t>
      </w:r>
      <w:r>
        <w:t xml:space="preserve"> </w:t>
      </w:r>
      <w:r>
        <w:t xml:space="preserve">MAPE. Operating range: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37</m:t>
        </m:r>
        <m:r>
          <m:t> </m:t>
        </m:r>
        <m:r>
          <m:rPr>
            <m:nor/>
            <m:sty m:val="p"/>
          </m:rPr>
          <m:t>°C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2 — BMP temperature model validation against . The 40 °C point falls in the thermophilic inhibition zone and is excluded from the operational MAPE. Operating range: T \leq \SI{37}{\celsius}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(°C)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Modelled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52.4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131.1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40.4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185.1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30.2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261.3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300.0</w:t>
            </w:r>
          </w:p>
        </w:tc>
        <w:tc>
          <w:tcPr/>
          <w:p>
            <w:pPr>
              <w:pStyle w:val="Compact"/>
              <w:jc w:val="center"/>
            </w:pPr>
            <m:oMath>
              <m:phant>
                <m:phantPr>
                  <m:show m:val="off"/>
                </m:phantPr>
                <m:e>
                  <m:r>
                    <m:rPr>
                      <m:sty m:val="p"/>
                    </m:rPr>
                    <m:t>−</m:t>
                  </m:r>
                </m:e>
              </m:phant>
            </m:oMath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369.0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99.5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inhibition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MAPE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37</m:t>
              </m:r>
              <m:r>
                <m:t> </m:t>
              </m:r>
              <m:r>
                <m:rPr>
                  <m:nor/>
                  <m:sty m:val="p"/>
                </m:rPr>
                <m:t>°C</m:t>
              </m:r>
            </m:oMath>
            <w:r>
              <w:t xml:space="preserve">, excl. 40 °C)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26.9%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MAPE (full range incl. 40 °C)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39.0%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RMSE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37</m:t>
              </m:r>
              <m:r>
                <m:t> </m:t>
              </m:r>
              <m:r>
                <m:rPr>
                  <m:nor/>
                  <m:sty m:val="p"/>
                </m:rPr>
                <m:t>°C</m:t>
              </m:r>
            </m:oMath>
            <w:r>
              <w:t xml:space="preserve">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73.4 NmL gVS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Mean bias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37</m:t>
              </m:r>
              <m:r>
                <m:t> </m:t>
              </m:r>
              <m:r>
                <m:rPr>
                  <m:nor/>
                  <m:sty m:val="p"/>
                </m:rPr>
                <m:t>°C</m:t>
              </m:r>
            </m:oMath>
            <w:r>
              <w:t xml:space="preserve">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60.9 NmL gVS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(conservative)</w:t>
            </w:r>
          </w:p>
        </w:tc>
      </w:tr>
    </w:tbl>
    <w:bookmarkEnd w:id="58"/>
    <w:p>
      <w:pPr>
        <w:pStyle w:val="BodyText"/>
      </w:pPr>
      <w:r>
        <w:t xml:space="preserve">The V2 MAPE of 26.9% in the operating range (</w:t>
      </w:r>
      <m:oMath>
        <m:r>
          <m:t>T</m:t>
        </m:r>
        <m:r>
          <m:rPr>
            <m:sty m:val="p"/>
          </m:rPr>
          <m:t>≤</m:t>
        </m:r>
        <m:r>
          <m:t>37</m:t>
        </m:r>
        <m:r>
          <m:t> </m:t>
        </m:r>
        <m:r>
          <m:rPr>
            <m:nor/>
            <m:sty m:val="p"/>
          </m:rPr>
          <m:t>°C</m:t>
        </m:r>
      </m:oMath>
      <w:r>
        <w:t xml:space="preserve">)</w:t>
      </w:r>
      <w:r>
        <w:t xml:space="preserve"> </w:t>
      </w:r>
      <w:r>
        <w:t xml:space="preserve">is substantially higher than V1, driven by a systematic conservative</w:t>
      </w:r>
      <w:r>
        <w:t xml:space="preserve"> </w:t>
      </w:r>
      <w:r>
        <w:t xml:space="preserve">bias at low temperatures: the Arrhenius model underestimates BMP by</w:t>
      </w:r>
      <w:r>
        <w:t xml:space="preserve"> </w:t>
      </w:r>
      <w:r>
        <w:t xml:space="preserve">30–52% at 20–30 °C relative to the</w:t>
      </w:r>
      <w:r>
        <w:t xml:space="preserve"> </w:t>
      </w:r>
      <w:r>
        <w:t xml:space="preserve"> </w:t>
      </w:r>
      <w:r>
        <w:t xml:space="preserve">observations. The root cause is that the single</w:t>
      </w:r>
      <w:r>
        <w:t xml:space="preserve"> </w:t>
      </w:r>
      <w:r>
        <w:t xml:space="preserve">exponential Arrhenius relationship with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0.069</m:t>
        </m:r>
      </m:oMath>
      <w:r>
        <w:t xml:space="preserve"> °C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calibrated at 37 °C underestimates the actual BMP in</w:t>
      </w:r>
      <w:r>
        <w:t xml:space="preserve"> </w:t>
      </w:r>
      <w:r>
        <w:t xml:space="preserve">the mesophilic lower range (25–35 °C), where microbial</w:t>
      </w:r>
      <w:r>
        <w:t xml:space="preserve"> </w:t>
      </w:r>
      <w:r>
        <w:t xml:space="preserve">community adaptation provides higher-than-Arrhenius yields. More</w:t>
      </w:r>
      <w:r>
        <w:t xml:space="preserve"> </w:t>
      </w:r>
      <w:r>
        <w:t xml:space="preserve">accurate models for this range include the modified Gompertz</w:t>
      </w:r>
      <w:r>
        <w:t xml:space="preserve"> </w:t>
      </w:r>
      <w:r>
        <w:t xml:space="preserve">equation or piecewise Arrhenius fits with separate coefficients</w:t>
      </w:r>
      <w:r>
        <w:t xml:space="preserve"> </w:t>
      </w:r>
      <w:r>
        <w:t xml:space="preserve">above and below 30 °C </w:t>
      </w:r>
      <w:r>
        <w:t xml:space="preserve">.</w:t>
      </w:r>
    </w:p>
    <w:p>
      <w:pPr>
        <w:pStyle w:val="BodyText"/>
      </w:pPr>
      <w:r>
        <w:t xml:space="preserve">The direction of bias is consistently conservative: the model</w:t>
      </w:r>
      <w:r>
        <w:t xml:space="preserve"> </w:t>
      </w:r>
      <w:r>
        <w:t xml:space="preserve">always underestimates BMP at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37</m:t>
        </m:r>
        <m:r>
          <m:t> </m:t>
        </m:r>
        <m:r>
          <m:rPr>
            <m:nor/>
            <m:sty m:val="p"/>
          </m:rPr>
          <m:t>°C</m:t>
        </m:r>
      </m:oMath>
      <w:r>
        <w:t xml:space="preserve">. For the</w:t>
      </w:r>
      <w:r>
        <w:t xml:space="preserve"> </w:t>
      </w:r>
      <w:r>
        <w:t xml:space="preserve">present study, this means that biogas yields at Konya and Freiburg</w:t>
      </w:r>
      <w:r>
        <w:t xml:space="preserve"> </w:t>
      </w:r>
      <w:r>
        <w:t xml:space="preserve">— where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dig,eff</m:t>
            </m:r>
          </m:sub>
        </m:sSub>
      </m:oMath>
      <w:r>
        <w:t xml:space="preserve"> </w:t>
      </w:r>
      <w:r>
        <w:t xml:space="preserve">reaches the minimum threshold of</w:t>
      </w:r>
      <w:r>
        <w:t xml:space="preserve"> </w:t>
      </w:r>
      <w:r>
        <w:t xml:space="preserve">26 °C in winter months — are underestimated.</w:t>
      </w:r>
      <w:r>
        <w:t xml:space="preserve"> </w:t>
      </w:r>
      <w:r>
        <w:t xml:space="preserve">Consequently, all reported biogas energy values,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 </w:t>
      </w:r>
      <w:r>
        <w:t xml:space="preserve">values, and biogas-related economic results for cold-climate sites</w:t>
      </w:r>
      <w:r>
        <w:t xml:space="preserve"> </w:t>
      </w:r>
      <w:r>
        <w:t xml:space="preserve">are conservative lower bounds. The true values are likely</w:t>
      </w:r>
      <w:r>
        <w:t xml:space="preserve"> </w:t>
      </w:r>
      <w:r>
        <w:t xml:space="preserve">15–30% higher, which would further improve the economics of</w:t>
      </w:r>
      <w:r>
        <w:t xml:space="preserve"> </w:t>
      </w:r>
      <w:r>
        <w:t xml:space="preserve">cold-climate APV–AD deployment.</w:t>
      </w:r>
    </w:p>
    <w:bookmarkEnd w:id="59"/>
    <w:bookmarkStart w:id="60" w:name="v3-external-poa-validation-against-pvlib"/>
    <w:p>
      <w:pPr>
        <w:pStyle w:val="Heading3"/>
      </w:pPr>
      <w:r>
        <w:t xml:space="preserve">V3 — External POA Validation Against pvlib</w:t>
      </w:r>
    </w:p>
    <w:p>
      <w:pPr>
        <w:pStyle w:val="FirstParagraph"/>
      </w:pPr>
      <w:r>
        <w:t xml:space="preserve">In addition to the V1 and V2 component validations</w:t>
      </w:r>
      <w:r>
        <w:t xml:space="preserve"> </w:t>
      </w:r>
      <w:r>
        <w:t xml:space="preserve">against independent literature datasets above, the plane-of-array</w:t>
      </w:r>
      <w:r>
        <w:t xml:space="preserve"> </w:t>
      </w:r>
      <w:r>
        <w:t xml:space="preserve">irradiance model itself (Equations </w:t>
      </w:r>
      <w:hyperlink w:anchor="eq:poa">
        <w:r>
          <w:rPr>
            <w:rStyle w:val="Hyperlink"/>
          </w:rPr>
          <w:t xml:space="preserve">[eq:poa]</w:t>
        </w:r>
      </w:hyperlink>
      <w:r>
        <w:t xml:space="preserve">–</w:t>
      </w:r>
      <w:hyperlink w:anchor="eq:aoi">
        <w:r>
          <w:rPr>
            <w:rStyle w:val="Hyperlink"/>
          </w:rPr>
          <w:t xml:space="preserve">[eq:aoi]</w:t>
        </w:r>
      </w:hyperlink>
      <w:r>
        <w:t xml:space="preserve">) was</w:t>
      </w:r>
      <w:r>
        <w:t xml:space="preserve"> </w:t>
      </w:r>
      <w:r>
        <w:t xml:space="preserve">validated against</w:t>
      </w:r>
      <w:r>
        <w:t xml:space="preserve"> </w:t>
      </w:r>
      <w:r>
        <w:rPr>
          <w:rStyle w:val="VerbatimChar"/>
        </w:rPr>
        <w:t xml:space="preserve">pvlib</w:t>
      </w:r>
      <w:r>
        <w:t xml:space="preserve"> </w:t>
      </w:r>
      <w:r>
        <w:t xml:space="preserve">(v0.15.2), an independently</w:t>
      </w:r>
      <w:r>
        <w:t xml:space="preserve"> </w:t>
      </w:r>
      <w:r>
        <w:t xml:space="preserve">maintained, widely-used solar modelling library, using each site’s</w:t>
      </w:r>
      <w:r>
        <w:t xml:space="preserve"> </w:t>
      </w:r>
      <w:r>
        <w:t xml:space="preserve">own PVGIS-SARAH3 data and an independent NREL-SPA solar-position</w:t>
      </w:r>
      <w:r>
        <w:t xml:space="preserve"> </w:t>
      </w:r>
      <w:r>
        <w:t xml:space="preserve">calculation (i.e. not this study’s own declination/hour-angle</w:t>
      </w:r>
      <w:r>
        <w:t xml:space="preserve"> </w:t>
      </w:r>
      <w:r>
        <w:t xml:space="preserve">implementation). Annual front-surface POA agreed with</w:t>
      </w:r>
      <w:r>
        <w:t xml:space="preserve"> </w:t>
      </w:r>
      <w:r>
        <w:rPr>
          <w:rStyle w:val="VerbatimChar"/>
        </w:rPr>
        <w:t xml:space="preserve">pvlib</w:t>
      </w:r>
      <w:r>
        <w:t xml:space="preserve">’s isotropic transposition model — the same sky</w:t>
      </w:r>
      <w:r>
        <w:t xml:space="preserve"> </w:t>
      </w:r>
      <w:r>
        <w:t xml:space="preserve">model used in Equation </w:t>
      </w:r>
      <w:hyperlink w:anchor="eq:poa">
        <w:r>
          <w:rPr>
            <w:rStyle w:val="Hyperlink"/>
          </w:rPr>
          <w:t xml:space="preserve">[eq:poa]</w:t>
        </w:r>
      </w:hyperlink>
      <w:r>
        <w:t xml:space="preserve"> </w:t>
      </w:r>
      <w:r>
        <w:t xml:space="preserve">— to within 0.06% at every</w:t>
      </w:r>
      <w:r>
        <w:t xml:space="preserve"> </w:t>
      </w:r>
      <w:r>
        <w:t xml:space="preserve">site, and with</w:t>
      </w:r>
      <w:r>
        <w:t xml:space="preserve"> </w:t>
      </w:r>
      <w:r>
        <w:rPr>
          <w:rStyle w:val="VerbatimChar"/>
        </w:rPr>
        <w:t xml:space="preserve">pvlib</w:t>
      </w:r>
      <w:r>
        <w:t xml:space="preserve">’s anisotropic Perez model to within</w:t>
      </w:r>
      <w:r>
        <w:t xml:space="preserve"> </w:t>
      </w:r>
      <w:r>
        <w:t xml:space="preserve">1.5–3.9%, a gap attributable to the isotropic-vs-anisotropic</w:t>
      </w:r>
      <w:r>
        <w:t xml:space="preserve"> </w:t>
      </w:r>
      <w:r>
        <w:t xml:space="preserve">sky-diffuse modelling choice rather than to any remaining defect in</w:t>
      </w:r>
      <w:r>
        <w:t xml:space="preserve"> </w:t>
      </w:r>
      <w:r>
        <w:t xml:space="preserve">the angle-of-incidence formula. This cross-validation was also the</w:t>
      </w:r>
      <w:r>
        <w:t xml:space="preserve"> </w:t>
      </w:r>
      <w:r>
        <w:t xml:space="preserve">means by which a longitude/equation-of-time correction to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(Section </w:t>
      </w:r>
      <w:hyperlink w:anchor="sec:shading">
        <w:r>
          <w:rPr>
            <w:rStyle w:val="Hyperlink"/>
          </w:rPr>
          <w:t xml:space="preserve">[sec:shading]</w:t>
        </w:r>
      </w:hyperlink>
      <w:r>
        <w:t xml:space="preserve">) was identified: prior to that</w:t>
      </w:r>
      <w:r>
        <w:t xml:space="preserve"> </w:t>
      </w:r>
      <w:r>
        <w:t xml:space="preserve">correction, agreement with</w:t>
      </w:r>
      <w:r>
        <w:t xml:space="preserve"> </w:t>
      </w:r>
      <w:r>
        <w:rPr>
          <w:rStyle w:val="VerbatimChar"/>
        </w:rPr>
        <w:t xml:space="preserve">pvlib</w:t>
      </w:r>
      <w:r>
        <w:t xml:space="preserve"> </w:t>
      </w:r>
      <w:r>
        <w:t xml:space="preserve">was site-longitude-dependent</w:t>
      </w:r>
      <w:r>
        <w:t xml:space="preserve"> </w:t>
      </w:r>
      <w:r>
        <w:t xml:space="preserve">(within 1.5% at Almería and Ouagadougou, lon. near</w:t>
      </w:r>
      <w:r>
        <w:t xml:space="preserve"> </w:t>
      </w:r>
      <w:r>
        <w:t xml:space="preserve">0°, but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9.65% at Konya, lon. 32.49°E),</w:t>
      </w:r>
      <w:r>
        <w:t xml:space="preserve"> </w:t>
      </w:r>
      <w:r>
        <w:t xml:space="preserve">which does not occur once the correction is applied. Full</w:t>
      </w:r>
      <w:r>
        <w:t xml:space="preserve"> </w:t>
      </w:r>
      <w:r>
        <w:t xml:space="preserve">methodology, before/after tables, and reproducible code are provided</w:t>
      </w:r>
      <w:r>
        <w:t xml:space="preserve"> </w:t>
      </w:r>
      <w:r>
        <w:t xml:space="preserve">in the supplementary validation notes (</w:t>
      </w:r>
      <w:r>
        <w:rPr>
          <w:rStyle w:val="VerbatimChar"/>
        </w:rPr>
        <w:t xml:space="preserve">docs/pvlib_</w:t>
      </w:r>
      <w:r>
        <w:t xml:space="preserve"> </w:t>
      </w:r>
      <w:r>
        <w:rPr>
          <w:rStyle w:val="VerbatimChar"/>
        </w:rPr>
        <w:t xml:space="preserve">validation.md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docs/poa_azimuth_fix_notes.md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Combined validation conclusion.</w:t>
      </w:r>
      <w:r>
        <w:t xml:space="preserve"> </w:t>
      </w:r>
      <w:r>
        <w:t xml:space="preserve">Both V1 (MAPE = 2.4%,</w:t>
      </w:r>
      <w:r>
        <w:t xml:space="preserve"> </w:t>
      </w:r>
      <w:r>
        <w:t xml:space="preserve">slight optimistic bias) and V2 (MAPE = 26.9%, systematic</w:t>
      </w:r>
      <w:r>
        <w:t xml:space="preserve"> </w:t>
      </w:r>
      <w:r>
        <w:t xml:space="preserve">conservative bias) indicate that the net effect on reported eLER</w:t>
      </w:r>
      <w:r>
        <w:t xml:space="preserve"> </w:t>
      </w:r>
      <w:r>
        <w:t xml:space="preserve">and economic results is conservative. The V1 optimistic bias on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crop</m:t>
            </m:r>
          </m:sub>
        </m:sSub>
      </m:oMath>
      <w:r>
        <w:t xml:space="preserve"> </w:t>
      </w:r>
      <w:r>
        <w:t xml:space="preserve">is small (</w:t>
      </w:r>
      <m:oMath>
        <m:r>
          <m:rPr>
            <m:sty m:val="p"/>
          </m:rPr>
          <m:t>+</m:t>
        </m:r>
      </m:oMath>
      <w:r>
        <w:t xml:space="preserve">0.002 mean) and partially offset</w:t>
      </w:r>
      <w:r>
        <w:t xml:space="preserve"> </w:t>
      </w:r>
      <w:r>
        <w:t xml:space="preserve">by the V2 conservative bias on</w:t>
      </w:r>
      <w:r>
        <w:t xml:space="preserve"> </w:t>
      </w:r>
      <m:oMath>
        <m:r>
          <m:t>L</m:t>
        </m:r>
        <m:r>
          <m:t>E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biogas</m:t>
            </m:r>
          </m:sub>
        </m:sSub>
      </m:oMath>
      <w:r>
        <w:t xml:space="preserve">. All reported</w:t>
      </w:r>
      <w:r>
        <w:t xml:space="preserve"> </w:t>
      </w:r>
      <w:r>
        <w:t xml:space="preserve">eLER values, NPV, IRR, and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avoidance figures should therefore</w:t>
      </w:r>
      <w:r>
        <w:t xml:space="preserve"> </w:t>
      </w:r>
      <w:r>
        <w:t xml:space="preserve">be interpreted as conservative lower bounds on the true system</w:t>
      </w:r>
      <w:r>
        <w:t xml:space="preserve"> </w:t>
      </w:r>
      <w:r>
        <w:t xml:space="preserve">performance, with cold-climate sites (Konya, Freiburg) having the</w:t>
      </w:r>
      <w:r>
        <w:t xml:space="preserve"> </w:t>
      </w:r>
      <w:r>
        <w:t xml:space="preserve">largest upside potential from improved BMP modelling.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2026-08-06T11:51:57Z</dcterms:created>
  <dcterms:modified xsi:type="dcterms:W3CDTF">2026-08-06T11:51:57Z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