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:discussion"/>
    <w:p>
      <w:pPr>
        <w:pStyle w:val="Heading1"/>
      </w:pPr>
      <w:r>
        <w:t xml:space="preserve">Discussion</w:t>
      </w:r>
    </w:p>
    <w:bookmarkStart w:id="9" w:name="sec:discussion_par"/>
    <w:p>
      <w:pPr>
        <w:pStyle w:val="Heading2"/>
      </w:pPr>
      <w:r>
        <w:t xml:space="preserve">The PAR-Saturation Mechanism: Implications for Site</w:t>
      </w:r>
      <w:r>
        <w:t xml:space="preserve"> </w:t>
      </w:r>
      <w:r>
        <w:t xml:space="preserve">Selection and Crop Choice</w:t>
      </w:r>
    </w:p>
    <w:p>
      <w:pPr>
        <w:pStyle w:val="FirstParagraph"/>
      </w:pPr>
      <w:r>
        <w:t xml:space="preserve">The non-monotone relationship between annual solar resource</w:t>
      </w:r>
      <w:r>
        <w:t xml:space="preserve"> </w:t>
      </w:r>
      <w:r>
        <w:t xml:space="preserve">and eLER — Freiburg (GHI = 1 150 kWh m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outperforming</w:t>
      </w:r>
      <w:r>
        <w:t xml:space="preserve"> </w:t>
      </w:r>
      <w:r>
        <w:t xml:space="preserve">Konya (GHI = 1 650 kWh m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— is one of the key mechanistic</w:t>
      </w:r>
      <w:r>
        <w:t xml:space="preserve"> </w:t>
      </w:r>
      <w:r>
        <w:t xml:space="preserve">findings of this study and requires careful interpretation before</w:t>
      </w:r>
      <w:r>
        <w:t xml:space="preserve"> </w:t>
      </w:r>
      <w:r>
        <w:t xml:space="preserve">deployment implications can be drawn.</w:t>
      </w:r>
    </w:p>
    <w:p>
      <w:pPr>
        <w:pStyle w:val="BodyText"/>
      </w:pPr>
      <w:r>
        <w:t xml:space="preserve">The mechanism operates through the PAR integral denominator in</w:t>
      </w:r>
      <w:r>
        <w:t xml:space="preserve"> </w:t>
      </w:r>
      <w:r>
        <w:t xml:space="preserve">Equation </w:t>
      </w:r>
      <w:hyperlink w:anchor="eq:lercrop">
        <w:r>
          <w:rPr>
            <w:rStyle w:val="Hyperlink"/>
          </w:rPr>
          <w:t xml:space="preserve">[eq:lercrop]</w:t>
        </w:r>
      </w:hyperlink>
      <w:r>
        <w:t xml:space="preserve">. In an open field, the denominator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p>
          <m:e>
            <m:r>
              <m:t>P</m:t>
            </m:r>
          </m:e>
        </m:nary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open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accumulates all incoming</w:t>
      </w:r>
      <w:r>
        <w:t xml:space="preserve"> </w:t>
      </w:r>
      <w:r>
        <w:t xml:space="preserve">PAR without a ceiling. At Konya, with a mean growing-season daytime</w:t>
      </w:r>
      <w:r>
        <w:t xml:space="preserve"> </w:t>
      </w:r>
      <w:r>
        <w:t xml:space="preserve">GHI of approximately 450 W   m</w:t>
      </w:r>
      <w:r>
        <w:rPr>
          <w:vertAlign w:val="superscript"/>
        </w:rPr>
        <w:t xml:space="preserve">−2</w:t>
      </w:r>
      <w:r>
        <w:t xml:space="preserve">, the corresponding open-field</w:t>
      </w:r>
      <w:r>
        <w:t xml:space="preserve"> </w:t>
      </w:r>
      <w:r>
        <w:t xml:space="preserve">PAR of</w:t>
      </w:r>
      <w:r>
        <w:t xml:space="preserve"> </w:t>
      </w:r>
      <m:oMath>
        <m:r>
          <m:t>450</m:t>
        </m:r>
        <m:r>
          <m:rPr>
            <m:sty m:val="p"/>
          </m:rPr>
          <m:t>×</m:t>
        </m:r>
        <m:r>
          <m:t>0.48</m:t>
        </m:r>
        <m:r>
          <m:rPr>
            <m:sty m:val="p"/>
          </m:rPr>
          <m:t>=</m:t>
        </m:r>
        <m:r>
          <m:t>216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exceeds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=</m:t>
        </m:r>
        <m:r>
          <m:t>174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for the majority of daylight</w:t>
      </w:r>
      <w:r>
        <w:t xml:space="preserve"> </w:t>
      </w:r>
      <w:r>
        <w:t xml:space="preserve">hours. The denominator therefore grows faster than the numerator —</w:t>
      </w:r>
      <w:r>
        <w:t xml:space="preserve"> </w:t>
      </w:r>
      <w:r>
        <w:t xml:space="preserve">which is clipped at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in both the APV and the open</w:t>
      </w:r>
      <w:r>
        <w:t xml:space="preserve"> </w:t>
      </w:r>
      <w:r>
        <w:t xml:space="preserve">field — making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structurally lower at</w:t>
      </w:r>
      <w:r>
        <w:t xml:space="preserve"> </w:t>
      </w:r>
      <w:r>
        <w:t xml:space="preserve">high-irradiance sites regardless of the panel geometry.</w:t>
      </w:r>
    </w:p>
    <w:p>
      <w:pPr>
        <w:pStyle w:val="BodyText"/>
      </w:pPr>
      <w:r>
        <w:t xml:space="preserve">At Freiburg, mean growing-season daytime GHI is approximately</w:t>
      </w:r>
      <w:r>
        <w:t xml:space="preserve"> </w:t>
      </w:r>
      <w:r>
        <w:t xml:space="preserve">320 W   m</w:t>
      </w:r>
      <w:r>
        <w:rPr>
          <w:vertAlign w:val="superscript"/>
        </w:rPr>
        <w:t xml:space="preserve">−2</w:t>
      </w:r>
      <w:r>
        <w:t xml:space="preserve">, giving open-field PAR of</w:t>
      </w:r>
      <w:r>
        <w:t xml:space="preserve"> </w:t>
      </w:r>
      <w:r>
        <w:t xml:space="preserve">154 W   m</w:t>
      </w:r>
      <w:r>
        <w:rPr>
          <w:vertAlign w:val="superscript"/>
        </w:rPr>
        <w:t xml:space="preserve">−2</w:t>
      </w:r>
      <w:r>
        <w:t xml:space="preserve"> </w:t>
      </w:r>
      <w:r>
        <w:t xml:space="preserve">— below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. The denominator</w:t>
      </w:r>
      <w:r>
        <w:t xml:space="preserve"> </w:t>
      </w:r>
      <w:r>
        <w:t xml:space="preserve">accumulates proportionally less uncapped PAR, and the ratio remains</w:t>
      </w:r>
      <w:r>
        <w:t xml:space="preserve"> </w:t>
      </w:r>
      <w:r>
        <w:t xml:space="preserve">more favourable. This is not a statement about absolute crop yield:</w:t>
      </w:r>
      <w:r>
        <w:t xml:space="preserve"> </w:t>
      </w:r>
      <w:r>
        <w:t xml:space="preserve">Freiburg produces less tomato per hectare in absolute terms</w:t>
      </w:r>
      <w:r>
        <w:t xml:space="preserve"> </w:t>
      </w:r>
      <w:r>
        <w:t xml:space="preserve">(30 t ha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than Konya (60 t ha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It is a statement</w:t>
      </w:r>
      <w:r>
        <w:t xml:space="preserve"> </w:t>
      </w:r>
      <w:r>
        <w:t xml:space="preserve">about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efficiency of land use: at Freiburg, the</w:t>
      </w:r>
      <w:r>
        <w:t xml:space="preserve"> </w:t>
      </w:r>
      <w:r>
        <w:t xml:space="preserve">APV system captures a larger fraction of the agronomically useful</w:t>
      </w:r>
      <w:r>
        <w:t xml:space="preserve"> </w:t>
      </w:r>
      <w:r>
        <w:t xml:space="preserve">PAR, because the open-field reference does not accumulate as much</w:t>
      </w:r>
      <w:r>
        <w:t xml:space="preserve"> </w:t>
      </w:r>
      <w:r>
        <w:t xml:space="preserve">PAR above the saturation point.</w:t>
      </w:r>
    </w:p>
    <w:p>
      <w:pPr>
        <w:pStyle w:val="BodyText"/>
      </w:pPr>
      <w:r>
        <w:rPr>
          <w:b/>
          <w:bCs/>
        </w:rPr>
        <w:t xml:space="preserve">Generalisation to other crops.</w:t>
      </w:r>
      <w:r>
        <w:t xml:space="preserve"> </w:t>
      </w:r>
      <w:r>
        <w:t xml:space="preserve">The PAR-saturation mechanism</w:t>
      </w:r>
      <w:r>
        <w:t xml:space="preserve"> </w:t>
      </w:r>
      <w:r>
        <w:t xml:space="preserve">is crop-specific. Tomato has a high light saturation point</w:t>
      </w:r>
      <w:r>
        <w:t xml:space="preserve"> </w:t>
      </w:r>
      <w:r>
        <w:t xml:space="preserve">(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=</m:t>
        </m:r>
        <m:r>
          <m:t>174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), making it sensitive to</w:t>
      </w:r>
      <w:r>
        <w:t xml:space="preserve"> </w:t>
      </w:r>
      <w:r>
        <w:t xml:space="preserve">the mechanism at the irradiance levels of all four study sites. For</w:t>
      </w:r>
      <w:r>
        <w:t xml:space="preserve"> </w:t>
      </w:r>
      <w:r>
        <w:t xml:space="preserve">shade-tolerant crops with lower saturation points — lettuce</w:t>
      </w:r>
      <w:r>
        <w:t xml:space="preserve"> </w:t>
      </w:r>
      <w:r>
        <w:t xml:space="preserve">(76 W   m</w:t>
      </w:r>
      <w:r>
        <w:rPr>
          <w:vertAlign w:val="superscript"/>
        </w:rPr>
        <w:t xml:space="preserve">−2</w:t>
      </w:r>
      <w:r>
        <w:t xml:space="preserve">), spinach (80 W   m</w:t>
      </w:r>
      <w:r>
        <w:rPr>
          <w:vertAlign w:val="superscript"/>
        </w:rPr>
        <w:t xml:space="preserve">−2</w:t>
      </w:r>
      <w:r>
        <w:t xml:space="preserve">), or basil</w:t>
      </w:r>
      <w:r>
        <w:t xml:space="preserve"> </w:t>
      </w:r>
      <w:r>
        <w:t xml:space="preserve">(100 W   m</w:t>
      </w:r>
      <w:r>
        <w:rPr>
          <w:vertAlign w:val="superscript"/>
        </w:rPr>
        <w:t xml:space="preserve">−2</w:t>
      </w:r>
      <w:r>
        <w:t xml:space="preserve">) — the denominator would be clipped at a much</w:t>
      </w:r>
      <w:r>
        <w:t xml:space="preserve"> </w:t>
      </w:r>
      <w:r>
        <w:t xml:space="preserve">lower threshold, and open-field PAR would exceed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for a larger fraction of daylight hours at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sites,</w:t>
      </w:r>
      <w:r>
        <w:t xml:space="preserve"> </w:t>
      </w:r>
      <w:r>
        <w:t xml:space="preserve">potentially eliminating the eLER difference between high- and</w:t>
      </w:r>
      <w:r>
        <w:t xml:space="preserve"> </w:t>
      </w:r>
      <w:r>
        <w:t xml:space="preserve">low-irradiance locations. For high-saturation crops such as maize</w:t>
      </w:r>
      <w:r>
        <w:t xml:space="preserve"> </w:t>
      </w:r>
      <w:r>
        <w:t xml:space="preserve">(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≈</m:t>
        </m:r>
        <m:r>
          <m:t>400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), the mechanism</w:t>
      </w:r>
      <w:r>
        <w:t xml:space="preserve"> </w:t>
      </w:r>
      <w:r>
        <w:t xml:space="preserve">would be reversed: open-field PAR rarely reaches saturation, the</w:t>
      </w:r>
      <w:r>
        <w:t xml:space="preserve"> </w:t>
      </w:r>
      <w:r>
        <w:t xml:space="preserve">denominator grows proportionally with irradiance, and high-irradiance</w:t>
      </w:r>
      <w:r>
        <w:t xml:space="preserve"> </w:t>
      </w:r>
      <w:r>
        <w:t xml:space="preserve">sites would achieve higher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, restoring a monotone</w:t>
      </w:r>
      <w:r>
        <w:t xml:space="preserve"> </w:t>
      </w:r>
      <w:r>
        <w:t xml:space="preserve">eLER–GHI relationship. Multi-crop generalisation is therefore</w:t>
      </w:r>
      <w:r>
        <w:t xml:space="preserve"> </w:t>
      </w:r>
      <w:r>
        <w:t xml:space="preserve">identified as an important extension of the present framework.</w:t>
      </w:r>
    </w:p>
    <w:p>
      <w:pPr>
        <w:pStyle w:val="BodyText"/>
      </w:pPr>
      <w:r>
        <w:rPr>
          <w:b/>
          <w:bCs/>
        </w:rPr>
        <w:t xml:space="preserve">Site selection implication.</w:t>
      </w:r>
      <w:r>
        <w:t xml:space="preserve"> </w:t>
      </w:r>
      <w:r>
        <w:t xml:space="preserve">The conventional wisdom in</w:t>
      </w:r>
      <w:r>
        <w:t xml:space="preserve"> </w:t>
      </w:r>
      <w:r>
        <w:t xml:space="preserve">agrivoltaic deployment — that high-irradiance semi-arid sites</w:t>
      </w:r>
      <w:r>
        <w:t xml:space="preserve"> </w:t>
      </w:r>
      <w:r>
        <w:t xml:space="preserve">are preferable because they maximise PV revenue — requires</w:t>
      </w:r>
      <w:r>
        <w:t xml:space="preserve"> </w:t>
      </w:r>
      <w:r>
        <w:t xml:space="preserve">qualification when high-PAR crops such as tomato are cultivated.</w:t>
      </w:r>
      <w:r>
        <w:t xml:space="preserve"> </w:t>
      </w:r>
      <w:r>
        <w:t xml:space="preserve">The present results suggest that moderate-irradiance temperate</w:t>
      </w:r>
      <w:r>
        <w:t xml:space="preserve"> </w:t>
      </w:r>
      <w:r>
        <w:t xml:space="preserve">sites offer a comparable or superior eLER for tomato, because the</w:t>
      </w:r>
      <w:r>
        <w:t xml:space="preserve"> </w:t>
      </w:r>
      <w:r>
        <w:t xml:space="preserve">PAR available in those climates is more fully utilisable by the</w:t>
      </w:r>
      <w:r>
        <w:t xml:space="preserve"> </w:t>
      </w:r>
      <w:r>
        <w:t xml:space="preserve">crop. From a food-energy-water nexus perspective, the optimal site</w:t>
      </w:r>
      <w:r>
        <w:t xml:space="preserve"> </w:t>
      </w:r>
      <w:r>
        <w:t xml:space="preserve">is not the site with the most sun, but the site where the solar</w:t>
      </w:r>
      <w:r>
        <w:t xml:space="preserve"> </w:t>
      </w:r>
      <w:r>
        <w:t xml:space="preserve">resource best matches the crop’s photosynthetic capacity.</w:t>
      </w:r>
      <w:r>
        <w:t xml:space="preserve"> </w:t>
      </w:r>
      <w:r>
        <w:t xml:space="preserve">This reframes the site selection problem from a single-objective</w:t>
      </w:r>
      <w:r>
        <w:t xml:space="preserve"> </w:t>
      </w:r>
      <w:r>
        <w:t xml:space="preserve">(maximise PV output) to a multi-objective (maximise eLER) decision,</w:t>
      </w:r>
      <w:r>
        <w:t xml:space="preserve"> </w:t>
      </w:r>
      <w:r>
        <w:t xml:space="preserve">consistent with the optimization framework developed in this study.</w:t>
      </w:r>
    </w:p>
    <w:bookmarkEnd w:id="9"/>
    <w:bookmarkStart w:id="10" w:name="sec:discussion_boundary"/>
    <w:p>
      <w:pPr>
        <w:pStyle w:val="Heading2"/>
      </w:pPr>
      <w:r>
        <w:t xml:space="preserve">Boundary Convergence: Physical Meaning and the</w:t>
      </w:r>
      <w:r>
        <w:t xml:space="preserve"> </w:t>
      </w:r>
      <w:r>
        <w:t xml:space="preserve">Access Trade-off</w:t>
      </w:r>
    </w:p>
    <w:p>
      <w:pPr>
        <w:pStyle w:val="FirstParagraph"/>
      </w:pPr>
      <w:r>
        <w:t xml:space="preserve">The convergence of the optimizer to the lower bounds of</w:t>
      </w:r>
      <w:r>
        <w:t xml:space="preserve"> </w:t>
      </w:r>
      <w:r>
        <w:t xml:space="preserve">both row spacing (</w:t>
      </w:r>
      <m:oMath>
        <m:sSubSup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3.03</m:t>
        </m:r>
        <m:r>
          <m:t> </m:t>
        </m:r>
        <m:r>
          <m:t>m</m:t>
        </m:r>
      </m:oMath>
      <w:r>
        <w:t xml:space="preserve">) and module</w:t>
      </w:r>
      <w:r>
        <w:t xml:space="preserve"> </w:t>
      </w:r>
      <w:r>
        <w:t xml:space="preserve">height (</w:t>
      </w:r>
      <m:oMath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1.50</m:t>
        </m:r>
        <m:r>
          <m:t> </m:t>
        </m:r>
        <m:r>
          <m:t>m</m:t>
        </m:r>
      </m:oMath>
      <w:r>
        <w:t xml:space="preserve">) at all four sites is a structural</w:t>
      </w:r>
      <w:r>
        <w:t xml:space="preserve"> </w:t>
      </w:r>
      <w:r>
        <w:t xml:space="preserve">result that reveals the shape of the eLER landscape and has direct</w:t>
      </w:r>
      <w:r>
        <w:t xml:space="preserve"> </w:t>
      </w:r>
      <w:r>
        <w:t xml:space="preserve">practical implications for APV system design and agricultural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Why the optimizer converges to the boundary.</w:t>
      </w:r>
      <w:r>
        <w:t xml:space="preserve"> </w:t>
      </w:r>
      <w:r>
        <w:t xml:space="preserve">Increasing panel density — reducing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toward their lower bounds — has two simultaneous effects on eLER.</w:t>
      </w:r>
      <w:r>
        <w:t xml:space="preserve"> </w:t>
      </w:r>
      <w:r>
        <w:t xml:space="preserve">First, it increases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: more modules per hectare</w:t>
      </w:r>
      <w:r>
        <w:t xml:space="preserve"> </w:t>
      </w:r>
      <w:r>
        <w:t xml:space="preserve">generates more electricity from the same land area, raising the</w:t>
      </w:r>
      <w:r>
        <w:t xml:space="preserve"> </w:t>
      </w:r>
      <w:r>
        <w:t xml:space="preserve">numerator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PV,sold</m:t>
            </m:r>
          </m:sub>
        </m:sSub>
      </m:oMath>
      <w:r>
        <w:t xml:space="preserve"> </w:t>
      </w:r>
      <w:r>
        <w:t xml:space="preserve">relative to the reference. Second,</w:t>
      </w:r>
      <w:r>
        <w:t xml:space="preserve"> </w:t>
      </w:r>
      <w:r>
        <w:t xml:space="preserve">it increases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</m:oMath>
      <w:r>
        <w:t xml:space="preserve">, which reduces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open</m:t>
            </m:r>
          </m:sub>
        </m:sSub>
      </m:oMath>
      <w:r>
        <w:t xml:space="preserve"> </w:t>
      </w:r>
      <w:r>
        <w:t xml:space="preserve">denominator in Equation </w:t>
      </w:r>
      <w:hyperlink w:anchor="eq:lercrop">
        <w:r>
          <w:rPr>
            <w:rStyle w:val="Hyperlink"/>
          </w:rPr>
          <w:t xml:space="preserve">[eq:lercrop]</w:t>
        </w:r>
      </w:hyperlink>
      <w:r>
        <w:t xml:space="preserve"> </w:t>
      </w:r>
      <w:r>
        <w:t xml:space="preserve">by intercepting more</w:t>
      </w:r>
      <w:r>
        <w:t xml:space="preserve"> </w:t>
      </w:r>
      <w:r>
        <w:t xml:space="preserve">incident radiation. Both effects push eLER upward. The only</w:t>
      </w:r>
      <w:r>
        <w:t xml:space="preserve"> </w:t>
      </w:r>
      <w:r>
        <w:t xml:space="preserve">countervailing force is the reduction in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: more</w:t>
      </w:r>
      <w:r>
        <w:t xml:space="preserve"> </w:t>
      </w:r>
      <w:r>
        <w:t xml:space="preserve">shading reduces PAR available to the crop, lowering the numerator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AV</m:t>
            </m:r>
          </m:sub>
        </m:sSub>
        <m:r>
          <m:rPr>
            <m:sty m:val="p"/>
          </m:rPr>
          <m:t>,</m:t>
        </m:r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. The optimizer</w:t>
      </w:r>
      <w:r>
        <w:t xml:space="preserve"> </w:t>
      </w:r>
      <w:r>
        <w:t xml:space="preserve">converges to the physical constraint boundary because, at the</w:t>
      </w:r>
      <w:r>
        <w:t xml:space="preserve"> </w:t>
      </w:r>
      <w:r>
        <w:t xml:space="preserve">parameter values of this study (tomato, GHI = 1 150–2 050</w:t>
      </w:r>
      <w:r>
        <w:t xml:space="preserve"> </w:t>
      </w:r>
      <w:r>
        <w:t xml:space="preserve">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), the PV density gain and denominator reduction</w:t>
      </w:r>
      <w:r>
        <w:t xml:space="preserve"> </w:t>
      </w:r>
      <w:r>
        <w:t xml:space="preserve">outweigh the crop yield penalty up to the point where physical</w:t>
      </w:r>
      <w:r>
        <w:t xml:space="preserve"> </w:t>
      </w:r>
      <w:r>
        <w:t xml:space="preserve">overlap between rows prevents further densification.</w:t>
      </w:r>
    </w:p>
    <w:p>
      <w:pPr>
        <w:pStyle w:val="BodyText"/>
      </w:pPr>
      <w:r>
        <w:rPr>
          <w:b/>
          <w:bCs/>
        </w:rPr>
        <w:t xml:space="preserve">The eLER penalty of mechanical access.</w:t>
      </w:r>
      <w:r>
        <w:t xml:space="preserve"> </w:t>
      </w:r>
      <w:r>
        <w:t xml:space="preserve">In practice, agricultural machinery requires a minimum inter-row</w:t>
      </w:r>
      <w:r>
        <w:t xml:space="preserve"> </w:t>
      </w:r>
      <w:r>
        <w:t xml:space="preserve">clearance for tractors, harvesters, and irrigation equipment. Typical</w:t>
      </w:r>
      <w:r>
        <w:t xml:space="preserve"> </w:t>
      </w:r>
      <w:r>
        <w:t xml:space="preserve">tractor widths of 1.8–2.2 m, combined with operational clearance,</w:t>
      </w:r>
      <w:r>
        <w:t xml:space="preserve"> </w:t>
      </w:r>
      <w:r>
        <w:t xml:space="preserve">require row spacings of 3.5–5.0 m in mechanised farming systems.</w:t>
      </w:r>
      <w:r>
        <w:t xml:space="preserve"> </w:t>
      </w:r>
      <w:r>
        <w:t xml:space="preserve">The eLER cost of this access requirement can be quantified from the</w:t>
      </w:r>
      <w:r>
        <w:t xml:space="preserve"> </w:t>
      </w:r>
      <w:r>
        <w:t xml:space="preserve">boundary convergence result: since the optimizer seeks the minimum</w:t>
      </w:r>
      <w:r>
        <w:t xml:space="preserve"> </w:t>
      </w:r>
      <w:r>
        <w:t xml:space="preserve">feasible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t xml:space="preserve"> </w:t>
      </w:r>
      <w:r>
        <w:t xml:space="preserve">at all sites, each additional metre of</w:t>
      </w:r>
      <w:r>
        <w:t xml:space="preserve"> </w:t>
      </w:r>
      <w:r>
        <w:t xml:space="preserve">required row spacing represents a deviation from the eLER optimum.</w:t>
      </w:r>
      <w:r>
        <w:t xml:space="preserve"> </w:t>
      </w:r>
      <w:r>
        <w:t xml:space="preserve">From the sensitivity of eLER to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t xml:space="preserve"> </w:t>
      </w:r>
      <w:r>
        <w:t xml:space="preserve">in the neighbourhood</w:t>
      </w:r>
      <w:r>
        <w:t xml:space="preserve"> </w:t>
      </w:r>
      <w:r>
        <w:t xml:space="preserve">of the boundary solution, the eLER penalty is approximately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0.04 to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0.06 per additional metre of row spacing, with the</w:t>
      </w:r>
      <w:r>
        <w:t xml:space="preserve"> </w:t>
      </w:r>
      <w:r>
        <w:t xml:space="preserve">exact value depending on site irradiance and tilt angle.</w:t>
      </w:r>
      <w:r>
        <w:t xml:space="preserve"> </w:t>
      </w:r>
      <w:r>
        <w:rPr>
          <w:i/>
          <w:iCs/>
        </w:rPr>
        <w:t xml:space="preserve">[This sensitivity figure was not re-verified against the</w:t>
      </w:r>
      <w:r>
        <w:rPr>
          <w:i/>
          <w:iCs/>
        </w:rPr>
        <w:t xml:space="preserve"> </w:t>
      </w:r>
      <w:r>
        <w:rPr>
          <w:i/>
          <w:iCs/>
        </w:rPr>
        <w:t xml:space="preserve">corrected model in the present revision and should be re-computed</w:t>
      </w:r>
      <w:r>
        <w:rPr>
          <w:i/>
          <w:iCs/>
        </w:rPr>
        <w:t xml:space="preserve"> </w:t>
      </w:r>
      <w:r>
        <w:rPr>
          <w:i/>
          <w:iCs/>
        </w:rPr>
        <w:t xml:space="preserve">from a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sweep before the manuscript is finalised;</w:t>
      </w:r>
      <w:r>
        <w:rPr>
          <w:i/>
          <w:iCs/>
        </w:rPr>
        <w:t xml:space="preserve"> </w:t>
      </w:r>
      <w:r>
        <w:rPr>
          <w:i/>
          <w:iCs/>
        </w:rPr>
        <w:t xml:space="preserve">it was not affected by any of the six corrections described in</w:t>
      </w:r>
      <w:r>
        <w:rPr>
          <w:i/>
          <w:iCs/>
        </w:rPr>
        <w:t xml:space="preserve"> </w:t>
      </w:r>
      <w:r>
        <w:rPr>
          <w:i/>
          <w:iCs/>
        </w:rPr>
        <w:t xml:space="preserve">this section but was also not directly re-derived from</w:t>
      </w:r>
      <w:r>
        <w:rPr>
          <w:i/>
          <w:iCs/>
        </w:rPr>
        <w:t xml:space="preserve"> </w:t>
      </w:r>
      <w:r>
        <w:rPr>
          <w:i/>
          <w:iCs/>
        </w:rPr>
        <w:t xml:space="preserve">Table </w:t>
      </w:r>
      <w:hyperlink w:anchor="tab:optimal">
        <w:r>
          <w:rPr>
            <w:rStyle w:val="Hyperlink"/>
            <w:i/>
            <w:iCs/>
          </w:rPr>
          <w:t xml:space="preserve">[tab:optimal]</w:t>
        </w:r>
      </w:hyperlink>
      <w:r>
        <w:rPr>
          <w:i/>
          <w:iCs/>
        </w:rPr>
        <w:t xml:space="preserve">’s updated design point.]</w:t>
      </w:r>
      <w:r>
        <w:t xml:space="preserve"> </w:t>
      </w:r>
      <w:r>
        <w:t xml:space="preserve">A mechanised</w:t>
      </w:r>
      <w:r>
        <w:t xml:space="preserve"> </w:t>
      </w:r>
      <w:r>
        <w:t xml:space="preserve">farming system requiring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  <m:r>
          <m:rPr>
            <m:sty m:val="p"/>
          </m:rPr>
          <m:t>=</m:t>
        </m:r>
        <m:r>
          <m:t>5.0</m:t>
        </m:r>
        <m:r>
          <m:t> </m:t>
        </m:r>
        <m:r>
          <m:t>m</m:t>
        </m:r>
      </m:oMath>
      <w:r>
        <w:t xml:space="preserve"> </w:t>
      </w:r>
      <w:r>
        <w:t xml:space="preserve">instead of</w:t>
      </w:r>
      <w:r>
        <w:t xml:space="preserve"> </w:t>
      </w:r>
      <w:r>
        <w:t xml:space="preserve">3.03 m would sacrifice approximately 0.08–0.12 eLER units</w:t>
      </w:r>
      <w:r>
        <w:t xml:space="preserve"> </w:t>
      </w:r>
      <w:r>
        <w:t xml:space="preserve">— a penalty of 5–7% relative to the boundary optimum.</w:t>
      </w:r>
    </w:p>
    <w:p>
      <w:pPr>
        <w:pStyle w:val="BodyText"/>
      </w:pPr>
      <w:r>
        <w:rPr>
          <w:b/>
          <w:bCs/>
        </w:rPr>
        <w:t xml:space="preserve">Practical design recommendations.</w:t>
      </w:r>
      <w:r>
        <w:t xml:space="preserve"> </w:t>
      </w:r>
      <w:r>
        <w:t xml:space="preserve">Three design strategies can partially recover the access penalty</w:t>
      </w:r>
      <w:r>
        <w:t xml:space="preserve"> </w:t>
      </w:r>
      <w:r>
        <w:t xml:space="preserve">while maintaining agricultural operability: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Smallholder manual cultivation.</w:t>
      </w:r>
      <w:r>
        <w:t xml:space="preserve"> </w:t>
      </w:r>
      <w:r>
        <w:t xml:space="preserve">For systems</w:t>
      </w:r>
      <w:r>
        <w:t xml:space="preserve"> </w:t>
      </w:r>
      <w:r>
        <w:t xml:space="preserve">serving smallholder farmers who operate without mechanised</w:t>
      </w:r>
      <w:r>
        <w:t xml:space="preserve"> </w:t>
      </w:r>
      <w:r>
        <w:t xml:space="preserve">equipment — the predominant farming model in Burkina Faso</w:t>
      </w:r>
      <w:r>
        <w:t xml:space="preserve"> </w:t>
      </w:r>
      <w:r>
        <w:t xml:space="preserve">and much of the semi-arid developing world — the minimum</w:t>
      </w:r>
      <w:r>
        <w:t xml:space="preserve"> </w:t>
      </w:r>
      <w:r>
        <w:t xml:space="preserve">physical clearance of 3.03 m is operationally feasible.</w:t>
      </w:r>
      <w:r>
        <w:t xml:space="preserve"> </w:t>
      </w:r>
      <w:r>
        <w:t xml:space="preserve">Manual cultivation, hand harvesting, and drip irrigation</w:t>
      </w:r>
      <w:r>
        <w:t xml:space="preserve"> </w:t>
      </w:r>
      <w:r>
        <w:t xml:space="preserve">require only 0.8–1.2 m of working clearance, making the</w:t>
      </w:r>
      <w:r>
        <w:t xml:space="preserve"> </w:t>
      </w:r>
      <w:r>
        <w:t xml:space="preserve">boundary-convergence design directly deployable at Ouagadougou-type</w:t>
      </w:r>
      <w:r>
        <w:t xml:space="preserve"> </w:t>
      </w:r>
      <w:r>
        <w:t xml:space="preserve">sites.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Increased module height.</w:t>
      </w:r>
      <w:r>
        <w:t xml:space="preserve"> </w:t>
      </w:r>
      <w:r>
        <w:t xml:space="preserve">Raising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r>
        <w:t xml:space="preserve">1.50 m to 2.5 m allows agricultural machinery to</w:t>
      </w:r>
      <w:r>
        <w:t xml:space="preserve"> </w:t>
      </w:r>
      <w:r>
        <w:t xml:space="preserve">pass beneath the panels even at reduced row spacing, recovering</w:t>
      </w:r>
      <w:r>
        <w:t xml:space="preserve"> </w:t>
      </w:r>
      <w:r>
        <w:t xml:space="preserve">mechanical access without increasing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t xml:space="preserve">.</w:t>
      </w:r>
      <w:r>
        <w:t xml:space="preserve"> </w:t>
      </w:r>
      <w:r>
        <w:t xml:space="preserve">The eLER cost of this height increase is modest: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</m:oMath>
      <w:r>
        <w:t xml:space="preserve"> </w:t>
      </w:r>
      <w:r>
        <w:t xml:space="preserve">only through the shadow length formula</w:t>
      </w:r>
      <w:r>
        <w:t xml:space="preserve"> </w:t>
      </w:r>
      <w:r>
        <w:t xml:space="preserve">(Equation </w:t>
      </w:r>
      <w:hyperlink w:anchor="eq:shading">
        <w:r>
          <w:rPr>
            <w:rStyle w:val="Hyperlink"/>
          </w:rPr>
          <w:t xml:space="preserve">[eq:shading]</w:t>
        </w:r>
      </w:hyperlink>
      <w:r>
        <w:t xml:space="preserve">), and at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  <m:r>
          <m:rPr>
            <m:sty m:val="p"/>
          </m:rPr>
          <m:t>=</m:t>
        </m:r>
        <m:r>
          <m:t>3.03</m:t>
        </m:r>
        <m:r>
          <m:t> </m:t>
        </m:r>
        <m:r>
          <m:t>m</m:t>
        </m:r>
      </m:oMath>
      <w:r>
        <w:t xml:space="preserve"> </w:t>
      </w:r>
      <w:r>
        <w:t xml:space="preserve">the shading fraction is already near its maximum for the relevant</w:t>
      </w:r>
      <w:r>
        <w:t xml:space="preserve"> </w:t>
      </w:r>
      <w:r>
        <w:t xml:space="preserve">solar elevation angles.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Shade-adapted crop selection.</w:t>
      </w:r>
      <w:r>
        <w:t xml:space="preserve"> </w:t>
      </w:r>
      <w:r>
        <w:t xml:space="preserve">Choosing crops with</w:t>
      </w:r>
      <w:r>
        <w:t xml:space="preserve"> </w:t>
      </w:r>
      <w:r>
        <w:t xml:space="preserve">lower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(lettuce, spinach, herbs) reduces the</w:t>
      </w:r>
      <w:r>
        <w:t xml:space="preserve"> </w:t>
      </w:r>
      <w:r>
        <w:t xml:space="preserve">eLER penalty of increased row spacing because the crop is less</w:t>
      </w:r>
      <w:r>
        <w:t xml:space="preserve"> </w:t>
      </w:r>
      <w:r>
        <w:t xml:space="preserve">sensitive to the absolute PAR reduction under denser panel</w:t>
      </w:r>
      <w:r>
        <w:t xml:space="preserve"> </w:t>
      </w:r>
      <w:r>
        <w:t xml:space="preserve">configurations. For such crops, a wider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t xml:space="preserve"> </w:t>
      </w:r>
      <w:r>
        <w:t xml:space="preserve">may</w:t>
      </w:r>
      <w:r>
        <w:t xml:space="preserve"> </w:t>
      </w:r>
      <w:r>
        <w:t xml:space="preserve">achieve a similar or higher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r>
        <w:t xml:space="preserve">boundary-convergence design for tomato.</w:t>
      </w:r>
    </w:p>
    <w:p>
      <w:pPr>
        <w:pStyle w:val="FirstParagraph"/>
      </w:pPr>
      <w:r>
        <w:rPr>
          <w:b/>
          <w:bCs/>
        </w:rPr>
        <w:t xml:space="preserve">Comparison with prior literature.</w:t>
      </w:r>
      <w:r>
        <w:t xml:space="preserve"> </w:t>
      </w:r>
      <w:r>
        <w:t xml:space="preserve">The boundary convergence</w:t>
      </w:r>
      <w:r>
        <w:t xml:space="preserve"> </w:t>
      </w:r>
      <w:r>
        <w:t xml:space="preserve">on row spacing is consistent with the findings of</w:t>
      </w:r>
      <w:r>
        <w:t xml:space="preserve"> </w:t>
      </w:r>
      <w:r>
        <w:t xml:space="preserve">,</w:t>
      </w:r>
      <w:r>
        <w:t xml:space="preserve"> </w:t>
      </w:r>
      <w:r>
        <w:t xml:space="preserve">who reported that LER is monotonically increasing with GCR for</w:t>
      </w:r>
      <w:r>
        <w:t xml:space="preserve"> </w:t>
      </w:r>
      <w:r>
        <w:t xml:space="preserve">lettuce up to GCR = 0.65 before levelling off, and with</w:t>
      </w:r>
      <w:r>
        <w:t xml:space="preserve"> </w:t>
      </w:r>
      <w:r>
        <w:t xml:space="preserve">, who found that the LPF-optimal design for bifacial</w:t>
      </w:r>
      <w:r>
        <w:t xml:space="preserve"> </w:t>
      </w:r>
      <w:r>
        <w:t xml:space="preserve">tomato in Arizona converged to the maximum permissible GCR under</w:t>
      </w:r>
      <w:r>
        <w:t xml:space="preserve"> </w:t>
      </w:r>
      <w:r>
        <w:t xml:space="preserve">their access constraints. The present study extends these findings</w:t>
      </w:r>
      <w:r>
        <w:t xml:space="preserve"> </w:t>
      </w:r>
      <w:r>
        <w:t xml:space="preserve">by providing an explicit quantification of the access penalty and</w:t>
      </w:r>
      <w:r>
        <w:t xml:space="preserve"> </w:t>
      </w:r>
      <w:r>
        <w:t xml:space="preserve">by demonstrating that the boundary convergence is climate-independent</w:t>
      </w:r>
      <w:r>
        <w:t xml:space="preserve"> </w:t>
      </w:r>
      <w:r>
        <w:t xml:space="preserve">— it occurs at all four sites despite GHI varying by a factor of</w:t>
      </w:r>
      <w:r>
        <w:t xml:space="preserve"> </w:t>
      </w:r>
      <w:r>
        <w:t xml:space="preserve">1.8 and mean annual temperature varying by 17 °C.</w:t>
      </w:r>
    </w:p>
    <w:bookmarkEnd w:id="10"/>
    <w:bookmarkStart w:id="16" w:name="sec:discussion_eler"/>
    <w:p>
      <w:pPr>
        <w:pStyle w:val="Heading2"/>
      </w:pPr>
      <w:r>
        <w:t xml:space="preserve">The eLER Metric: Interpretation, Definitions,</w:t>
      </w:r>
      <w:r>
        <w:t xml:space="preserve"> </w:t>
      </w:r>
      <w:r>
        <w:t xml:space="preserve">and Structural Properties</w:t>
      </w:r>
    </w:p>
    <w:p>
      <w:pPr>
        <w:pStyle w:val="FirstParagraph"/>
      </w:pPr>
      <w:r>
        <w:t xml:space="preserve">Four structural properties of the eLER metric require</w:t>
      </w:r>
      <w:r>
        <w:t xml:space="preserve"> </w:t>
      </w:r>
      <w:r>
        <w:t xml:space="preserve">explicit interpretation to avoid misreading the numerical results</w:t>
      </w:r>
      <w:r>
        <w:t xml:space="preserve"> </w:t>
      </w:r>
      <w:r>
        <w:t xml:space="preserve">reported in Section </w:t>
      </w:r>
      <w:hyperlink w:anchor="sec:results_eler">
        <w:r>
          <w:rPr>
            <w:rStyle w:val="Hyperlink"/>
          </w:rPr>
          <w:t xml:space="preserve">[sec:results_eler]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Property 1 —</w:t>
      </w:r>
      <w:r>
        <w:rPr>
          <w:b/>
          <w:bCs/>
        </w:rP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coupling</w:t>
      </w:r>
      <w:r>
        <w:rPr>
          <w:b/>
          <w:bCs/>
        </w:rPr>
        <w:t xml:space="preserve"> </w:t>
      </w:r>
      <w:r>
        <w:rPr>
          <w:b/>
          <w:bCs/>
        </w:rPr>
        <w:t xml:space="preserve">consequence, not a system failure.</w:t>
      </w:r>
      <w:r>
        <w:t xml:space="preserve"> </w:t>
      </w:r>
      <w:r>
        <w:t xml:space="preserve">The result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  <m:r>
          <m:rPr>
            <m:sty m:val="p"/>
          </m:rPr>
          <m:t>=</m:t>
        </m:r>
        <m:r>
          <m:t>0.611</m:t>
        </m:r>
      </m:oMath>
      <w:r>
        <w:t xml:space="preserve">–</w:t>
      </w:r>
      <m:oMath>
        <m:r>
          <m:t>0.729</m:t>
        </m:r>
      </m:oMath>
      <w:r>
        <w:t xml:space="preserve"> </w:t>
      </w:r>
      <w:r>
        <w:t xml:space="preserve">at all sites</w:t>
      </w:r>
      <w:r>
        <w:t xml:space="preserve"> </w:t>
      </w:r>
      <w:r>
        <w:t xml:space="preserve">means that the APV–AD system produces less biogas than a standalone</w:t>
      </w:r>
      <w:r>
        <w:t xml:space="preserve"> </w:t>
      </w:r>
      <w:r>
        <w:t xml:space="preserve">reference AD unit processing the same land area under open-field</w:t>
      </w:r>
      <w:r>
        <w:t xml:space="preserve"> </w:t>
      </w:r>
      <w:r>
        <w:t xml:space="preserve">conditions. This is not a design failure or an inefficiency of the</w:t>
      </w:r>
      <w:r>
        <w:t xml:space="preserve"> </w:t>
      </w:r>
      <w:r>
        <w:t xml:space="preserve">integrated system: it is a direct and unavoidable consequence of the</w:t>
      </w:r>
      <w:r>
        <w:t xml:space="preserve"> </w:t>
      </w:r>
      <w:r>
        <w:t xml:space="preserve">shading-residue coupling. When panels shade the crop,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 meaning fewer crop residues are harvested per hectare. Fewer</w:t>
      </w:r>
      <w:r>
        <w:t xml:space="preserve"> </w:t>
      </w:r>
      <w:r>
        <w:t xml:space="preserve">residues reduce VS input to the digester, which reduces biogas output.</w:t>
      </w:r>
      <w:r>
        <w:t xml:space="preserve"> </w:t>
      </w:r>
      <w:r>
        <w:t xml:space="preserve">The reference AD unit, by contrast, operates with open-field residues</w:t>
      </w:r>
      <w:r>
        <w:t xml:space="preserve"> </w:t>
      </w:r>
      <w:r>
        <w:t xml:space="preserve">at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— maximum residue production.</w:t>
      </w:r>
      <w:r>
        <w:t xml:space="preserve"> </w:t>
      </w:r>
      <w:r>
        <w:t xml:space="preserve">The ratio of the two biogas outputs is therefore structurally less</w:t>
      </w:r>
      <w:r>
        <w:t xml:space="preserve"> </w:t>
      </w:r>
      <w:r>
        <w:t xml:space="preserve">than 1.0 whenever shading is present.</w:t>
      </w:r>
    </w:p>
    <w:p>
      <w:pPr>
        <w:pStyle w:val="BodyText"/>
      </w:pPr>
      <w:r>
        <w:t xml:space="preserve">This coupling has an important implication for the interpretation of</w:t>
      </w:r>
      <w:r>
        <w:t xml:space="preserve"> </w:t>
      </w:r>
      <w:r>
        <w:t xml:space="preserve">the eLER sum. The three eLER components are not independent: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are negatively</w:t>
      </w:r>
      <w:r>
        <w:t xml:space="preserve"> </w:t>
      </w:r>
      <w:r>
        <w:t xml:space="preserve">correlated through the shading-residue pathway. Increasing GCR</w:t>
      </w:r>
      <w:r>
        <w:t xml:space="preserve"> </w:t>
      </w:r>
      <w:r>
        <w:t xml:space="preserve">raises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and reduces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, which in</w:t>
      </w:r>
      <w:r>
        <w:t xml:space="preserve"> </w:t>
      </w:r>
      <w:r>
        <w:t xml:space="preserve">turn reduces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. The optimizer finds the design</w:t>
      </w:r>
      <w:r>
        <w:t xml:space="preserve"> </w:t>
      </w:r>
      <w:r>
        <w:t xml:space="preserve">that maximises the sum of all three components, accepting the</w:t>
      </w:r>
      <w:r>
        <w:t xml:space="preserve"> </w:t>
      </w:r>
      <w:r>
        <w:t xml:space="preserve">biogas penalty in exchange for the larger PV gain.</w:t>
      </w:r>
    </w:p>
    <w:p>
      <w:pPr>
        <w:pStyle w:val="BodyText"/>
      </w:pPr>
      <w:r>
        <w:rPr>
          <w:b/>
          <w:bCs/>
        </w:rPr>
        <w:t xml:space="preserve">Property 2 — An alternative</w:t>
      </w:r>
      <w:r>
        <w:rPr>
          <w:b/>
          <w:bCs/>
        </w:rP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definition changes the interpretation but not the system physics.</w:t>
      </w:r>
      <w:r>
        <w:t xml:space="preserve"> </w:t>
      </w:r>
      <w:r>
        <w:t xml:space="preserve">An alternative reference for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could use a</w:t>
      </w:r>
      <w:r>
        <w:t xml:space="preserve"> </w:t>
      </w:r>
      <w:r>
        <w:t xml:space="preserve">standalone AD unit operating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PV heating — at</w:t>
      </w:r>
      <w:r>
        <w:t xml:space="preserve"> </w:t>
      </w:r>
      <w:r>
        <w:t xml:space="preserve">ambient temperature rather than at the PV-assisted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dig,eff</m:t>
            </m:r>
          </m:sub>
        </m:sSub>
      </m:oMath>
      <w:r>
        <w:t xml:space="preserve">. Under this definition: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biogas,alt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biogas,APV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biogas,ambient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biogas,ambient</m:t>
            </m:r>
          </m:sub>
        </m:sSub>
      </m:oMath>
      <w:r>
        <w:t xml:space="preserve"> </w:t>
      </w:r>
      <w:r>
        <w:t xml:space="preserve">is computed using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dig,eff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amb</m:t>
            </m:r>
          </m:sub>
        </m:sSub>
      </m:oMath>
      <w:r>
        <w:t xml:space="preserve"> </w:t>
      </w:r>
      <w:r>
        <w:t xml:space="preserve">without the 5 °C</w:t>
      </w:r>
      <w:r>
        <w:t xml:space="preserve"> </w:t>
      </w:r>
      <w:r>
        <w:t xml:space="preserve">boost or the</w:t>
      </w:r>
      <w:r>
        <w:t xml:space="preserve"> </w:t>
      </w:r>
      <m:oMath>
        <m:r>
          <m:rPr>
            <m:sty m:val="p"/>
          </m:rPr>
          <m:t>[</m:t>
        </m:r>
        <m:r>
          <m:t>26</m:t>
        </m:r>
        <m:r>
          <m:rPr>
            <m:sty m:val="p"/>
          </m:rPr>
          <m:t>,</m:t>
        </m:r>
        <m:r>
          <m:t> </m:t>
        </m:r>
        <m:r>
          <m:t>37</m:t>
        </m:r>
        <m:r>
          <m:rPr>
            <m:sty m:val="p"/>
          </m:rPr>
          <m:t>]</m:t>
        </m:r>
      </m:oMath>
      <w:r>
        <w:t xml:space="preserve"> °C clip. Under this definition,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biogas,alt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Konya and Freiburg in winter months,</w:t>
      </w:r>
      <w:r>
        <w:t xml:space="preserve"> </w:t>
      </w:r>
      <w:r>
        <w:t xml:space="preserve">explicitly quantifying the PV thermal subsidy to AD performance. This</w:t>
      </w:r>
      <w:r>
        <w:t xml:space="preserve"> </w:t>
      </w:r>
      <w:r>
        <w:t xml:space="preserve">alternative is conceptually more informative about the PV–AD synergy</w:t>
      </w:r>
      <w:r>
        <w:t xml:space="preserve"> </w:t>
      </w:r>
      <w:r>
        <w:t xml:space="preserve">but harder to compare across studies because the reference changes</w:t>
      </w:r>
      <w:r>
        <w:t xml:space="preserve"> </w:t>
      </w:r>
      <w:r>
        <w:t xml:space="preserve">with ambient temperature. The primary definition used throughout this</w:t>
      </w:r>
      <w:r>
        <w:t xml:space="preserve"> </w:t>
      </w:r>
      <w:r>
        <w:t xml:space="preserve">paper (Equation </w:t>
      </w:r>
      <w:hyperlink w:anchor="eq:lerbiogas">
        <w:r>
          <w:rPr>
            <w:rStyle w:val="Hyperlink"/>
          </w:rPr>
          <w:t xml:space="preserve">[eq:lerbiogas]</w:t>
        </w:r>
      </w:hyperlink>
      <w:r>
        <w:t xml:space="preserve">) was chosen for consistency with</w:t>
      </w:r>
      <w:r>
        <w:t xml:space="preserve"> </w:t>
      </w:r>
      <w:r>
        <w:t xml:space="preserve">the classical LER framework, in which all references are</w:t>
      </w:r>
      <w:r>
        <w:t xml:space="preserve"> </w:t>
      </w:r>
      <w:r>
        <w:t xml:space="preserve">activity-specific open-field monocultures operating under the same</w:t>
      </w:r>
      <w:r>
        <w:t xml:space="preserve"> </w:t>
      </w:r>
      <w:r>
        <w:t xml:space="preserve">boundary conditions as the integrated system.</w:t>
      </w:r>
    </w:p>
    <w:p>
      <w:pPr>
        <w:pStyle w:val="BodyText"/>
      </w:pPr>
      <w:r>
        <w:rPr>
          <w:b/>
          <w:bCs/>
        </w:rPr>
        <w:t xml:space="preserve">Property 3 — ESR</w:t>
      </w:r>
      <w:r>
        <w:rPr>
          <w:b/>
          <w:bCs/>
        </w:rPr>
        <w:t xml:space="preserve"> </w:t>
      </w:r>
      <m:oMath>
        <m:r>
          <m:rPr>
            <m:sty m:val="p"/>
          </m:rPr>
          <m:t>≫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 is a design identity, not a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 finding.</w:t>
      </w:r>
      <w:r>
        <w:t xml:space="preserve"> </w:t>
      </w:r>
      <w:r>
        <w:t xml:space="preserve">ESR values of 453–2 000 at the optimised designs reflect the</w:t>
      </w:r>
      <w:r>
        <w:t xml:space="preserve"> </w:t>
      </w:r>
      <w:r>
        <w:t xml:space="preserve">fundamental size mismatch between the PV array (which generates</w:t>
      </w:r>
      <w:r>
        <w:t xml:space="preserve"> </w:t>
      </w:r>
      <w:r>
        <w:t xml:space="preserve">electricity at the scale of 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and the</w:t>
      </w:r>
      <w:r>
        <w:t xml:space="preserve"> </w:t>
      </w:r>
      <w:r>
        <w:t xml:space="preserve">small farm-scale digester (which demands heat at the scale of</w:t>
      </w:r>
      <w:r>
        <w:t xml:space="preserve"> </w:t>
      </w:r>
      <w:r>
        <w:t xml:space="preserve">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— the same unit but three orders of</w:t>
      </w:r>
      <w:r>
        <w:t xml:space="preserve"> </w:t>
      </w:r>
      <w:r>
        <w:t xml:space="preserve">magnitude smaller in absolute value). With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nor/>
                <m:sty m:val="p"/>
              </m:rPr>
              <m:t>dig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2.64</m:t>
        </m:r>
      </m:oMath>
      <w:r>
        <w:t xml:space="preserve">–</w:t>
      </w:r>
      <m:oMath>
        <m:r>
          <m:t>4.32</m:t>
        </m:r>
      </m:oMath>
      <w:r>
        <w:t xml:space="preserve"> m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heat demand of only</w:t>
      </w:r>
      <w:r>
        <w:t xml:space="preserve"> </w:t>
      </w:r>
      <w:r>
        <w:t xml:space="preserve">0.72–2.26 MWh ha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even 5% of PV output provides</w:t>
      </w:r>
      <w:r>
        <w:t xml:space="preserve"> </w:t>
      </w:r>
      <w:r>
        <w:t xml:space="preserve">50–72 MWh of thermal energy — 23–100 times the annual heat</w:t>
      </w:r>
      <w:r>
        <w:t xml:space="preserve"> </w:t>
      </w:r>
      <w:r>
        <w:t xml:space="preserve">demand. The ESR is therefore more a confirmation of the PV array</w:t>
      </w:r>
      <w:r>
        <w:t xml:space="preserve"> </w:t>
      </w:r>
      <w:r>
        <w:t xml:space="preserve">being appropriately scaled to the land area than a meaningful</w:t>
      </w:r>
      <w:r>
        <w:t xml:space="preserve"> </w:t>
      </w:r>
      <w:r>
        <w:t xml:space="preserve">performance indicator for the AD system. Future studies operating</w:t>
      </w:r>
      <w:r>
        <w:t xml:space="preserve"> </w:t>
      </w:r>
      <w:r>
        <w:t xml:space="preserve">at larger scale (community digesters serving multiple hectares)</w:t>
      </w:r>
      <w:r>
        <w:t xml:space="preserve"> </w:t>
      </w:r>
      <w:r>
        <w:t xml:space="preserve">would achieve lower ESR values that are more informative about the</w:t>
      </w:r>
      <w:r>
        <w:t xml:space="preserve"> </w:t>
      </w:r>
      <w:r>
        <w:t xml:space="preserve">thermal balance between PV and AD.</w:t>
      </w:r>
    </w:p>
    <w:p>
      <w:pPr>
        <w:pStyle w:val="BodyText"/>
      </w:pPr>
      <w:r>
        <w:rPr>
          <w:b/>
          <w:bCs/>
        </w:rPr>
        <w:t xml:space="preserve">Property 4 — Equal component weighting is the</w:t>
      </w:r>
      <w:r>
        <w:rPr>
          <w:b/>
          <w:bCs/>
        </w:rPr>
        <w:t xml:space="preserve"> </w:t>
      </w:r>
      <w:r>
        <w:rPr>
          <w:b/>
          <w:bCs/>
        </w:rPr>
        <w:t xml:space="preserve">methodologically consistent choice, not an unexamined default.</w:t>
      </w:r>
      <w:r>
        <w:t xml:space="preserve"> </w:t>
      </w:r>
      <w:r>
        <w:t xml:space="preserve">Equation </w:t>
      </w:r>
      <w:hyperlink w:anchor="eq:eler">
        <w:r>
          <w:rPr>
            <w:rStyle w:val="Hyperlink"/>
          </w:rPr>
          <w:t xml:space="preserve">[eq:eler]</w:t>
        </w:r>
      </w:hyperlink>
      <w:r>
        <w:t xml:space="preserve"> </w:t>
      </w:r>
      <w:r>
        <w:t xml:space="preserve">sums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with implicit equal weight. Because each</w:t>
      </w:r>
      <w:r>
        <w:t xml:space="preserve"> </w:t>
      </w:r>
      <w:r>
        <w:t xml:space="preserve">component is already a ratio to its own reference system — the</w:t>
      </w:r>
      <w:r>
        <w:t xml:space="preserve"> </w:t>
      </w:r>
      <w:r>
        <w:t xml:space="preserve">same normalisation the classical two-component LER uses to make</w:t>
      </w:r>
      <w:r>
        <w:t xml:space="preserve"> </w:t>
      </w:r>
      <w:r>
        <w:t xml:space="preserve">physically incommensurable outputs (kg of crop, kWh of electricity,</w:t>
      </w:r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 biogas) comparable as land-equivalent fractions — equal</w:t>
      </w:r>
      <w:r>
        <w:t xml:space="preserve"> </w:t>
      </w:r>
      <w:r>
        <w:t xml:space="preserve">weighting is not an unexamined default but the choice consistent</w:t>
      </w:r>
      <w:r>
        <w:t xml:space="preserve"> </w:t>
      </w:r>
      <w:r>
        <w:t xml:space="preserve">with that normalisation logic. Re-weighting the three components by</w:t>
      </w:r>
      <w:r>
        <w:t xml:space="preserve"> </w:t>
      </w:r>
      <w:r>
        <w:t xml:space="preserve">their</w:t>
      </w:r>
      <w:r>
        <w:t xml:space="preserve"> </w:t>
      </w:r>
      <w:r>
        <w:rPr>
          <w:i/>
          <w:iCs/>
        </w:rPr>
        <w:t xml:space="preserve">raw physical magnitude</w:t>
      </w:r>
      <w:r>
        <w:t xml:space="preserve"> </w:t>
      </w:r>
      <w:r>
        <w:t xml:space="preserve">would reintroduce exactly the</w:t>
      </w:r>
      <w:r>
        <w:t xml:space="preserve"> </w:t>
      </w:r>
      <w:r>
        <w:t xml:space="preserve">scale problem the ratio normalisation is designed to solve, since</w:t>
      </w:r>
      <w:r>
        <w:t xml:space="preserve"> </w:t>
      </w:r>
      <w:r>
        <w:t xml:space="preserve">PV output exceeds crop and biogas output by 50–100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in raw</w:t>
      </w:r>
      <w:r>
        <w:t xml:space="preserve"> </w:t>
      </w:r>
      <w:r>
        <w:t xml:space="preserve">energy or monetary terms at every site studied here (e.g. at</w:t>
      </w:r>
      <w:r>
        <w:t xml:space="preserve"> </w:t>
      </w:r>
      <w:r>
        <w:t xml:space="preserve">Freiburg, PV output is 938 MWh   ha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versus a crop</w:t>
      </w:r>
      <w:r>
        <w:t xml:space="preserve"> </w:t>
      </w:r>
      <w:r>
        <w:t xml:space="preserve">energy-content equivalent of only 9.6 MWh   ha</w:t>
      </w:r>
      <w:r>
        <w:rPr>
          <w:vertAlign w:val="superscript"/>
        </w:rPr>
        <w:t xml:space="preserve">−1</w:t>
      </w:r>
      <w:r>
        <w:t xml:space="preserve">).</w:t>
      </w:r>
    </w:p>
    <w:p>
      <w:pPr>
        <w:pStyle w:val="BodyText"/>
      </w:pPr>
      <w:r>
        <w:t xml:space="preserve">This claim was tested directly rather than asserted. Two</w:t>
      </w:r>
      <w:r>
        <w:t xml:space="preserve"> </w:t>
      </w:r>
      <w:r>
        <w:t xml:space="preserve">magnitude-based alternative weighting schemes were constructed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economic</w:t>
      </w:r>
      <w:r>
        <w:t xml:space="preserve"> </w:t>
      </w:r>
      <w:r>
        <w:t xml:space="preserve">scheme (weights proportional to each</w:t>
      </w:r>
      <w:r>
        <w:t xml:space="preserve"> </w:t>
      </w:r>
      <w:r>
        <w:t xml:space="preserve">component’s share of Scenario S0 gross revenue) and an</w:t>
      </w:r>
      <w:r>
        <w:t xml:space="preserve"> </w:t>
      </w:r>
      <w:r>
        <w:rPr>
          <w:i/>
          <w:iCs/>
        </w:rPr>
        <w:t xml:space="preserve">energy-content</w:t>
      </w:r>
      <w:r>
        <w:t xml:space="preserve"> </w:t>
      </w:r>
      <w:r>
        <w:t xml:space="preserve">scheme (weights proportional to each</w:t>
      </w:r>
      <w:r>
        <w:t xml:space="preserve"> </w:t>
      </w:r>
      <w:r>
        <w:t xml:space="preserve">component’s physical energy content, converting crop yield to its</w:t>
      </w:r>
      <w:r>
        <w:t xml:space="preserve"> </w:t>
      </w:r>
      <w:r>
        <w:t xml:space="preserve">caloric equivalent) — and applied to the optimised design at each</w:t>
      </w:r>
      <w:r>
        <w:t xml:space="preserve"> </w:t>
      </w:r>
      <w:r>
        <w:t xml:space="preserve">site. Table </w:t>
      </w:r>
      <w:hyperlink w:anchor="tab:elerweightin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effect on the</w:t>
      </w:r>
      <w:r>
        <w:t xml:space="preserve"> </w:t>
      </w:r>
      <w:r>
        <w:t xml:space="preserve">cross-site eLER ranking.</w:t>
      </w:r>
    </w:p>
    <w:bookmarkStart w:id="11" w:name="tab:elerweighting"/>
    <w:p>
      <w:pPr>
        <w:pStyle w:val="TableCaption"/>
      </w:pPr>
      <w:r>
        <w:t xml:space="preserve">Sensitivity of the eLER site ranking to component</w:t>
      </w:r>
      <w:r>
        <w:t xml:space="preserve"> </w:t>
      </w:r>
      <w:r>
        <w:t xml:space="preserve">weighting scheme, evaluated at each site’s optimised design</w:t>
      </w:r>
      <w:r>
        <w:t xml:space="preserve"> </w:t>
      </w:r>
      <w:r>
        <w:t xml:space="preserve">(Table </w:t>
      </w:r>
      <w:hyperlink w:anchor="tab:optimal">
        <w:r>
          <w:rPr>
            <w:rStyle w:val="Hyperlink"/>
          </w:rPr>
          <w:t xml:space="preserve">[tab:optimal]</w:t>
        </w:r>
      </w:hyperlink>
      <w:r>
        <w:t xml:space="preserve">). Equal weighting is the primary</w:t>
      </w:r>
      <w:r>
        <w:t xml:space="preserve"> </w:t>
      </w:r>
      <w:r>
        <w:t xml:space="preserve">metric used throughout this paper (Table </w:t>
      </w:r>
      <w:hyperlink w:anchor="tab:eLER">
        <w:r>
          <w:rPr>
            <w:rStyle w:val="Hyperlink"/>
          </w:rPr>
          <w:t xml:space="preserve">[tab:eLER]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nsitivity of the eLER site ranking to component weighting scheme, evaluated at each site’s optimised design (Table [tab:optimal]). Equal weighting is the primary metric used throughout this paper (Table [tab:eLER]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Weighting scheme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ranking (highest eLER 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 (primary 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Freiburg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Ouagadougou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Almería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Konya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Ouagadougou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Almería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Konya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Freiburg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(revenue-share)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Ouagadougou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Almería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Freiburg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Konya</w:t>
            </w:r>
          </w:p>
        </w:tc>
      </w:tr>
    </w:tbl>
    <w:bookmarkEnd w:id="11"/>
    <w:p>
      <w:pPr>
        <w:pStyle w:val="BodyText"/>
      </w:pPr>
      <w:r>
        <w:t xml:space="preserve">Both magnitude-based schemes assign PV a normalised weight of</w:t>
      </w:r>
      <w:r>
        <w:t xml:space="preserve"> </w:t>
      </w:r>
      <w:r>
        <w:t xml:space="preserve">approximately 2.7–3.0 out of 3 at every site — effectively</w:t>
      </w:r>
      <w:r>
        <w:t xml:space="preserve"> </w:t>
      </w:r>
      <w:r>
        <w:t xml:space="preserve">collapsing eLER to a PV-only metric — and both displace Freiburg</w:t>
      </w:r>
      <w:r>
        <w:t xml:space="preserve"> </w:t>
      </w:r>
      <w:r>
        <w:t xml:space="preserve">from the top rank, with the energy-content scheme placing it last</w:t>
      </w:r>
      <w:r>
        <w:t xml:space="preserve"> </w:t>
      </w:r>
      <w:r>
        <w:t xml:space="preserve">despite its highest equal-weighted eLER (Table </w:t>
      </w:r>
      <w:hyperlink w:anchor="tab:eLER">
        <w:r>
          <w:rPr>
            <w:rStyle w:val="Hyperlink"/>
          </w:rPr>
          <w:t xml:space="preserve">[tab:eLER]</w:t>
        </w:r>
      </w:hyperlink>
      <w:r>
        <w:t xml:space="preserve">).</w:t>
      </w:r>
      <w:r>
        <w:t xml:space="preserve"> </w:t>
      </w:r>
      <w:r>
        <w:t xml:space="preserve">This confirms the ranking sensitivity is not merely hypothetical.</w:t>
      </w:r>
      <w:r>
        <w:t xml:space="preserve"> </w:t>
      </w:r>
      <w:r>
        <w:t xml:space="preserve">However, the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recommendations of this study are</w:t>
      </w:r>
      <w:r>
        <w:t xml:space="preserve"> </w:t>
      </w:r>
      <w:r>
        <w:t xml:space="preserve">materially more robust than the ranking: re-optimising the full</w:t>
      </w:r>
      <w:r>
        <w:t xml:space="preserve"> </w:t>
      </w:r>
      <w:r>
        <w:t xml:space="preserve">six-variable Differential Evolution problem under economic</w:t>
      </w:r>
      <w:r>
        <w:t xml:space="preserve"> </w:t>
      </w:r>
      <w:r>
        <w:t xml:space="preserve">weighting reproduces the same boundary convergence on row spacing</w:t>
      </w:r>
      <w:r>
        <w:t xml:space="preserve"> </w:t>
      </w:r>
      <w:r>
        <w:t xml:space="preserve">and module height (Section </w:t>
      </w:r>
      <w:hyperlink w:anchor="sec:results_optimal">
        <w:r>
          <w:rPr>
            <w:rStyle w:val="Hyperlink"/>
          </w:rPr>
          <w:t xml:space="preserve">[sec:results_optimal]</w:t>
        </w:r>
      </w:hyperlink>
      <w:r>
        <w:t xml:space="preserve">) at every</w:t>
      </w:r>
      <w:r>
        <w:t xml:space="preserve"> </w:t>
      </w:r>
      <w:r>
        <w:t xml:space="preserve">site, with optimal tilt angles shifting by less than 1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from the equal-weighted solution. Because PV revenue dominates</w:t>
      </w:r>
      <w:r>
        <w:t xml:space="preserve"> </w:t>
      </w:r>
      <w:r>
        <w:t xml:space="preserve">under any economically-motivated weighting,</w:t>
      </w:r>
      <w:r>
        <w:t xml:space="preserve"> </w:t>
      </w:r>
      <w:r>
        <w:t xml:space="preserve">“maximise PV density”</w:t>
      </w:r>
      <w:r>
        <w:t xml:space="preserve"> </w:t>
      </w:r>
      <w:r>
        <w:t xml:space="preserve">remains close to optimal regardless of the exact weight assigned to</w:t>
      </w:r>
      <w:r>
        <w:t xml:space="preserve"> </w:t>
      </w:r>
      <w:r>
        <w:t xml:space="preserve">the smaller crop and biogas terms.</w:t>
      </w:r>
    </w:p>
    <w:p>
      <w:pPr>
        <w:pStyle w:val="BodyText"/>
      </w:pPr>
      <w:r>
        <w:t xml:space="preserve">The appropriate reading of this result is not that eLER’s site</w:t>
      </w:r>
      <w:r>
        <w:t xml:space="preserve"> </w:t>
      </w:r>
      <w:r>
        <w:t xml:space="preserve">ranking is fragile in a way that undermines the metric, but that</w:t>
      </w:r>
      <w:r>
        <w:t xml:space="preserve"> </w:t>
      </w:r>
      <w:r>
        <w:t xml:space="preserve">ranking sites by a magnitude-weighted composite is a poor fit for a</w:t>
      </w:r>
      <w:r>
        <w:t xml:space="preserve"> </w:t>
      </w:r>
      <w:r>
        <w:t xml:space="preserve">LER-family metric specifically: doing so discards the very</w:t>
      </w:r>
      <w:r>
        <w:t xml:space="preserve"> </w:t>
      </w:r>
      <w:r>
        <w:t xml:space="preserve">information the ratio normalisation was constructed to preserve.</w:t>
      </w:r>
      <w:r>
        <w:t xml:space="preserve"> </w:t>
      </w:r>
      <w:r>
        <w:t xml:space="preserve">eLER, like the classical two-component LER before it, is a</w:t>
      </w:r>
      <w:r>
        <w:t xml:space="preserve"> </w:t>
      </w:r>
      <w:r>
        <w:rPr>
          <w:i/>
          <w:iCs/>
        </w:rPr>
        <w:t xml:space="preserve">decision-support</w:t>
      </w:r>
      <w:r>
        <w:t xml:space="preserve"> </w:t>
      </w:r>
      <w:r>
        <w:t xml:space="preserve">metric reflecting an explicit modelling</w:t>
      </w:r>
      <w:r>
        <w:t xml:space="preserve"> </w:t>
      </w:r>
      <w:r>
        <w:t xml:space="preserve">choice about how to compare heterogeneous land-use outputs — not</w:t>
      </w:r>
      <w:r>
        <w:t xml:space="preserve"> </w:t>
      </w:r>
      <w:r>
        <w:t xml:space="preserve">a universal welfare measure with a single objectively correct weighting.</w:t>
      </w:r>
      <w:r>
        <w:t xml:space="preserve"> </w:t>
      </w:r>
      <w:r>
        <w:t xml:space="preserve">Equal weighting is defended here as the choice consistent with the</w:t>
      </w:r>
      <w:r>
        <w:t xml:space="preserve"> </w:t>
      </w:r>
      <w:r>
        <w:t xml:space="preserve">metric’s own normalisation logic and is retained as the primary</w:t>
      </w:r>
      <w:r>
        <w:t xml:space="preserve"> </w:t>
      </w:r>
      <w:r>
        <w:t xml:space="preserve">metric on that basis, but a different decision context (for example,</w:t>
      </w:r>
      <w:r>
        <w:t xml:space="preserve"> </w:t>
      </w:r>
      <w:r>
        <w:t xml:space="preserve">a food-security policy analysis that deliberately up-weights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, or an investor analysis that deliberately</w:t>
      </w:r>
      <w:r>
        <w:t xml:space="preserve"> </w:t>
      </w:r>
      <w:r>
        <w:t xml:space="preserve">weights by revenue) could justify a different, explicitly-stated</w:t>
      </w:r>
      <w:r>
        <w:t xml:space="preserve"> </w:t>
      </w:r>
      <w:r>
        <w:t xml:space="preserve">weighting for its own purposes. The PAR-saturation non-monotonicity</w:t>
      </w:r>
      <w:r>
        <w:t xml:space="preserve"> </w:t>
      </w:r>
      <w:r>
        <w:t xml:space="preserve">(Finding C2) and the boundary-convergence result (Finding C3) are</w:t>
      </w:r>
      <w:r>
        <w:t xml:space="preserve"> </w:t>
      </w:r>
      <w:r>
        <w:t xml:space="preserve">reported under equal weighting as the primary metric, with the</w:t>
      </w:r>
      <w:r>
        <w:t xml:space="preserve"> </w:t>
      </w:r>
      <w:r>
        <w:t xml:space="preserve">ranking’s sensitivity to alternative schemes disclosed here as a</w:t>
      </w:r>
      <w:r>
        <w:t xml:space="preserve"> </w:t>
      </w:r>
      <w:r>
        <w:t xml:space="preserve">scope limitation of that choice rather than treated as a threat to</w:t>
      </w:r>
      <w:r>
        <w:t xml:space="preserve"> </w:t>
      </w:r>
      <w:r>
        <w:t xml:space="preserve">the paper’s structural conclusions. Full weighting derivations and</w:t>
      </w:r>
      <w:r>
        <w:t xml:space="preserve"> </w:t>
      </w:r>
      <w:r>
        <w:t xml:space="preserve">additional detail are provided in the supplementary sensitivity</w:t>
      </w:r>
      <w:r>
        <w:t xml:space="preserve"> </w:t>
      </w:r>
      <w:r>
        <w:t xml:space="preserve">analysis (</w:t>
      </w:r>
      <w:r>
        <w:rPr>
          <w:rStyle w:val="VerbatimChar"/>
        </w:rPr>
        <w:t xml:space="preserve">docs/eLER_weighting_sensitivity.md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Beyond the scalar optimum: a Pareto perspective.</w:t>
      </w:r>
      <w:r>
        <w:t xml:space="preserve"> </w:t>
      </w:r>
      <w:r>
        <w:t xml:space="preserve">Property 4</w:t>
      </w:r>
      <w:r>
        <w:t xml:space="preserve"> </w:t>
      </w:r>
      <w:r>
        <w:t xml:space="preserve">frames eLER as one explicit, defensible decision rule among several;</w:t>
      </w:r>
      <w:r>
        <w:t xml:space="preserve"> </w:t>
      </w:r>
      <w:r>
        <w:t xml:space="preserve">Section </w:t>
      </w:r>
      <w:hyperlink w:anchor="sec:optimizer">
        <w:r>
          <w:rPr>
            <w:rStyle w:val="Hyperlink"/>
          </w:rPr>
          <w:t xml:space="preserve">[sec:optimizer]</w:t>
        </w:r>
      </w:hyperlink>
      <w:r>
        <w:t xml:space="preserve"> </w:t>
      </w:r>
      <w:r>
        <w:t xml:space="preserve">(Multi-Objective Extension) noted that</w:t>
      </w:r>
      <w:r>
        <w:t xml:space="preserve"> </w:t>
      </w:r>
      <w:r>
        <w:t xml:space="preserve">the scalar objective can be replaced by a bi-objective problem</w:t>
      </w:r>
      <w:r>
        <w:t xml:space="preserve"> </w:t>
      </w:r>
      <w:r>
        <w:t xml:space="preserve">maximising eLER 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jointly via NSGA-II. Running</w:t>
      </w:r>
      <w:r>
        <w:t xml:space="preserve"> </w:t>
      </w:r>
      <w:r>
        <w:t xml:space="preserve">this bi-objective search for Konya (50 solutions, 80 generations,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) makes the trade-off concrete rather than abstract.</w:t>
      </w:r>
      <w:r>
        <w:t xml:space="preserve"> </w:t>
      </w:r>
      <w:r>
        <w:t xml:space="preserve">Figure </w:t>
      </w:r>
      <w:hyperlink w:anchor="fig:paret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resulting Pareto front: eLER 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trade off nearly linearly across the feasible</w:t>
      </w:r>
      <w:r>
        <w:t xml:space="preserve"> </w:t>
      </w:r>
      <w:r>
        <w:t xml:space="preserve">design space, from (eLER</w:t>
      </w:r>
      <w:r>
        <w:t xml:space="preserve"> </w:t>
      </w:r>
      <m:oMath>
        <m:r>
          <m:rPr>
            <m:sty m:val="p"/>
          </m:rPr>
          <m:t>=</m:t>
        </m:r>
        <m:r>
          <m:t>1.20</m:t>
        </m:r>
      </m:oMath>
      <w:r>
        <w:t xml:space="preserve">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  <m:r>
          <m:rPr>
            <m:sty m:val="p"/>
          </m:rPr>
          <m:t>=</m:t>
        </m:r>
        <m:r>
          <m:t>36.1</m:t>
        </m:r>
        <m:r>
          <m:rPr>
            <m:sty m:val="p"/>
          </m:rPr>
          <m:t>%</m:t>
        </m:r>
      </m:oMath>
      <w:r>
        <w:t xml:space="preserve">) at</w:t>
      </w:r>
      <w:r>
        <w:t xml:space="preserve"> </w:t>
      </w:r>
      <w:r>
        <w:t xml:space="preserve">the water-maximising end to (eLER</w:t>
      </w:r>
      <w:r>
        <w:t xml:space="preserve"> </w:t>
      </w:r>
      <m:oMath>
        <m:r>
          <m:rPr>
            <m:sty m:val="p"/>
          </m:rPr>
          <m:t>=</m:t>
        </m:r>
        <m:r>
          <m:t>1.64</m:t>
        </m:r>
      </m:oMath>
      <w:r>
        <w:t xml:space="preserve">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  <m:r>
          <m:rPr>
            <m:sty m:val="p"/>
          </m:rPr>
          <m:t>=</m:t>
        </m:r>
        <m:r>
          <m:t>18.9</m:t>
        </m:r>
        <m:r>
          <m:rPr>
            <m:sty m:val="p"/>
          </m:rPr>
          <m:t>%</m:t>
        </m:r>
      </m:oMath>
      <w:r>
        <w:t xml:space="preserve">) at the eLER-maximising end. The single-objective optimum</w:t>
      </w:r>
      <w:r>
        <w:t xml:space="preserve"> </w:t>
      </w:r>
      <w:r>
        <w:t xml:space="preserve">reported in Table </w:t>
      </w:r>
      <w:hyperlink w:anchor="tab:eLER">
        <w:r>
          <w:rPr>
            <w:rStyle w:val="Hyperlink"/>
          </w:rPr>
          <w:t xml:space="preserve">[tab:eLER]</w:t>
        </w:r>
      </w:hyperlink>
      <w:r>
        <w:t xml:space="preserve"> </w:t>
      </w:r>
      <w:r>
        <w:t xml:space="preserve">sits exactly at this second extreme</w:t>
      </w:r>
      <w:r>
        <w:t xml:space="preserve"> </w:t>
      </w:r>
      <w:r>
        <w:t xml:space="preserve">— confirming the scalar optimizer is not leaving an easy joint</w:t>
      </w:r>
      <w:r>
        <w:t xml:space="preserve"> </w:t>
      </w:r>
      <w:r>
        <w:t xml:space="preserve">improvement on the table, but also making explicit that it is one</w:t>
      </w:r>
      <w:r>
        <w:t xml:space="preserve"> </w:t>
      </w:r>
      <w:r>
        <w:t xml:space="preserve">specific point on a continuum, not the only defensible design. A</w:t>
      </w:r>
      <w:r>
        <w:t xml:space="preserve"> </w:t>
      </w:r>
      <w:r>
        <w:t xml:space="preserve">water-stressed smallholder context (Section </w:t>
      </w:r>
      <w:hyperlink w:anchor="sec:results_water">
        <w:r>
          <w:rPr>
            <w:rStyle w:val="Hyperlink"/>
          </w:rPr>
          <w:t xml:space="preserve">[sec:results_water]</w:t>
        </w:r>
      </w:hyperlink>
      <w:r>
        <w:t xml:space="preserve">)</w:t>
      </w:r>
      <w:r>
        <w:t xml:space="preserve"> </w:t>
      </w:r>
      <w:r>
        <w:t xml:space="preserve">might reasonably trade roughly 0.1 eLER units for several percentage</w:t>
      </w:r>
      <w:r>
        <w:t xml:space="preserve"> </w:t>
      </w:r>
      <w:r>
        <w:t xml:space="preserve">points of additional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; a context prioritising</w:t>
      </w:r>
      <w:r>
        <w:t xml:space="preserve"> </w:t>
      </w:r>
      <w:r>
        <w:t xml:space="preserve">maximum land-use productivity would not. This is precisely the kind</w:t>
      </w:r>
      <w:r>
        <w:t xml:space="preserve"> </w:t>
      </w:r>
      <w:r>
        <w:t xml:space="preserve">of design choice a decision-support metric should expose rather than</w:t>
      </w:r>
      <w:r>
        <w:t xml:space="preserve"> </w:t>
      </w:r>
      <w:r>
        <w:t xml:space="preserve">resolve internally, reinforcing Property 4’s framing.</w:t>
      </w:r>
    </w:p>
    <w:bookmarkStart w:id="15" w:name="fig:pareto"/>
    <w:p>
      <w:pPr>
        <w:pStyle w:val="CaptionedFigure"/>
      </w:pPr>
      <w:r>
        <w:drawing>
          <wp:inline>
            <wp:extent cx="3733800" cy="280035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10_pareto_eler_wat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Pareto front between eLER (Definition A) 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(growing-season, Equation </w:t>
      </w:r>
      <w:hyperlink w:anchor="eq:lerwater">
        <w:r>
          <w:rPr>
            <w:rStyle w:val="Hyperlink"/>
          </w:rPr>
          <w:t xml:space="preserve">[eq:lerwater]</w:t>
        </w:r>
      </w:hyperlink>
      <w:r>
        <w:t xml:space="preserve">)</w:t>
      </w:r>
      <w:r>
        <w:t xml:space="preserve"> </w:t>
      </w:r>
      <w:r>
        <w:t xml:space="preserve">for Konya, from a bi-objective NSGA-II search (50 solutions,</w:t>
      </w:r>
      <w:r>
        <w:t xml:space="preserve"> </w:t>
      </w:r>
      <w:r>
        <w:t xml:space="preserve">80 generations) over the same six-dimensional design space used</w:t>
      </w:r>
      <w:r>
        <w:t xml:space="preserve"> </w:t>
      </w:r>
      <w:r>
        <w:t xml:space="preserve">for the primary scalar optimization. The dotted line marks the</w:t>
      </w:r>
      <w:r>
        <w:t xml:space="preserve"> </w:t>
      </w:r>
      <w:r>
        <w:t xml:space="preserve">scalar eLER optimum reported in Table </w:t>
      </w:r>
      <w:hyperlink w:anchor="tab:eLER">
        <w:r>
          <w:rPr>
            <w:rStyle w:val="Hyperlink"/>
          </w:rPr>
          <w:t xml:space="preserve">[tab:eLER]</w:t>
        </w:r>
      </w:hyperlink>
      <w:r>
        <w:t xml:space="preserve">, which</w:t>
      </w:r>
      <w:r>
        <w:t xml:space="preserve"> </w:t>
      </w:r>
      <w:r>
        <w:t xml:space="preserve">coincides with the eLER-maximising end of the front.</w:t>
      </w:r>
    </w:p>
    <w:bookmarkEnd w:id="15"/>
    <w:p>
      <w:pPr>
        <w:pStyle w:val="BodyText"/>
      </w:pPr>
      <w:r>
        <w:rPr>
          <w:b/>
          <w:bCs/>
        </w:rPr>
        <w:t xml:space="preserve">Definition A versus Definition B: when to use each.</w:t>
      </w:r>
      <w:r>
        <w:t xml:space="preserve"> </w:t>
      </w:r>
      <w:r>
        <w:t xml:space="preserve">Definition A (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referenced to a dense-pack</w:t>
      </w:r>
      <w:r>
        <w:t xml:space="preserve"> </w:t>
      </w:r>
      <w:r>
        <w:t xml:space="preserve">independent array) is the scientifically rigorous choice for</w:t>
      </w:r>
      <w:r>
        <w:t xml:space="preserve"> </w:t>
      </w:r>
      <w:r>
        <w:t xml:space="preserve">studies that aim to quantify the net land-use benefit of the APV</w:t>
      </w:r>
      <w:r>
        <w:t xml:space="preserve"> </w:t>
      </w:r>
      <w:r>
        <w:t xml:space="preserve">configuration relative to what could be achieved with two separate</w:t>
      </w:r>
      <w:r>
        <w:t xml:space="preserve"> </w:t>
      </w:r>
      <w:r>
        <w:t xml:space="preserve">monocultures. Definition B (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  <m:r>
          <m:rPr>
            <m:sty m:val="p"/>
          </m:rPr>
          <m:t>≡</m:t>
        </m:r>
        <m:r>
          <m:t>G</m:t>
        </m:r>
        <m:r>
          <m:t>C</m:t>
        </m:r>
        <m:r>
          <m:t>R</m:t>
        </m:r>
      </m:oMath>
      <w:r>
        <w:t xml:space="preserve">) is</w:t>
      </w:r>
      <w:r>
        <w:t xml:space="preserve"> </w:t>
      </w:r>
      <w:r>
        <w:t xml:space="preserve">appropriate only for literature comparison with studies that have</w:t>
      </w:r>
      <w:r>
        <w:t xml:space="preserve"> </w:t>
      </w:r>
      <w:r>
        <w:t xml:space="preserve">used the circular reference, and its numerical values should always</w:t>
      </w:r>
      <w:r>
        <w:t xml:space="preserve"> </w:t>
      </w:r>
      <w:r>
        <w:t xml:space="preserve">be flagged as such. The difference between the two definitions is</w:t>
      </w:r>
      <w:r>
        <w:t xml:space="preserve"> </w:t>
      </w:r>
      <w:r>
        <w:t xml:space="preserve">0.029–0.033 in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and 0.029–0.033 in eLER at the</w:t>
      </w:r>
      <w:r>
        <w:t xml:space="preserve"> </w:t>
      </w:r>
      <w:r>
        <w:t xml:space="preserve">optimised designs of this study (Table </w:t>
      </w:r>
      <w:hyperlink w:anchor="tab:eLER">
        <w:r>
          <w:rPr>
            <w:rStyle w:val="Hyperlink"/>
          </w:rPr>
          <w:t xml:space="preserve">[tab:eLER]</w:t>
        </w:r>
      </w:hyperlink>
      <w:r>
        <w:t xml:space="preserve">), which is</w:t>
      </w:r>
      <w:r>
        <w:t xml:space="preserve"> </w:t>
      </w:r>
      <w:r>
        <w:t xml:space="preserve">small relative to the between-site eLER variation (0.123) but</w:t>
      </w:r>
      <w:r>
        <w:t xml:space="preserve"> </w:t>
      </w:r>
      <w:r>
        <w:t xml:space="preserve">non-negligible relative to the between-site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variation (0.041). Standardisation of the PV reference definition</w:t>
      </w:r>
      <w:r>
        <w:t xml:space="preserve"> </w:t>
      </w:r>
      <w:r>
        <w:t xml:space="preserve">— ideally through an agreed protocol analogous to the IEC 61724</w:t>
      </w:r>
      <w:r>
        <w:t xml:space="preserve"> </w:t>
      </w:r>
      <w:r>
        <w:t xml:space="preserve">standard for PV performance reporting — is identified as a</w:t>
      </w:r>
      <w:r>
        <w:t xml:space="preserve"> </w:t>
      </w:r>
      <w:r>
        <w:t xml:space="preserve">priority for the agrivoltaic community.</w:t>
      </w:r>
    </w:p>
    <w:bookmarkEnd w:id="16"/>
    <w:bookmarkStart w:id="17" w:name="sec:discussion_economics"/>
    <w:p>
      <w:pPr>
        <w:pStyle w:val="Heading2"/>
      </w:pPr>
      <w:r>
        <w:t xml:space="preserve">Economic Viability and Policy Implications</w:t>
      </w:r>
    </w:p>
    <w:p>
      <w:pPr>
        <w:pStyle w:val="FirstParagraph"/>
      </w:pPr>
      <w:r>
        <w:t xml:space="preserve">The 4E analysis reveals a wide range of economic</w:t>
      </w:r>
      <w:r>
        <w:t xml:space="preserve"> </w:t>
      </w:r>
      <w:r>
        <w:t xml:space="preserve">performance across the four sites, from strongly viable</w:t>
      </w:r>
      <w:r>
        <w:t xml:space="preserve"> </w:t>
      </w:r>
      <w:r>
        <w:t xml:space="preserve">(Ouagadougou, IRR = 28.1%) to marginal but positive (Konya,</w:t>
      </w:r>
      <w:r>
        <w:t xml:space="preserve"> </w:t>
      </w:r>
      <w:r>
        <w:t xml:space="preserve">IRR = 11.0% against an 8% discount rate). Three policy-relevant</w:t>
      </w:r>
      <w:r>
        <w:t xml:space="preserve"> </w:t>
      </w:r>
      <w:r>
        <w:t xml:space="preserve">implications emerge from the economic results.</w:t>
      </w:r>
    </w:p>
    <w:p>
      <w:pPr>
        <w:pStyle w:val="BodyText"/>
      </w:pPr>
      <w:r>
        <w:rPr>
          <w:b/>
          <w:bCs/>
        </w:rPr>
        <w:t xml:space="preserve">Electricity tariff structure is the primary economic</w:t>
      </w:r>
      <w:r>
        <w:rPr>
          <w:b/>
          <w:bCs/>
        </w:rPr>
        <w:t xml:space="preserve"> </w:t>
      </w:r>
      <w:r>
        <w:rPr>
          <w:b/>
          <w:bCs/>
        </w:rPr>
        <w:t xml:space="preserve">determinant.</w:t>
      </w:r>
      <w:r>
        <w:t xml:space="preserve"> </w:t>
      </w:r>
      <w:r>
        <w:t xml:space="preserve">The largest revenue stream at all four sites is PV</w:t>
      </w:r>
      <w:r>
        <w:t xml:space="preserve"> </w:t>
      </w:r>
      <w:r>
        <w:t xml:space="preserve">electricity sales, which accounts for 92–96% of gross revenue</w:t>
      </w:r>
      <w:r>
        <w:t xml:space="preserve"> </w:t>
      </w:r>
      <w:r>
        <w:t xml:space="preserve">under Scenario S0. The electricity price therefore has a</w:t>
      </w:r>
      <w:r>
        <w:t xml:space="preserve"> </w:t>
      </w:r>
      <w:r>
        <w:t xml:space="preserve">disproportionate influence on project economics relative to tomato</w:t>
      </w:r>
      <w:r>
        <w:t xml:space="preserve"> </w:t>
      </w:r>
      <w:r>
        <w:t xml:space="preserve">price, biogas price, or carbon credit. At Konya, the low Turkish</w:t>
      </w:r>
      <w:r>
        <w:t xml:space="preserve"> </w:t>
      </w:r>
      <w:r>
        <w:t xml:space="preserve">electricity tariff ($0.06 kWh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is the binding constraint</w:t>
      </w:r>
      <w:r>
        <w:t xml:space="preserve"> </w:t>
      </w:r>
      <w:r>
        <w:t xml:space="preserve">on IRR: with a broadly comparable PV output to Almería</w:t>
      </w:r>
      <w:r>
        <w:t xml:space="preserve"> </w:t>
      </w:r>
      <w:r>
        <w:t xml:space="preserve">(1 295 vs. 1 386 MWh ha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optimal design),</w:t>
      </w:r>
      <w:r>
        <w:t xml:space="preserve"> </w:t>
      </w:r>
      <w:r>
        <w:t xml:space="preserve">Konya generates disproportionately less PV revenue simply because</w:t>
      </w:r>
      <w:r>
        <w:t xml:space="preserve"> </w:t>
      </w:r>
      <w:r>
        <w:t xml:space="preserve">the tariff is 33% lower ($0.06 vs. $0.09 kWh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A</w:t>
      </w:r>
      <w:r>
        <w:t xml:space="preserve"> </w:t>
      </w:r>
      <w:r>
        <w:t xml:space="preserve">sensitivity analysis shows that a Turkish electricity price increase</w:t>
      </w:r>
      <w:r>
        <w:t xml:space="preserve"> </w:t>
      </w:r>
      <w:r>
        <w:t xml:space="preserve">to $0.09 kWh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— consistent with the regional trend as</w:t>
      </w:r>
      <w:r>
        <w:t xml:space="preserve"> </w:t>
      </w:r>
      <w:r>
        <w:t xml:space="preserve">fossil fuel subsidies are progressively reduced — would raise</w:t>
      </w:r>
      <w:r>
        <w:t xml:space="preserve"> </w:t>
      </w:r>
      <w:r>
        <w:t xml:space="preserve">Konya’s IRR to approximately 18%, exceeding Freiburg’s current</w:t>
      </w:r>
      <w:r>
        <w:t xml:space="preserve"> </w:t>
      </w:r>
      <w:r>
        <w:t xml:space="preserve">IRR (13.0%) and well above the discount rate. This underscores that</w:t>
      </w:r>
      <w:r>
        <w:t xml:space="preserve"> </w:t>
      </w:r>
      <w:r>
        <w:t xml:space="preserve">APV–AD investment viability in semi-arid developing economies is</w:t>
      </w:r>
      <w:r>
        <w:t xml:space="preserve"> </w:t>
      </w:r>
      <w:r>
        <w:t xml:space="preserve">primarily a function of energy price reform, not of solar resource</w:t>
      </w:r>
      <w:r>
        <w:t xml:space="preserve"> </w:t>
      </w:r>
      <w:r>
        <w:t xml:space="preserve">or technology cost.</w:t>
      </w:r>
    </w:p>
    <w:p>
      <w:pPr>
        <w:pStyle w:val="BodyText"/>
      </w:pPr>
      <w:r>
        <w:rPr>
          <w:b/>
          <w:bCs/>
        </w:rPr>
        <w:t xml:space="preserve">The carbon credit scenario (S6) provides the strongest</w:t>
      </w:r>
      <w:r>
        <w:rPr>
          <w:b/>
          <w:bCs/>
        </w:rPr>
        <w:t xml:space="preserve"> </w:t>
      </w:r>
      <w:r>
        <w:rPr>
          <w:b/>
          <w:bCs/>
        </w:rPr>
        <w:t xml:space="preserve">economic uplift in this study and is worth prioritising in policy</w:t>
      </w:r>
      <w:r>
        <w:rPr>
          <w:b/>
          <w:bCs/>
        </w:rPr>
        <w:t xml:space="preserve"> </w:t>
      </w:r>
      <w:r>
        <w:rPr>
          <w:b/>
          <w:bCs/>
        </w:rPr>
        <w:t xml:space="preserve">design.</w:t>
      </w:r>
      <w:r>
        <w:t xml:space="preserve"> </w:t>
      </w:r>
      <w:r>
        <w:t xml:space="preserve">S6 raises</w:t>
      </w:r>
      <w:r>
        <w:t xml:space="preserve"> </w:t>
      </w:r>
      <w:r>
        <w:t xml:space="preserve">IRR by 1.7–4.6 percentage points above S0 at all sites, with the</w:t>
      </w:r>
      <w:r>
        <w:t xml:space="preserve"> </w:t>
      </w:r>
      <w:r>
        <w:t xml:space="preserve">largest absolute improvement at Freiburg (+4.6 pp) driven by the</w:t>
      </w:r>
      <w:r>
        <w:t xml:space="preserve"> </w:t>
      </w:r>
      <w:r>
        <w:t xml:space="preserve">EU ETS price ($65 tCO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). At Ouagadougou and Konya,</w:t>
      </w:r>
      <w:r>
        <w:t xml:space="preserve"> </w:t>
      </w:r>
      <w:r>
        <w:t xml:space="preserve">where voluntary carbon market prices are much lower</w:t>
      </w:r>
      <w:r>
        <w:t xml:space="preserve"> </w:t>
      </w:r>
      <w:r>
        <w:t xml:space="preserve">($12–15 tCO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 the S6 improvement is smaller in</w:t>
      </w:r>
      <w:r>
        <w:t xml:space="preserve"> </w:t>
      </w:r>
      <w:r>
        <w:t xml:space="preserve">absolute terms (+1.9 and +1.7 pp respectively) but still</w:t>
      </w:r>
      <w:r>
        <w:t xml:space="preserve"> </w:t>
      </w:r>
      <w:r>
        <w:t xml:space="preserve">meaningful relative to the discount rate. The policy implication</w:t>
      </w:r>
      <w:r>
        <w:t xml:space="preserve"> </w:t>
      </w:r>
      <w:r>
        <w:t xml:space="preserve">is that extending carbon credit mechanisms — whether through</w:t>
      </w:r>
      <w:r>
        <w:t xml:space="preserve"> </w:t>
      </w:r>
      <w:r>
        <w:t xml:space="preserve">the Article 6 Paris Agreement framework, Gold Standard</w:t>
      </w:r>
      <w:r>
        <w:t xml:space="preserve"> </w:t>
      </w:r>
      <w:r>
        <w:t xml:space="preserve">certification, or national carbon pricing — to smallholder</w:t>
      </w:r>
      <w:r>
        <w:t xml:space="preserve"> </w:t>
      </w:r>
      <w:r>
        <w:t xml:space="preserve">agrivoltaic installations in Sub-Saharan Africa and Central</w:t>
      </w:r>
      <w:r>
        <w:t xml:space="preserve"> </w:t>
      </w:r>
      <w:r>
        <w:t xml:space="preserve">Asia would provide a material improvement in project economics</w:t>
      </w:r>
      <w:r>
        <w:t xml:space="preserve"> </w:t>
      </w:r>
      <w:r>
        <w:t xml:space="preserve">without requiring technology subsidies or feed-in tariff reform.</w:t>
      </w:r>
      <w:r>
        <w:t xml:space="preserve"> </w:t>
      </w:r>
      <w:r>
        <w:t xml:space="preserve">Given that the 861 tCO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avoided at</w:t>
      </w:r>
      <w:r>
        <w:t xml:space="preserve"> </w:t>
      </w:r>
      <w:r>
        <w:t xml:space="preserve">Ouagadougou represents a significant fraction of the annual per</w:t>
      </w:r>
      <w:r>
        <w:t xml:space="preserve"> </w:t>
      </w:r>
      <w:r>
        <w:t xml:space="preserve">capita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budget compatible with 1.5 °C pathways,</w:t>
      </w:r>
      <w:r>
        <w:t xml:space="preserve"> </w:t>
      </w:r>
      <w:r>
        <w:t xml:space="preserve">this mechanism also aligns economic incentives with climate goals.</w:t>
      </w:r>
    </w:p>
    <w:p>
      <w:pPr>
        <w:pStyle w:val="BodyText"/>
      </w:pPr>
      <w:r>
        <w:rPr>
          <w:b/>
          <w:bCs/>
        </w:rPr>
        <w:t xml:space="preserve">Ouagadougou provides the strongest investment case among the</w:t>
      </w:r>
      <w:r>
        <w:rPr>
          <w:b/>
          <w:bCs/>
        </w:rPr>
        <w:t xml:space="preserve"> </w:t>
      </w:r>
      <w:r>
        <w:rPr>
          <w:b/>
          <w:bCs/>
        </w:rPr>
        <w:t xml:space="preserve">four sites in this study.</w:t>
      </w:r>
      <w:r>
        <w:t xml:space="preserve"> </w:t>
      </w:r>
      <w:r>
        <w:t xml:space="preserve">An IRR of 28.1% under S0 and 29.9% under S6, combined with a</w:t>
      </w:r>
      <w:r>
        <w:t xml:space="preserve"> </w:t>
      </w:r>
      <w:r>
        <w:t xml:space="preserve">payback of 3.3–3.5 yr, makes the Ouagadougou configuration</w:t>
      </w:r>
      <w:r>
        <w:t xml:space="preserve"> </w:t>
      </w:r>
      <w:r>
        <w:t xml:space="preserve">attractive even at the 10% discount rate that reflects the higher</w:t>
      </w:r>
      <w:r>
        <w:t xml:space="preserve"> </w:t>
      </w:r>
      <w:r>
        <w:t xml:space="preserve">cost of capital in developing economies. Three structural advantages</w:t>
      </w:r>
      <w:r>
        <w:t xml:space="preserve"> </w:t>
      </w:r>
      <w:r>
        <w:t xml:space="preserve">drive this result: the highest electricity price in the study</w:t>
      </w:r>
      <w:r>
        <w:t xml:space="preserve"> </w:t>
      </w:r>
      <w:r>
        <w:t xml:space="preserve">($0.12 kWh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reflecting the true cost of diesel generation),</w:t>
      </w:r>
      <w:r>
        <w:t xml:space="preserve"> </w:t>
      </w:r>
      <w:r>
        <w:t xml:space="preserve">the highest biogas yield (5.98 MWh ha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from the optimal</w:t>
      </w:r>
      <w:r>
        <w:t xml:space="preserve"> </w:t>
      </w:r>
      <w:r>
        <w:t xml:space="preserve">Arrhenius BMP at 33.2 °C average digester temperature),</w:t>
      </w:r>
      <w:r>
        <w:t xml:space="preserve"> </w:t>
      </w:r>
      <w:r>
        <w:t xml:space="preserve">and the largest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 (861 tCO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from the</w:t>
      </w:r>
      <w:r>
        <w:t xml:space="preserve"> </w:t>
      </w:r>
      <w:r>
        <w:t xml:space="preserve">high grid emission factor of 0.632 tCO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The small</w:t>
      </w:r>
      <w:r>
        <w:t xml:space="preserve"> </w:t>
      </w:r>
      <w:r>
        <w:t xml:space="preserve">digester volume (2.64 m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 and low AD CAPEX ($2 112) mean that</w:t>
      </w:r>
      <w:r>
        <w:t xml:space="preserve"> </w:t>
      </w:r>
      <w:r>
        <w:t xml:space="preserve">the biogas revenue stream is essentially free cash flow on top of</w:t>
      </w:r>
      <w:r>
        <w:t xml:space="preserve"> </w:t>
      </w:r>
      <w:r>
        <w:t xml:space="preserve">the PV investment. For development finance institutions seeking</w:t>
      </w:r>
      <w:r>
        <w:t xml:space="preserve"> </w:t>
      </w:r>
      <w:r>
        <w:t xml:space="preserve">bankable climate-positive agricultural projects in the Sahel,</w:t>
      </w:r>
      <w:r>
        <w:t xml:space="preserve"> </w:t>
      </w:r>
      <w:r>
        <w:t xml:space="preserve">the APV–AD model at Ouagadougou-type sites offers a notable</w:t>
      </w:r>
      <w:r>
        <w:t xml:space="preserve"> </w:t>
      </w:r>
      <w:r>
        <w:t xml:space="preserve">combination of high IRR, short payback, large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impact,</w:t>
      </w:r>
      <w:r>
        <w:t xml:space="preserve"> </w:t>
      </w:r>
      <w:r>
        <w:t xml:space="preserve">and food security co-benefit.</w:t>
      </w:r>
    </w:p>
    <w:p>
      <w:pPr>
        <w:pStyle w:val="BodyText"/>
      </w:pPr>
      <w:r>
        <w:rPr>
          <w:b/>
          <w:bCs/>
        </w:rPr>
        <w:t xml:space="preserve">LCOE is at or below utility-scale solar at every site, not</w:t>
      </w:r>
      <w:r>
        <w:rPr>
          <w:b/>
          <w:bCs/>
        </w:rPr>
        <w:t xml:space="preserve"> </w:t>
      </w:r>
      <w:r>
        <w:rPr>
          <w:b/>
          <w:bCs/>
        </w:rPr>
        <w:t xml:space="preserve">just the best ones.</w:t>
      </w:r>
      <w:r>
        <w:t xml:space="preserve"> </w:t>
      </w:r>
      <w:r>
        <w:t xml:space="preserve">LCOE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ranges from</w:t>
      </w:r>
      <w:r>
        <w:t xml:space="preserve"> </w:t>
      </w:r>
      <w:r>
        <w:t xml:space="preserve">$0.038 kWh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Almería to $0.049 kWh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w:r>
        <w:t xml:space="preserve">Freiburg, against the IRENA 2023 global utility-scale solar</w:t>
      </w:r>
      <w:r>
        <w:t xml:space="preserve"> </w:t>
      </w:r>
      <w:r>
        <w:t xml:space="preserve">benchmark of $0.049 kWh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Almería is 22% below the</w:t>
      </w:r>
      <w:r>
        <w:t xml:space="preserve"> </w:t>
      </w:r>
      <w:r>
        <w:t xml:space="preserve">benchmark; Konya ($0.047 kWh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and Ouagadougou</w:t>
      </w:r>
      <w:r>
        <w:t xml:space="preserve"> </w:t>
      </w:r>
      <w:r>
        <w:t xml:space="preserve">($0.048 kWh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are 2–4% below it; Freiburg is essentially</w:t>
      </w:r>
      <w:r>
        <w:t xml:space="preserve"> </w:t>
      </w:r>
      <w:r>
        <w:t xml:space="preserve">at parity. No site exceeds it, despite the elevated APV structure</w:t>
      </w:r>
      <w:r>
        <w:t xml:space="preserve"> </w:t>
      </w:r>
      <w:r>
        <w:t xml:space="preserve">($0.63 W</w:t>
      </w:r>
      <m:oMath>
        <m:sSubSup>
          <m:e>
            <m:r>
              <m:t>​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vs. $0.45 W</w:t>
      </w:r>
      <m:oMath>
        <m:sSubSup>
          <m:e>
            <m:r>
              <m:t>​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w:r>
        <w:t xml:space="preserve">ground-mount </w:t>
      </w:r>
      <w:r>
        <w:t xml:space="preserve">) carrying a 40% CAPEX premium and</w:t>
      </w:r>
      <w:r>
        <w:t xml:space="preserve"> </w:t>
      </w:r>
      <w:r>
        <w:t xml:space="preserve">the inter-row shading loss at GCR = 69–72% reducing annual</w:t>
      </w:r>
      <w:r>
        <w:t xml:space="preserve"> </w:t>
      </w:r>
      <w:r>
        <w:t xml:space="preserve">specific yield below what a dense-pack unshaded array would</w:t>
      </w:r>
      <w:r>
        <w:t xml:space="preserve"> </w:t>
      </w:r>
      <w:r>
        <w:t xml:space="preserve">achieve. This is a stronger result than the PV-only LCOE metric itself</w:t>
      </w:r>
      <w:r>
        <w:t xml:space="preserve"> </w:t>
      </w:r>
      <w:r>
        <w:t xml:space="preserve">suggests: it is a single-output comparison that ignores crop</w:t>
      </w:r>
      <w:r>
        <w:t xml:space="preserve"> </w:t>
      </w:r>
      <w:r>
        <w:t xml:space="preserve">production, water savings, and biogas, none of which are credited</w:t>
      </w:r>
      <w:r>
        <w:t xml:space="preserve"> </w:t>
      </w:r>
      <w:r>
        <w:t xml:space="preserve">here. A full value-stack LCOE that credits all outputs would likely</w:t>
      </w:r>
      <w:r>
        <w:t xml:space="preserve"> </w:t>
      </w:r>
      <w:r>
        <w:t xml:space="preserve">be lower than the PV-only LCOE at every site, and because the</w:t>
      </w:r>
      <w:r>
        <w:t xml:space="preserve"> </w:t>
      </w:r>
      <w:r>
        <w:t xml:space="preserve">PV-only LCOE already clears the utility-scale benchmark everywhere,</w:t>
      </w:r>
      <w:r>
        <w:t xml:space="preserve"> </w:t>
      </w:r>
      <w:r>
        <w:t xml:space="preserve">the full value-stack LCOE would likely remain below that benchmark</w:t>
      </w:r>
      <w:r>
        <w:t xml:space="preserve"> </w:t>
      </w:r>
      <w:r>
        <w:t xml:space="preserve">at all four sites.</w:t>
      </w:r>
    </w:p>
    <w:bookmarkEnd w:id="17"/>
    <w:bookmarkStart w:id="19" w:name="sec:discussion_limits"/>
    <w:p>
      <w:pPr>
        <w:pStyle w:val="Heading2"/>
      </w:pPr>
      <w:r>
        <w:t xml:space="preserve">Limitations and Future Work</w:t>
      </w:r>
    </w:p>
    <w:p>
      <w:pPr>
        <w:pStyle w:val="FirstParagraph"/>
      </w:pPr>
      <w:r>
        <w:t xml:space="preserve">Six limitations of the present modelling approach are</w:t>
      </w:r>
      <w:r>
        <w:t xml:space="preserve"> </w:t>
      </w:r>
      <w:r>
        <w:t xml:space="preserve">identified, each motivating specific future research directions.</w:t>
      </w:r>
      <w:r>
        <w:t xml:space="preserve"> </w:t>
      </w:r>
      <w:r>
        <w:t xml:space="preserve">Table </w:t>
      </w:r>
      <w:hyperlink w:anchor="tab:limitation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summarises them for quick reference;</w:t>
      </w:r>
      <w:r>
        <w:t xml:space="preserve"> </w:t>
      </w:r>
      <w:r>
        <w:t xml:space="preserve">full discussion of each follows.</w:t>
      </w:r>
    </w:p>
    <w:bookmarkStart w:id="18" w:name="tab:limitations"/>
    <w:p>
      <w:pPr>
        <w:pStyle w:val="TableCaption"/>
      </w:pPr>
      <w:r>
        <w:t xml:space="preserve">Summary of model limitations.</w:t>
      </w:r>
      <w:r>
        <w:t xml:space="preserve"> </w:t>
      </w:r>
      <w:r>
        <w:t xml:space="preserve">“Affects eLER?”</w:t>
      </w:r>
      <w:r>
        <w:t xml:space="preserve"> </w:t>
      </w:r>
      <w:r>
        <w:t xml:space="preserve">indicates</w:t>
      </w:r>
      <w:r>
        <w:t xml:space="preserve"> </w:t>
      </w:r>
      <w:r>
        <w:t xml:space="preserve">whether the limitation propagates to the headline eLER metric</w:t>
      </w:r>
      <w:r>
        <w:t xml:space="preserve"> </w:t>
      </w:r>
      <w:r>
        <w:t xml:space="preserve">(Table </w:t>
      </w:r>
      <w:hyperlink w:anchor="tab:eLER">
        <w:r>
          <w:rPr>
            <w:rStyle w:val="Hyperlink"/>
          </w:rPr>
          <w:t xml:space="preserve">[tab:eLER]</w:t>
        </w:r>
      </w:hyperlink>
      <w:r>
        <w:t xml:space="preserve">) or is confined to a secondary output.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model limitations. “Affects eLER?” indicates whether the limitation propagates to the headline eLER metric (Table [tab:eLER]) or is confined to a secondary outpu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Quantified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Affects eLER?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Mitigation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Single-exponential Arrhenius BMP model underestimates</w:t>
            </w:r>
            <w:r>
              <w:t xml:space="preserve"> </w:t>
            </w:r>
            <w:r>
              <w:t xml:space="preserve">methane yield at 20–30 °C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30 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52%</w:t>
            </w:r>
            <w:r>
              <w:t xml:space="preserve"> </w:t>
            </w:r>
            <w:r>
              <w:t xml:space="preserve">BMP bias;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43–45% 90% CI from parameter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2–2.4%)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Documented; Monte Carlo</w:t>
            </w:r>
            <w:r>
              <w:t xml:space="preserve"> </w:t>
            </w:r>
            <w:r>
              <w:t xml:space="preserve">sensitivity run (</w:t>
            </w:r>
            <w:r>
              <w:rPr>
                <w:rStyle w:val="VerbatimChar"/>
              </w:rPr>
              <w:t xml:space="preserve">docs/ad_bmp_</w:t>
            </w:r>
            <w:r>
              <w:rPr>
                <w:rStyle w:val="VerbatimChar"/>
              </w:rPr>
              <w:t xml:space="preserve">sensitivity.md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Single-crop scope (tomato only); PAR-saturation</w:t>
            </w:r>
            <w:r>
              <w:t xml:space="preserve"> </w:t>
            </w:r>
            <w:r>
              <w:t xml:space="preserve">mechanism is crop-specific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Direction/magnitude of</w:t>
            </w:r>
            <w:r>
              <w:t xml:space="preserve"> </w:t>
            </w:r>
            <w:r>
              <w:t xml:space="preserve">Finding C2 may differ for other crops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(structural)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run; requires only a</w:t>
            </w:r>
            <w:r>
              <w:t xml:space="preserve"> </w:t>
            </w:r>
            <m:oMath>
              <m:r>
                <m:t>P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</m:oMath>
            <w:r>
              <w:t xml:space="preserve"> </w:t>
            </w:r>
            <w:r>
              <w:t xml:space="preserve">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Hargreaves–Samani ET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omits humidity/wind; fixed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shade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</m:oMath>
            <w:r>
              <w:t xml:space="preserve">10% vs. FAO-56</w:t>
            </w:r>
            <w:r>
              <w:t xml:space="preserve"> </w:t>
            </w:r>
            <w:r>
              <w:t xml:space="preserve">Penman-Monteith;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25% via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shade</m:t>
                  </m:r>
                </m:sub>
              </m:sSub>
            </m:oMath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(</w:t>
            </w:r>
            <w:r>
              <w:rPr>
                <w:rStyle w:val="VerbatimChar"/>
              </w:rPr>
              <w:t xml:space="preserve">docs/et0_ra_</w:t>
            </w:r>
            <w:r>
              <w:rPr>
                <w:rStyle w:val="VerbatimChar"/>
              </w:rPr>
              <w:t xml:space="preserve">fix_notes.md</w:t>
            </w:r>
            <w:r>
              <w:t xml:space="preserve">);</w:t>
            </w:r>
            <w:r>
              <w:t xml:space="preserve"> </w:t>
            </w:r>
            <w:r>
              <w:t xml:space="preserve">Penman-Monteith upgrade not yet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digestate-to-crop nutrient feedback modelled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Digestate</w:t>
            </w:r>
            <w:r>
              <w:t xml:space="preserve"> </w:t>
            </w:r>
            <w:r>
              <w:t xml:space="preserve">N credit (S4) only; yield feedback (10–25%) not modelled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(would raise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(Gap G6); requires</w:t>
            </w:r>
            <w:r>
              <w:t xml:space="preserve"> </w:t>
            </w:r>
            <w:r>
              <w:t xml:space="preserve">multi-season field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economic parameters (no price trajectories)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Konya’s S0 IRR margin is narrow (3.0 pp) and price-sensitive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(economics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run; Monte Carlo price</w:t>
            </w:r>
            <w:r>
              <w:t xml:space="preserve"> </w:t>
            </w:r>
            <w:r>
              <w:t xml:space="preserve">model 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Single-hectare normalisation; ESR (453–2 000) reflects</w:t>
            </w:r>
            <w:r>
              <w:t xml:space="preserve"> </w:t>
            </w:r>
            <w:r>
              <w:t xml:space="preserve">smallholder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Larger-scale CAPEX/ESR would differ</w:t>
            </w:r>
            <w:r>
              <w:t xml:space="preserve"> </w:t>
            </w:r>
            <w:r>
              <w:t xml:space="preserve">non-linearly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(scale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run; 1–50 ha</w:t>
            </w:r>
            <w:r>
              <w:t xml:space="preserve"> </w:t>
            </w:r>
            <w:r>
              <w:t xml:space="preserve">scale-up proposed</w:t>
            </w:r>
          </w:p>
        </w:tc>
      </w:tr>
    </w:tbl>
    <w:bookmarkEnd w:id="18"/>
    <w:p>
      <w:pPr>
        <w:pStyle w:val="BodyText"/>
      </w:pPr>
      <w:r>
        <w:rPr>
          <w:b/>
          <w:bCs/>
        </w:rPr>
        <w:t xml:space="preserve">L1 — BMP temperature model accuracy (V2 MAPE = 26.9%).</w:t>
      </w:r>
      <w:r>
        <w:t xml:space="preserve"> </w:t>
      </w:r>
      <w:r>
        <w:t xml:space="preserve">The single-exponential Arrhenius model systematically underestimates</w:t>
      </w:r>
      <w:r>
        <w:t xml:space="preserve"> </w:t>
      </w:r>
      <w:r>
        <w:t xml:space="preserve">BMP by 30–52% at temperatures of 20–30 °C, the range</w:t>
      </w:r>
      <w:r>
        <w:t xml:space="preserve"> </w:t>
      </w:r>
      <w:r>
        <w:t xml:space="preserve">relevant to cold-season operation at Konya and Freiburg. The root</w:t>
      </w:r>
      <w:r>
        <w:t xml:space="preserve"> </w:t>
      </w:r>
      <w:r>
        <w:t xml:space="preserve">cause is that a single Arrhenius coefficient calibrated at</w:t>
      </w:r>
      <w:r>
        <w:t xml:space="preserve"> </w:t>
      </w:r>
      <w:r>
        <w:t xml:space="preserve">37 °C cannot capture the inflected microbial response</w:t>
      </w:r>
      <w:r>
        <w:t xml:space="preserve"> </w:t>
      </w:r>
      <w:r>
        <w:t xml:space="preserve">curve in the mesophilic lower range, where community adaptation</w:t>
      </w:r>
      <w:r>
        <w:t xml:space="preserve"> </w:t>
      </w:r>
      <w:r>
        <w:t xml:space="preserve">provides higher-than-exponential yields </w:t>
      </w:r>
      <w:r>
        <w:t xml:space="preserve">.</w:t>
      </w:r>
      <w:r>
        <w:t xml:space="preserve"> </w:t>
      </w:r>
      <w:r>
        <w:t xml:space="preserve">Future work should implement a piecewise Arrhenius model with</w:t>
      </w:r>
      <w:r>
        <w:t xml:space="preserve"> </w:t>
      </w:r>
      <w:r>
        <w:t xml:space="preserve">separate coefficients above and below 30 °C, or a</w:t>
      </w:r>
      <w:r>
        <w:t xml:space="preserve"> </w:t>
      </w:r>
      <w:r>
        <w:t xml:space="preserve">modified Gompertz kinetic model, calibrated against the</w:t>
      </w:r>
      <w:r>
        <w:t xml:space="preserve"> </w:t>
      </w:r>
      <w:r>
        <w:t xml:space="preserve">multi-temperature BMP datasets now available for</w:t>
      </w:r>
      <w:r>
        <w:t xml:space="preserve"> </w:t>
      </w:r>
      <w:r>
        <w:t xml:space="preserve">tomato residues and cattle manure </w:t>
      </w:r>
      <w:r>
        <w:t xml:space="preserve">.</w:t>
      </w:r>
      <w:r>
        <w:t xml:space="preserve"> </w:t>
      </w:r>
      <w:r>
        <w:t xml:space="preserve">Until such a model is validated, all biogas yield and economic</w:t>
      </w:r>
      <w:r>
        <w:t xml:space="preserve"> </w:t>
      </w:r>
      <w:r>
        <w:t xml:space="preserve">results for cold-climate sites should be treated as conservative</w:t>
      </w:r>
      <w:r>
        <w:t xml:space="preserve"> </w:t>
      </w:r>
      <w:r>
        <w:t xml:space="preserve">lower bounds, with the true values likely 15–30% higher. A Monte</w:t>
      </w:r>
      <w:r>
        <w:t xml:space="preserve"> </w:t>
      </w:r>
      <w:r>
        <w:t xml:space="preserve">Carlo sensitivity analysis over literature-reported ranges for</w:t>
      </w:r>
      <w:r>
        <w:t xml:space="preserve"> </w:t>
      </w:r>
      <m:oMath>
        <m:r>
          <m:t>B</m:t>
        </m:r>
        <m:r>
          <m:t>M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, capture efficiency, and volatile-solids</w:t>
      </w:r>
      <w:r>
        <w:t xml:space="preserve"> </w:t>
      </w:r>
      <w:r>
        <w:t xml:space="preserve">fractions (500 draws per site) shows this parameter uncertainty</w:t>
      </w:r>
      <w:r>
        <w:t xml:space="preserve"> </w:t>
      </w:r>
      <w:r>
        <w:t xml:space="preserve">propagates to a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43–45% 90% confidence interval on absolute</w:t>
      </w:r>
      <w:r>
        <w:t xml:space="preserve"> </w:t>
      </w:r>
      <w:r>
        <w:t xml:space="preserve">biogas energy, while eLER itself remains within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2–2.4% —</w:t>
      </w:r>
      <w:r>
        <w:t xml:space="preserve"> </w:t>
      </w:r>
      <w:r>
        <w:t xml:space="preserve">robust because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is a ratio referenced against a</w:t>
      </w:r>
      <w:r>
        <w:t xml:space="preserve"> </w:t>
      </w:r>
      <w:r>
        <w:t xml:space="preserve">standalone AD unit using the same sampled parameters, which largely</w:t>
      </w:r>
      <w:r>
        <w:t xml:space="preserve"> </w:t>
      </w:r>
      <w:r>
        <w:t xml:space="preserve">cancels the shared uncertainty (</w:t>
      </w:r>
      <w:r>
        <w:rPr>
          <w:rStyle w:val="VerbatimChar"/>
        </w:rPr>
        <w:t xml:space="preserve">docs/ad_bmp_sensitivity.md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L2 — Single-crop scope.</w:t>
      </w:r>
      <w:r>
        <w:t xml:space="preserve"> </w:t>
      </w:r>
      <w:r>
        <w:t xml:space="preserve">All results are conditioned on tomato (</w:t>
      </w:r>
      <w:r>
        <w:rPr>
          <w:i/>
          <w:iCs/>
        </w:rPr>
        <w:t xml:space="preserve">Solanum lycopersicum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=</m:t>
        </m:r>
        <m:r>
          <m:t>174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 The PAR-saturation</w:t>
      </w:r>
      <w:r>
        <w:t xml:space="preserve"> </w:t>
      </w:r>
      <w:r>
        <w:t xml:space="preserve">mechanism that drives the non-monotone eLER–GHI gradient is</w:t>
      </w:r>
      <w:r>
        <w:t xml:space="preserve"> </w:t>
      </w:r>
      <w:r>
        <w:t xml:space="preserve">crop-specific, and the magnitude and direction of this effect will</w:t>
      </w:r>
      <w:r>
        <w:t xml:space="preserve"> </w:t>
      </w:r>
      <w:r>
        <w:t xml:space="preserve">differ substantially for other crops. Shade-tolerant crops with</w:t>
      </w:r>
      <w:r>
        <w:t xml:space="preserve"> </w:t>
      </w:r>
      <w:r>
        <w:t xml:space="preserve">lower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(lettuce at 76 W   m</w:t>
      </w:r>
      <w:r>
        <w:rPr>
          <w:vertAlign w:val="superscript"/>
        </w:rPr>
        <w:t xml:space="preserve">−2</w:t>
      </w:r>
      <w:r>
        <w:t xml:space="preserve">; spinach</w:t>
      </w:r>
      <w:r>
        <w:t xml:space="preserve"> </w:t>
      </w:r>
      <w:r>
        <w:t xml:space="preserve">at 80 W   m</w:t>
      </w:r>
      <w:r>
        <w:rPr>
          <w:vertAlign w:val="superscript"/>
        </w:rPr>
        <w:t xml:space="preserve">−2</w:t>
      </w:r>
      <w:r>
        <w:t xml:space="preserve">) would likely eliminate or reverse the</w:t>
      </w:r>
      <w:r>
        <w:t xml:space="preserve"> </w:t>
      </w:r>
      <w:r>
        <w:t xml:space="preserve">Freiburg–Konya eLER inversion, while high-saturation crops such</w:t>
      </w:r>
      <w:r>
        <w:t xml:space="preserve"> </w:t>
      </w:r>
      <w:r>
        <w:t xml:space="preserve">as maize (400 W   m</w:t>
      </w:r>
      <w:r>
        <w:rPr>
          <w:vertAlign w:val="superscript"/>
        </w:rPr>
        <w:t xml:space="preserve">−2</w:t>
      </w:r>
      <w:r>
        <w:t xml:space="preserve">) would restore a monotone eLER–GHI</w:t>
      </w:r>
      <w:r>
        <w:t xml:space="preserve"> </w:t>
      </w:r>
      <w:r>
        <w:t xml:space="preserve">relationship. A multi-crop sensitivity analysis — requiring only a change of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parameter in the existing model — is an</w:t>
      </w:r>
      <w:r>
        <w:t xml:space="preserve"> </w:t>
      </w:r>
      <w:r>
        <w:t xml:space="preserve">important next extension, as it would help determine how broadly</w:t>
      </w:r>
      <w:r>
        <w:t xml:space="preserve"> </w:t>
      </w:r>
      <w:r>
        <w:t xml:space="preserve">the PAR-saturation finding generalises beyond tomato.</w:t>
      </w:r>
    </w:p>
    <w:p>
      <w:pPr>
        <w:pStyle w:val="BodyText"/>
      </w:pPr>
      <w:r>
        <w:rPr>
          <w:b/>
          <w:bCs/>
        </w:rPr>
        <w:t xml:space="preserve">L3 — Evapotranspiration model simplification.</w:t>
      </w:r>
      <w:r>
        <w:t xml:space="preserve"> </w:t>
      </w:r>
      <w:r>
        <w:t xml:space="preserve">Reference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estimated using the Hargreaves–Samani equation</w:t>
      </w:r>
      <w:r>
        <w:t xml:space="preserve"> </w:t>
      </w:r>
      <w:r>
        <w:t xml:space="preserve">with extraterrestrial radiation computed astronomically (FAO-56),</w:t>
      </w:r>
      <w:r>
        <w:t xml:space="preserve"> </w:t>
      </w:r>
      <w:r>
        <w:t xml:space="preserve">which agrees with FAO-56 Penman-Monteith to within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10% in</w:t>
      </w:r>
      <w:r>
        <w:t xml:space="preserve"> </w:t>
      </w:r>
      <w:r>
        <w:t xml:space="preserve">semi-arid and temperate climates </w:t>
      </w:r>
      <w:r>
        <w:t xml:space="preserve"> </w:t>
      </w:r>
      <w:r>
        <w:t xml:space="preserve">but cannot</w:t>
      </w:r>
      <w:r>
        <w:t xml:space="preserve"> </w:t>
      </w:r>
      <w:r>
        <w:t xml:space="preserve">capture humidity and wind effects on ET under the APV canopy. Full</w:t>
      </w:r>
      <w:r>
        <w:t xml:space="preserve"> </w:t>
      </w:r>
      <w:r>
        <w:t xml:space="preserve">derivation of the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formulation, including two corrections made</w:t>
      </w:r>
      <w:r>
        <w:t xml:space="preserve"> </w:t>
      </w:r>
      <w:r>
        <w:t xml:space="preserve">during model development, is provided in</w:t>
      </w:r>
      <w:r>
        <w:t xml:space="preserve"> </w:t>
      </w:r>
      <w:r>
        <w:rPr>
          <w:rStyle w:val="VerbatimChar"/>
        </w:rPr>
        <w:t xml:space="preserve">docs/et0_ra_</w:t>
      </w:r>
      <w:r>
        <w:t xml:space="preserve"> </w:t>
      </w:r>
      <w:r>
        <w:rPr>
          <w:rStyle w:val="VerbatimChar"/>
        </w:rPr>
        <w:t xml:space="preserve">fix_notes.md</w:t>
      </w:r>
      <w:r>
        <w:t xml:space="preserve">.</w:t>
      </w:r>
      <w:r>
        <w:t xml:space="preserve"> </w:t>
      </w:r>
      <w:r>
        <w:t xml:space="preserve">The ET reduction coefficient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shade</m:t>
            </m:r>
          </m:sub>
        </m:sSub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taken from field measurements under similar APV configurations</w:t>
      </w:r>
      <w:r>
        <w:t xml:space="preserve"> </w:t>
      </w:r>
      <w:r>
        <w:t xml:space="preserve"> </w:t>
      </w:r>
      <w:r>
        <w:t xml:space="preserve">but may vary by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0.10–0.15</w:t>
      </w:r>
      <w:r>
        <w:t xml:space="preserve"> </w:t>
      </w:r>
      <w:r>
        <w:t xml:space="preserve">depending on crop canopy closure, soil type, and wind exposure.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25% variation in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shade</m:t>
            </m:r>
          </m:sub>
        </m:sSub>
      </m:oMath>
      <w:r>
        <w:t xml:space="preserve"> </w:t>
      </w:r>
      <w:r>
        <w:t xml:space="preserve">propagates to a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25% variation in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saved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,</w:t>
      </w:r>
      <w:r>
        <w:t xml:space="preserve"> </w:t>
      </w:r>
      <w:r>
        <w:t xml:space="preserve">which does not affect eLER or economics but is relevant to</w:t>
      </w:r>
      <w:r>
        <w:t xml:space="preserve"> </w:t>
      </w:r>
      <w:r>
        <w:t xml:space="preserve">water-stressed deployment contexts. Future work should implement</w:t>
      </w:r>
      <w:r>
        <w:t xml:space="preserve"> </w:t>
      </w:r>
      <w:r>
        <w:t xml:space="preserve">FAO-56 Penman-Monteith with auxiliary humidity and aerodynamic</w:t>
      </w:r>
      <w:r>
        <w:t xml:space="preserve"> </w:t>
      </w:r>
      <w:r>
        <w:t xml:space="preserve">resistance terms derived from the PVGIS wind speed column, and</w:t>
      </w:r>
      <w:r>
        <w:t xml:space="preserve"> </w:t>
      </w:r>
      <w:r>
        <w:t xml:space="preserve">validate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shade</m:t>
            </m:r>
          </m:sub>
        </m:sSub>
      </m:oMath>
      <w:r>
        <w:t xml:space="preserve"> </w:t>
      </w:r>
      <w:r>
        <w:t xml:space="preserve">against lysimeter measurements</w:t>
      </w:r>
      <w:r>
        <w:t xml:space="preserve"> </w:t>
      </w:r>
      <w:r>
        <w:t xml:space="preserve">at each study site.</w:t>
      </w:r>
    </w:p>
    <w:p>
      <w:pPr>
        <w:pStyle w:val="BodyText"/>
      </w:pPr>
      <w:r>
        <w:rPr>
          <w:b/>
          <w:bCs/>
        </w:rPr>
        <w:t xml:space="preserve">L4 — Absence of digestate-to-crop nutrient feedback (G6).</w:t>
      </w:r>
      <w:r>
        <w:t xml:space="preserve"> </w:t>
      </w:r>
      <w:r>
        <w:t xml:space="preserve">The model treats the AD digester as a terminal sink for crop</w:t>
      </w:r>
      <w:r>
        <w:t xml:space="preserve"> </w:t>
      </w:r>
      <w:r>
        <w:t xml:space="preserve">residues: digestate is valued only as a tradeable nitrogen credit</w:t>
      </w:r>
      <w:r>
        <w:t xml:space="preserve"> </w:t>
      </w:r>
      <w:r>
        <w:t xml:space="preserve">(Scenario S4) without modelling its effect on soil nutrient</w:t>
      </w:r>
      <w:r>
        <w:t xml:space="preserve"> </w:t>
      </w:r>
      <w:r>
        <w:t xml:space="preserve">availability and subsequent crop yield. In practice, returning</w:t>
      </w:r>
      <w:r>
        <w:t xml:space="preserve"> </w:t>
      </w:r>
      <w:r>
        <w:t xml:space="preserve">digestate to the APV field closes a nutrient loop that can</w:t>
      </w:r>
      <w:r>
        <w:t xml:space="preserve"> </w:t>
      </w:r>
      <w:r>
        <w:t xml:space="preserve">increase fruit yield by 10–25% relative to unfertilised</w:t>
      </w:r>
      <w:r>
        <w:t xml:space="preserve"> </w:t>
      </w:r>
      <w:r>
        <w:t xml:space="preserve">conditions </w:t>
      </w:r>
      <w:r>
        <w:t xml:space="preserve">, which would raise both the</w:t>
      </w:r>
      <w:r>
        <w:t xml:space="preserve"> </w:t>
      </w:r>
      <w:r>
        <w:t xml:space="preserve">crop revenue and the VS input to the digester in subsequent</w:t>
      </w:r>
      <w:r>
        <w:t xml:space="preserve"> </w:t>
      </w:r>
      <w:r>
        <w:t xml:space="preserve">seasons. Modelling this feedback requires multi-season soil</w:t>
      </w:r>
      <w:r>
        <w:t xml:space="preserve"> </w:t>
      </w:r>
      <w:r>
        <w:t xml:space="preserve">nutrient dynamics that are beyond the scope of the present</w:t>
      </w:r>
      <w:r>
        <w:t xml:space="preserve"> </w:t>
      </w:r>
      <w:r>
        <w:t xml:space="preserve">single-year TMY-based framework. It is identified as Gap G6</w:t>
      </w:r>
      <w:r>
        <w:t xml:space="preserve"> </w:t>
      </w:r>
      <w:r>
        <w:t xml:space="preserve">and an important direction for experimental field</w:t>
      </w:r>
      <w:r>
        <w:t xml:space="preserve"> </w:t>
      </w:r>
      <w:r>
        <w:t xml:space="preserve">validation, requiring co-located APV–AD installations with</w:t>
      </w:r>
      <w:r>
        <w:t xml:space="preserve"> </w:t>
      </w:r>
      <w:r>
        <w:t xml:space="preserve">controlled digestate application trials over at least three</w:t>
      </w:r>
      <w:r>
        <w:t xml:space="preserve"> </w:t>
      </w:r>
      <w:r>
        <w:t xml:space="preserve">growing seasons.</w:t>
      </w:r>
    </w:p>
    <w:p>
      <w:pPr>
        <w:pStyle w:val="BodyText"/>
      </w:pPr>
      <w:r>
        <w:rPr>
          <w:b/>
          <w:bCs/>
        </w:rPr>
        <w:t xml:space="preserve">L5 — Static economic parameters.</w:t>
      </w:r>
      <w:r>
        <w:t xml:space="preserve"> </w:t>
      </w:r>
      <w:r>
        <w:t xml:space="preserve">All economic results use fixed prices for electricity, tomato,</w:t>
      </w:r>
      <w:r>
        <w:t xml:space="preserve"> </w:t>
      </w:r>
      <w:r>
        <w:t xml:space="preserve">biogas, and carbon credits, without modelling price trajectories</w:t>
      </w:r>
      <w:r>
        <w:t xml:space="preserve"> </w:t>
      </w:r>
      <w:r>
        <w:t xml:space="preserve">over the 20-year project life. PV module costs have declined at</w:t>
      </w:r>
      <w:r>
        <w:t xml:space="preserve"> </w:t>
      </w:r>
      <w:r>
        <w:t xml:space="preserve">approximately 10–15% per year over the past decade </w:t>
      </w:r>
      <w:r>
        <w:t xml:space="preserve">,</w:t>
      </w:r>
      <w:r>
        <w:t xml:space="preserve"> </w:t>
      </w:r>
      <w:r>
        <w:t xml:space="preserve">and biomethane prices are subject to regulatory risk in all four</w:t>
      </w:r>
      <w:r>
        <w:t xml:space="preserve"> </w:t>
      </w:r>
      <w:r>
        <w:t xml:space="preserve">jurisdictions. A stochastic techno-economic model incorporating</w:t>
      </w:r>
      <w:r>
        <w:t xml:space="preserve"> </w:t>
      </w:r>
      <w:r>
        <w:t xml:space="preserve">Monte Carlo sampling of price distributions — including correlated</w:t>
      </w:r>
      <w:r>
        <w:t xml:space="preserve"> </w:t>
      </w:r>
      <w:r>
        <w:t xml:space="preserve">electricity and carbon price scenarios consistent with IEA</w:t>
      </w:r>
      <w:r>
        <w:t xml:space="preserve"> </w:t>
      </w:r>
      <w:r>
        <w:t xml:space="preserve">Net Zero pathways </w:t>
      </w:r>
      <w:r>
        <w:t xml:space="preserve"> </w:t>
      </w:r>
      <w:r>
        <w:t xml:space="preserve">— would provide more realistic</w:t>
      </w:r>
      <w:r>
        <w:t xml:space="preserve"> </w:t>
      </w:r>
      <w:r>
        <w:t xml:space="preserve">NPV confidence intervals and identify the price combinations</w:t>
      </w:r>
      <w:r>
        <w:t xml:space="preserve"> </w:t>
      </w:r>
      <w:r>
        <w:t xml:space="preserve">under which each site crosses the investment threshold.</w:t>
      </w:r>
      <w:r>
        <w:t xml:space="preserve"> </w:t>
      </w:r>
      <w:r>
        <w:t xml:space="preserve">Such a model would be particularly valuable for Konya, where</w:t>
      </w:r>
      <w:r>
        <w:t xml:space="preserve"> </w:t>
      </w:r>
      <w:r>
        <w:t xml:space="preserve">the S0 IRR margin above the discount rate is narrow (3.0 pp)</w:t>
      </w:r>
      <w:r>
        <w:t xml:space="preserve"> </w:t>
      </w:r>
      <w:r>
        <w:t xml:space="preserve">and highly sensitive to electricity price assumptions.</w:t>
      </w:r>
    </w:p>
    <w:p>
      <w:pPr>
        <w:pStyle w:val="BodyText"/>
      </w:pPr>
      <w:r>
        <w:rPr>
          <w:b/>
          <w:bCs/>
        </w:rPr>
        <w:t xml:space="preserve">L6 — Single-hectare normalisation and scalability.</w:t>
      </w:r>
      <w:r>
        <w:t xml:space="preserve"> </w:t>
      </w:r>
      <w:r>
        <w:t xml:space="preserve">All results are normalised to 1 ha, which is appropriate for</w:t>
      </w:r>
      <w:r>
        <w:t xml:space="preserve"> </w:t>
      </w:r>
      <w:r>
        <w:t xml:space="preserve">smallholder farming contexts (Ouagadougou, Konya) but may not</w:t>
      </w:r>
      <w:r>
        <w:t xml:space="preserve"> </w:t>
      </w:r>
      <w:r>
        <w:t xml:space="preserve">represent the economics of larger commercial APV–AD installations.</w:t>
      </w:r>
      <w:r>
        <w:t xml:space="preserve"> </w:t>
      </w:r>
      <w:r>
        <w:t xml:space="preserve">At larger scale (10–100 ha), several cost components change</w:t>
      </w:r>
      <w:r>
        <w:t xml:space="preserve"> </w:t>
      </w:r>
      <w:r>
        <w:t xml:space="preserve">non-linearly: AD digester CAPEX per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decreases with scale</w:t>
      </w:r>
      <w:r>
        <w:t xml:space="preserve"> </w:t>
      </w:r>
      <w:r>
        <w:t xml:space="preserve">(economies of scale in tank construction and gas handling),</w:t>
      </w:r>
      <w:r>
        <w:t xml:space="preserve"> </w:t>
      </w:r>
      <w:r>
        <w:t xml:space="preserve">BOP costs per kWp decrease with larger inverter units, and the</w:t>
      </w:r>
      <w:r>
        <w:t xml:space="preserve"> </w:t>
      </w:r>
      <w:r>
        <w:t xml:space="preserve">ESR — currently 453–2 000 — would decrease toward more</w:t>
      </w:r>
      <w:r>
        <w:t xml:space="preserve"> </w:t>
      </w:r>
      <w:r>
        <w:t xml:space="preserve">physically meaningful values as the digester is sized to process</w:t>
      </w:r>
      <w:r>
        <w:t xml:space="preserve"> </w:t>
      </w:r>
      <w:r>
        <w:t xml:space="preserve">residues from multiple hectares. A scale-up analysis from</w:t>
      </w:r>
      <w:r>
        <w:t xml:space="preserve"> </w:t>
      </w:r>
      <w:r>
        <w:t xml:space="preserve">smallholder (1 ha) to commercial (50 ha) would provide the</w:t>
      </w:r>
      <w:r>
        <w:t xml:space="preserve"> </w:t>
      </w:r>
      <w:r>
        <w:t xml:space="preserve">full range of deployment contexts and is a natural next step</w:t>
      </w:r>
      <w:r>
        <w:t xml:space="preserve"> </w:t>
      </w:r>
      <w:r>
        <w:t xml:space="preserve">following experimental validation of the single-hectare model.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2026-08-06T11:51:58Z</dcterms:created>
  <dcterms:modified xsi:type="dcterms:W3CDTF">2026-08-06T11:51:58Z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