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ec:conclusion"/>
    <w:p>
      <w:pPr>
        <w:pStyle w:val="Heading1"/>
      </w:pPr>
      <w:r>
        <w:t xml:space="preserve">Conclusion</w:t>
      </w:r>
    </w:p>
    <w:p>
      <w:pPr>
        <w:pStyle w:val="FirstParagraph"/>
      </w:pPr>
      <w:r>
        <w:t xml:space="preserve">This study presents a four-climate-zone comparative optimization of integrated bifacial agrivoltaic and anaerobic digestion systems, introducing a three-component extended Land Equivalent Ratio and a 4E analysis framework for performance assessment. The following conclusions are supported by the validated simulation results.</w:t>
      </w:r>
    </w:p>
    <w:p>
      <w:pPr>
        <w:pStyle w:val="BodyText"/>
      </w:pPr>
      <w:r>
        <w:rPr>
          <w:b/>
          <w:bCs/>
        </w:rPr>
        <w:t xml:space="preserve">C1 — The eLER framework confirms multi-output land</w:t>
      </w:r>
      <w:r>
        <w:rPr>
          <w:b/>
          <w:bCs/>
        </w:rPr>
        <w:t xml:space="preserve"> </w:t>
      </w:r>
      <w:r>
        <w:rPr>
          <w:b/>
          <w:bCs/>
        </w:rPr>
        <w:t xml:space="preserve">productivity at all four climate zones.</w:t>
      </w:r>
      <w:r>
        <w:t xml:space="preserve"> </w:t>
      </w:r>
      <w:r>
        <w:t xml:space="preserve">Optimized eLER values of 1.641 (Konya), 1.657 (Almería), 1.723 (Ouagadougou), and 1.764 (Freiburg) show that integrated APV–AD systems use land more productively than three separate monocultures at every site. The agrivoltaic two-component</w:t>
      </w:r>
      <w:r>
        <w:t xml:space="preserve"> </w:t>
      </w:r>
      <m:oMath>
        <m:r>
          <m:t>L</m:t>
        </m:r>
        <m:r>
          <m:t>E</m:t>
        </m:r>
        <m:sSub>
          <m:e>
            <m:r>
              <m:t>R</m:t>
            </m:r>
          </m:e>
          <m:sub>
            <m:r>
              <m:rPr>
                <m:nor/>
                <m:sty m:val="p"/>
              </m:rPr>
              <m:t>2C</m:t>
            </m:r>
          </m:sub>
        </m:sSub>
      </m:oMath>
      <w:r>
        <w:t xml:space="preserve"> </w:t>
      </w:r>
      <w:r>
        <w:t xml:space="preserve">ranges from 1.030 to 1.088, confirming that the APV system alone outperforms separate monocultures even without the biogas contribution.</w:t>
      </w:r>
    </w:p>
    <w:p>
      <w:pPr>
        <w:pStyle w:val="BodyText"/>
      </w:pPr>
      <w:r>
        <w:rPr>
          <w:b/>
          <w:bCs/>
        </w:rPr>
        <w:t xml:space="preserve">C2 — eLER is non-monotone with solar resource, driven by</w:t>
      </w:r>
      <w:r>
        <w:rPr>
          <w:b/>
          <w:bCs/>
        </w:rPr>
        <w:t xml:space="preserve"> </w:t>
      </w:r>
      <w:r>
        <w:rPr>
          <w:b/>
          <w:bCs/>
        </w:rPr>
        <w:t xml:space="preserve">PAR saturation.</w:t>
      </w:r>
      <w:r>
        <w:t xml:space="preserve"> </w:t>
      </w:r>
      <w:r>
        <w:t xml:space="preserve">Freiburg, with the lowest annual GHI (1 150 kWh m</w:t>
      </w:r>
      <m:oMath>
        <m:sSup>
          <m:e>
            <m:r>
              <m:t>​</m:t>
            </m:r>
          </m:e>
          <m:sup>
            <m:r>
              <m:rPr>
                <m:sty m:val="p"/>
              </m:rPr>
              <m:t>−</m:t>
            </m:r>
            <m:r>
              <m:t>2</m:t>
            </m:r>
          </m:sup>
        </m:sSup>
      </m:oMath>
      <w:r>
        <w:t xml:space="preserve">), achieves the highest eLER (1.764), exceeding Konya despite 43% more solar irradiance. The mechanism is PAR saturation: at high-irradiance sites, open-field PAR frequently exceeds the tomato light saturation point (174 W   m</w:t>
      </w:r>
      <w:r>
        <w:rPr>
          <w:vertAlign w:val="superscript"/>
        </w:rPr>
        <w:t xml:space="preserve">−2</w:t>
      </w:r>
      <w:r>
        <w:t xml:space="preserve">), inflating the</w:t>
      </w:r>
      <w:r>
        <w:t xml:space="preserve"> </w:t>
      </w:r>
      <m:oMath>
        <m:r>
          <m:t>L</m:t>
        </m:r>
        <m:r>
          <m:t>E</m:t>
        </m:r>
        <m:sSub>
          <m:e>
            <m:r>
              <m:t>R</m:t>
            </m:r>
          </m:e>
          <m:sub>
            <m:r>
              <m:rPr>
                <m:nor/>
                <m:sty m:val="p"/>
              </m:rPr>
              <m:t>crop</m:t>
            </m:r>
          </m:sub>
        </m:sSub>
      </m:oMath>
      <w:r>
        <w:t xml:space="preserve"> </w:t>
      </w:r>
      <w:r>
        <w:t xml:space="preserve">denominator and penalising the yield ratio. This result suggests that agrivoltaic site selection should be framed as matching solar resource to crop photosynthetic capacity rather than simply maximizing PV output.</w:t>
      </w:r>
    </w:p>
    <w:p>
      <w:pPr>
        <w:pStyle w:val="BodyText"/>
      </w:pPr>
      <w:r>
        <w:rPr>
          <w:b/>
          <w:bCs/>
        </w:rPr>
        <w:t xml:space="preserve">C3 — Boundary convergence is a robust result within the present parameterization.</w:t>
      </w:r>
      <w:r>
        <w:t xml:space="preserve"> </w:t>
      </w:r>
      <w:r>
        <w:t xml:space="preserve">The optimizer converges to the minimum physically permissible row</w:t>
      </w:r>
      <w:r>
        <w:t xml:space="preserve"> </w:t>
      </w:r>
      <w:r>
        <w:t xml:space="preserve">spacing (</w:t>
      </w:r>
      <m:oMath>
        <m:sSubSup>
          <m:e>
            <m:r>
              <m:t>d</m:t>
            </m:r>
          </m:e>
          <m:sub>
            <m:r>
              <m:rPr>
                <m:nor/>
                <m:sty m:val="p"/>
              </m:rPr>
              <m:t>row</m:t>
            </m:r>
          </m:sub>
          <m:sup>
            <m:r>
              <m:rPr>
                <m:sty m:val="p"/>
              </m:rPr>
              <m:t>*</m:t>
            </m:r>
          </m:sup>
        </m:sSubSup>
        <m:r>
          <m:rPr>
            <m:sty m:val="p"/>
          </m:rPr>
          <m:t>=</m:t>
        </m:r>
        <m:r>
          <m:t>3.03</m:t>
        </m:r>
        <m:r>
          <m:t> </m:t>
        </m:r>
        <m:r>
          <m:t>m</m:t>
        </m:r>
      </m:oMath>
      <w:r>
        <w:t xml:space="preserve">) and module height</w:t>
      </w:r>
      <w:r>
        <w:t xml:space="preserve"> </w:t>
      </w:r>
      <w:r>
        <w:t xml:space="preserve">(</w:t>
      </w:r>
      <m:oMath>
        <m:sSubSup>
          <m:e>
            <m:r>
              <m:t>H</m:t>
            </m:r>
          </m:e>
          <m:sub>
            <m:r>
              <m:t>m</m:t>
            </m:r>
          </m:sub>
          <m:sup>
            <m:r>
              <m:rPr>
                <m:sty m:val="p"/>
              </m:rPr>
              <m:t>*</m:t>
            </m:r>
          </m:sup>
        </m:sSubSup>
        <m:r>
          <m:rPr>
            <m:sty m:val="p"/>
          </m:rPr>
          <m:t>=</m:t>
        </m:r>
        <m:r>
          <m:t>1.50</m:t>
        </m:r>
        <m:r>
          <m:t> </m:t>
        </m:r>
        <m:r>
          <m:t>m</m:t>
        </m:r>
      </m:oMath>
      <w:r>
        <w:t xml:space="preserve">) at all four sites, despite GHI varying by</w:t>
      </w:r>
      <w:r>
        <w:t xml:space="preserve"> </w:t>
      </w:r>
      <w:r>
        <w:t xml:space="preserve">a factor of 1.8 and mean annual temperature varying by</w:t>
      </w:r>
      <w:r>
        <w:t xml:space="preserve"> </w:t>
      </w:r>
      <w:r>
        <w:t xml:space="preserve">17 °C. This indicates that, under the present constraints and parameterization, the eLER optimum lies on the boundary of the explored design space. Any mechanical access requirement beyond the minimum physical clearance imposes an eLER penalty that should be evaluated for each farming context.</w:t>
      </w:r>
    </w:p>
    <w:p>
      <w:pPr>
        <w:pStyle w:val="BodyText"/>
      </w:pPr>
      <w:r>
        <w:rPr>
          <w:b/>
          <w:bCs/>
        </w:rPr>
        <w:t xml:space="preserve">C4 — Thermal self-sufficiency is achieved at all sites with negligible heating allocation.</w:t>
      </w:r>
      <w:r>
        <w:t xml:space="preserve"> </w:t>
      </w:r>
      <w:r>
        <w:t xml:space="preserve">ESR values of 453–2 000 at the optimized designs indicate that allocating 5% of annual PV output to digester heating is sufficient to cover heating demand at every site and in every season. Under the present assumptions, no biogas is required for self-heating, so the full biogas output remains available for valorisation across all seven economic scenarios.</w:t>
      </w:r>
    </w:p>
    <w:p>
      <w:pPr>
        <w:pStyle w:val="BodyText"/>
      </w:pPr>
      <w:r>
        <w:rPr>
          <w:b/>
          <w:bCs/>
        </w:rPr>
        <w:t xml:space="preserve">C5 — The carbon credit scenario (S6) provides the strongest economic uplift across all sites.</w:t>
      </w:r>
      <w:r>
        <w:t xml:space="preserve"> </w:t>
      </w:r>
      <w:r>
        <w:t xml:space="preserve">S6 raises IRR by 1.7–4.6 percentage points relative to the baseline at all sites, reaching 12.7% (Konya), 23.0% (Almería), 29.9% (Ouagadougou), and 17.6% (Freiburg). Ouagadougou offers the highest IRR in this study, with a payback period of 3.3 years and CO</w:t>
      </w:r>
      <m:oMath>
        <m:sSub>
          <m:e>
            <m:r>
              <m:t>​</m:t>
            </m:r>
          </m:e>
          <m:sub>
            <m:r>
              <m:t>2</m:t>
            </m:r>
          </m:sub>
        </m:sSub>
      </m:oMath>
      <w:r>
        <w:t xml:space="preserve"> </w:t>
      </w:r>
      <w:r>
        <w:t xml:space="preserve">avoidance of 861 tCO</w:t>
      </w:r>
      <m:oMath>
        <m:sSub>
          <m:e>
            <m:r>
              <m:t>​</m:t>
            </m:r>
          </m:e>
          <m:sub>
            <m:r>
              <m:t>2</m:t>
            </m:r>
          </m:sub>
        </m:sSub>
      </m:oMath>
      <w:r>
        <w:t xml:space="preserve"> ha</w:t>
      </w:r>
      <m:oMath>
        <m:sSup>
          <m:e>
            <m:r>
              <m:t>​</m:t>
            </m:r>
          </m:e>
          <m:sup>
            <m:r>
              <m:rPr>
                <m:sty m:val="p"/>
              </m:rPr>
              <m:t>−</m:t>
            </m:r>
            <m:r>
              <m:t>1</m:t>
            </m:r>
          </m:sup>
        </m:sSup>
      </m:oMath>
      <w:r>
        <w:t xml:space="preserve"> yr</w:t>
      </w:r>
      <m:oMath>
        <m:sSup>
          <m:e>
            <m:r>
              <m:t>​</m:t>
            </m:r>
          </m:e>
          <m:sup>
            <m:r>
              <m:rPr>
                <m:sty m:val="p"/>
              </m:rPr>
              <m:t>−</m:t>
            </m:r>
            <m:r>
              <m:t>1</m:t>
            </m:r>
          </m:sup>
        </m:sSup>
      </m:oMath>
      <w:r>
        <w:t xml:space="preserve">. This result indicates that carbon-credit mechanisms could materially improve the investment case for APV–AD deployment, especially in regions with high grid-emission factors.</w:t>
      </w:r>
    </w:p>
    <w:p>
      <w:pPr>
        <w:pStyle w:val="BodyText"/>
      </w:pPr>
      <w:r>
        <w:rPr>
          <w:b/>
          <w:bCs/>
        </w:rPr>
        <w:t xml:space="preserve">C6 — The growing-season ET denominator correction materially changes the water-savings metric.</w:t>
      </w:r>
      <w:r>
        <w:t xml:space="preserve"> </w:t>
      </w:r>
      <w:r>
        <w:t xml:space="preserve">Reporting</w:t>
      </w:r>
      <w:r>
        <w:t xml:space="preserve"> </w:t>
      </w:r>
      <m:oMath>
        <m:r>
          <m:t>L</m:t>
        </m:r>
        <m:r>
          <m:t>E</m:t>
        </m:r>
        <m:sSub>
          <m:e>
            <m:r>
              <m:t>R</m:t>
            </m:r>
          </m:e>
          <m:sub>
            <m:r>
              <m:rPr>
                <m:nor/>
                <m:sty m:val="p"/>
              </m:rPr>
              <m:t>water</m:t>
            </m:r>
          </m:sub>
        </m:sSub>
      </m:oMath>
      <w:r>
        <w:t xml:space="preserve"> </w:t>
      </w:r>
      <w:r>
        <w:t xml:space="preserve">with the annual ET</w:t>
      </w:r>
      <m:oMath>
        <m:sSub>
          <m:e>
            <m:r>
              <m:t>​</m:t>
            </m:r>
          </m:e>
          <m:sub>
            <m:r>
              <m:t>0</m:t>
            </m:r>
          </m:sub>
        </m:sSub>
      </m:oMath>
      <w:r>
        <w:t xml:space="preserve"> </w:t>
      </w:r>
      <w:r>
        <w:t xml:space="preserve">denominator underestimates the agronomic water benefit. The corrected growing-season values of 15.6–22.4% correspond to 81–159 mm of irrigation water saved per growing season, which is substantially more policy-relevant for irrigation planning than annualized values diluted by off-season months.</w:t>
      </w:r>
    </w:p>
    <w:p>
      <w:pPr>
        <w:pStyle w:val="BodyText"/>
      </w:pPr>
      <w:r>
        <w:rPr>
          <w:b/>
          <w:bCs/>
        </w:rPr>
        <w:t xml:space="preserve">C7 — Several outputs should be interpreted as conservative.</w:t>
      </w:r>
      <w:r>
        <w:t xml:space="preserve"> </w:t>
      </w:r>
      <w:r>
        <w:t xml:space="preserve">The crop-yield validation shows good agreement with literature data, while the BMP temperature model remains conservative at lower temperatures. As a result, the reported biogas yields, eLER values, NPV, IRR, and CO</w:t>
      </w:r>
      <m:oMath>
        <m:sSub>
          <m:e>
            <m:r>
              <m:t>​</m:t>
            </m:r>
          </m:e>
          <m:sub>
            <m:r>
              <m:t>2</m:t>
            </m:r>
          </m:sub>
        </m:sSub>
      </m:oMath>
      <w:r>
        <w:t xml:space="preserve"> </w:t>
      </w:r>
      <w:r>
        <w:t xml:space="preserve">avoidance figures should be viewed as lower-bound estimates, with the largest upside potential in colder climates where improved BMP modelling would likely increase performance.</w:t>
      </w:r>
    </w:p>
    <w:p>
      <w:pPr>
        <w:pStyle w:val="BodyText"/>
      </w:pPr>
      <w:r>
        <w:t xml:space="preserve">Overall, the integrated APV–AD framework developed in this study provides a replicable, climate-adaptive decision tool for food–energy–water nexus planning across the semi-arid-to-temperate spectrum. The open-source simulation code, optimized design parameters, and full results database are provided as supplementary material to support replication and extension to additional crops, climates, and policy contexts.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2026-08-06T11:51:58Z</dcterms:created>
  <dcterms:modified xsi:type="dcterms:W3CDTF">2026-08-06T11:51:58Z</dcterms:modified>
</cp:coreProperties>
</file>

<file path=docProps/custom.xml><?xml version="1.0" encoding="utf-8"?>
<Properties xmlns="http://schemas.openxmlformats.org/officeDocument/2006/custom-properties" xmlns:vt="http://schemas.openxmlformats.org/officeDocument/2006/docPropsVTypes"/>
</file>