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pp:de"/>
    <w:p>
      <w:pPr>
        <w:pStyle w:val="Heading1"/>
      </w:pPr>
      <w:r>
        <w:t xml:space="preserve">: Differential Evolution Algorithm — Complete Pseudocode</w:t>
      </w:r>
    </w:p>
    <w:p>
      <w:pPr>
        <w:pStyle w:val="FirstParagraph"/>
      </w:pPr>
      <w:r>
        <w:t xml:space="preserve">Algorithm </w:t>
      </w:r>
      <w:hyperlink w:anchor="alg:de">
        <w:r>
          <w:rPr>
            <w:rStyle w:val="Hyperlink"/>
          </w:rPr>
          <w:t xml:space="preserve">[alg:de]</w:t>
        </w:r>
      </w:hyperlink>
      <w:r>
        <w:t xml:space="preserve"> </w:t>
      </w:r>
      <w:r>
        <w:t xml:space="preserve">provides the complete pseudocode</w:t>
      </w:r>
      <w:r>
        <w:t xml:space="preserve"> </w:t>
      </w:r>
      <w:r>
        <w:t xml:space="preserve">of the Differential Evolution procedure used to maximise the eLER</w:t>
      </w:r>
      <w:r>
        <w:t xml:space="preserve"> </w:t>
      </w:r>
      <w:r>
        <w:t xml:space="preserve">objective function (Equation </w:t>
      </w:r>
      <w:hyperlink w:anchor="eq:eler">
        <w:r>
          <w:rPr>
            <w:rStyle w:val="Hyperlink"/>
          </w:rPr>
          <w:t xml:space="preserve">[eq:eler]</w:t>
        </w:r>
      </w:hyperlink>
      <w:r>
        <w:t xml:space="preserve">) across the six-dimensional</w:t>
      </w:r>
      <w:r>
        <w:t xml:space="preserve"> </w:t>
      </w:r>
      <w:r>
        <w:t xml:space="preserve">APV–AD design space. The algorithm is implemented in Python using</w:t>
      </w:r>
      <w:r>
        <w:t xml:space="preserve"> </w:t>
      </w:r>
      <w:r>
        <w:rPr>
          <w:rStyle w:val="VerbatimChar"/>
        </w:rPr>
        <w:t xml:space="preserve">scipy.optimize.differential_evolution</w:t>
      </w:r>
      <w:r>
        <w:t xml:space="preserve"> </w:t>
      </w:r>
      <w:r>
        <w:t xml:space="preserve">with the settings</w:t>
      </w:r>
      <w:r>
        <w:t xml:space="preserve"> </w:t>
      </w:r>
      <w:r>
        <w:t xml:space="preserve">described in Section </w:t>
      </w:r>
      <w:hyperlink w:anchor="sec:optimizer">
        <w:r>
          <w:rPr>
            <w:rStyle w:val="Hyperlink"/>
          </w:rPr>
          <w:t xml:space="preserve">[sec:optimizer]</w:t>
        </w:r>
      </w:hyperlink>
      <w:r>
        <w:t xml:space="preserve">, followed by</w:t>
      </w:r>
      <w:r>
        <w:t xml:space="preserve"> </w:t>
      </w:r>
      <w:r>
        <w:rPr>
          <w:rStyle w:val="VerbatimChar"/>
        </w:rPr>
        <w:t xml:space="preserve">scipy.optimize.minimize</w:t>
      </w:r>
      <w:r>
        <w:t xml:space="preserve"> </w:t>
      </w:r>
      <w:r>
        <w:t xml:space="preserve">with the L-BFGS-B method for local</w:t>
      </w:r>
      <w:r>
        <w:t xml:space="preserve"> </w:t>
      </w:r>
      <w:r>
        <w:t xml:space="preserve">polishing.</w:t>
      </w:r>
    </w:p>
    <w:p>
      <w:pPr>
        <w:pStyle w:val="BodyText"/>
      </w:pPr>
      <w:r>
        <w:rPr>
          <w:b/>
          <w:bCs/>
        </w:rPr>
        <w:t xml:space="preserve">Initialisation</w:t>
      </w:r>
    </w:p>
    <w:p>
      <w:pPr>
        <w:pStyle w:val="BodyText"/>
      </w:pPr>
      <w:r>
        <w:rPr>
          <w:b/>
          <w:bCs/>
        </w:rPr>
        <w:t xml:space="preserve">Main loop</w:t>
      </w:r>
    </w:p>
    <w:p>
      <w:pPr>
        <w:pStyle w:val="BodyText"/>
      </w:pPr>
      <w:r>
        <w:rPr>
          <w:b/>
          <w:bCs/>
        </w:rPr>
        <w:t xml:space="preserve">Local polishing (L-BFGS-B)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limLow>
          <m:e>
            <m:r>
              <m:rPr>
                <m:sty m:val="p"/>
              </m:rPr>
              <m:t>arg</m:t>
            </m:r>
            <m:r>
              <m:rPr>
                <m:sty m:val="p"/>
              </m:rPr>
              <m:t>max</m:t>
            </m:r>
          </m:e>
          <m:lim>
            <m:r>
              <m:t>i</m:t>
            </m:r>
          </m:lim>
        </m:limLow>
        <m:r>
          <m:t> </m:t>
        </m:r>
        <m:sSubSup>
          <m:e>
            <m:r>
              <m:t>f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sSub>
              <m:e>
                <m:r>
                  <m:t>G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)</m:t>
            </m:r>
          </m:sup>
        </m:sSubSup>
      </m:oMath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rPr>
            <m:nor/>
            <m:scr m:val="monospace"/>
            <m:sty m:val="p"/>
          </m:rPr>
          <m:t>L-BFGS-B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bi"/>
              </m:rPr>
              <m:t>l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,</m:t>
            </m:r>
            <m:r>
              <m:t> </m:t>
            </m:r>
            <m:r>
              <m:rPr>
                <m:sty m:val="bi"/>
              </m:rPr>
              <m:t>u</m:t>
            </m:r>
            <m:r>
              <m:rPr>
                <m:sty m:val="bi"/>
              </m:rPr>
              <m:t>b</m:t>
            </m:r>
          </m:e>
        </m:d>
      </m:oMath>
      <w:r>
        <w:t xml:space="preserve"> </w:t>
      </w:r>
      <m:oMath>
        <m:r>
          <m:t>e</m:t>
        </m:r>
        <m:r>
          <m:t>L</m:t>
        </m:r>
        <m:r>
          <m:t>E</m:t>
        </m:r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e</m:t>
        </m:r>
        <m:r>
          <m:t>L</m:t>
        </m:r>
        <m:r>
          <m:t>E</m:t>
        </m:r>
        <m:r>
          <m:t>R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r>
          <m:t> </m:t>
        </m:r>
        <m:r>
          <m:t>e</m:t>
        </m:r>
        <m:r>
          <m:t>L</m:t>
        </m:r>
        <m:r>
          <m:t>E</m:t>
        </m:r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</w:p>
    <w:bookmarkEnd w:id="9"/>
    <w:bookmarkStart w:id="11" w:name="app:params"/>
    <w:p>
      <w:pPr>
        <w:pStyle w:val="Heading1"/>
      </w:pPr>
      <w:r>
        <w:t xml:space="preserve">: Model Parameters — Complete Reference Table</w:t>
      </w:r>
    </w:p>
    <w:p>
      <w:pPr>
        <w:pStyle w:val="FirstParagraph"/>
      </w:pPr>
      <w:r>
        <w:t xml:space="preserve">Table </w:t>
      </w:r>
      <w:hyperlink w:anchor="tab:allparam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consolidates all fixed model</w:t>
      </w:r>
      <w:r>
        <w:t xml:space="preserve"> </w:t>
      </w:r>
      <w:r>
        <w:t xml:space="preserve">parameters used throughout the study for reproducibility.</w:t>
      </w:r>
    </w:p>
    <w:bookmarkStart w:id="10" w:name="tab:allparams"/>
    <w:p>
      <w:pPr>
        <w:pStyle w:val="TableCaption"/>
      </w:pPr>
      <w:r>
        <w:t xml:space="preserve">Complete list of fixed model parameters.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mplete list of fixed model parameter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PV module (Jinko Tiger Neo 550 W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bifacial)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Rated power (STC)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STC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  <m:oMath>
              <m:sSub>
                <m:e>
                  <m:r>
                    <m:t>​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length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2.278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width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Bifaciality factor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ϕ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Temp. coefficient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losses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loss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PV thermal model (Faiman 2008)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convection coeff.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W m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 K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 convection coeff.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6.84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W s m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 K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albedo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Rear irradiance fraction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rear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Crop yield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fraction of GHI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PAR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Tomato PAR saturation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t>A</m:t>
              </m:r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sat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W m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ET reduction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shading coefficient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α</m:t>
                  </m:r>
                </m:e>
                <m:sub>
                  <m:r>
                    <m:rPr>
                      <m:nor/>
                      <m:sty m:val="p"/>
                    </m:rPr>
                    <m:t>shade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Anaerobic digestion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BMP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B</m:t>
              </m:r>
              <m:r>
                <m:t>M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NmL CH</w:t>
            </w:r>
            <m:oMath>
              <m:sSub>
                <m:e>
                  <m:r>
                    <m:t>​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 gVS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temperature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Arrhenius coefficient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  <w:r>
              <w:rPr>
                <w:vertAlign w:val="superscript"/>
              </w:rP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Min. operating temp.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min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Temp. boost above ambient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Methane fraction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CH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vol/vol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Methane LHV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t>H</m:t>
              </m:r>
              <m:sSub>
                <m:e>
                  <m:r>
                    <m:t>V</m:t>
                  </m:r>
                </m:e>
                <m:sub>
                  <m:sSub>
                    <m:e>
                      <m:r>
                        <m:rPr>
                          <m:nor/>
                          <m:sty m:val="p"/>
                        </m:rPr>
                        <m:t>CH</m:t>
                      </m:r>
                    </m:e>
                    <m:sub>
                      <m:r>
                        <m:t>4</m:t>
                      </m:r>
                    </m:sub>
                  </m:sSub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MJ Nm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heat transfer coeff.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W m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 K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density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1 020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kg m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Substrate specific heat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kJ kg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 K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Inlet temperature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in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Reaction heat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Tomato residue DM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kg kg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Residue VS fraction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sSub>
                <m:e>
                  <m:r>
                    <m:t>S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kg kg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Manure DM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kg kg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Manure VS fraction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V</m:t>
              </m:r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kg kg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Residue-to-fruit ratio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res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kg kg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Economic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lifetime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O&amp;M rate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O&amp;M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% CAPEX yr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 CAPEX (APV)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PV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$ W</w:t>
            </w:r>
            <m:oMath>
              <m:sSubSup>
                <m:e>
                  <m:r>
                    <m:t>​</m:t>
                  </m:r>
                </m:e>
                <m:sub>
                  <m:r>
                    <m:t>p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CAPEX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AD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$ m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Agricultural CAPEX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agri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2 500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$ ha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BOP fraction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BOP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(PV+AD)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 gas EF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gas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tCO</w:t>
            </w:r>
            <m:oMath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 MWh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Digestate N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kg N kg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 credit price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$ kg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 N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LPG equivalent price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LPG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$ kWh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Biomethane premium (S5)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  <m:oMath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elec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2026-08-06T11:51:58Z</dcterms:created>
  <dcterms:modified xsi:type="dcterms:W3CDTF">2026-08-06T11:51:58Z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