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FE1DD" w14:textId="55B6C61A"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Abstract</w:t>
      </w:r>
    </w:p>
    <w:p w14:paraId="651D3C58" w14:textId="517A8BA3" w:rsidR="00DB6DD1" w:rsidRPr="00B75A44" w:rsidRDefault="00DB6DD1" w:rsidP="00DB6DD1">
      <w:pPr>
        <w:spacing w:line="360" w:lineRule="auto"/>
        <w:jc w:val="both"/>
        <w:rPr>
          <w:rFonts w:ascii="Times New Roman" w:hAnsi="Times New Roman" w:cs="Times New Roman"/>
          <w:sz w:val="20"/>
          <w:szCs w:val="20"/>
        </w:rPr>
      </w:pPr>
      <w:r w:rsidRPr="00B75A44">
        <w:rPr>
          <w:rFonts w:ascii="Times New Roman" w:hAnsi="Times New Roman" w:cs="Times New Roman"/>
          <w:sz w:val="20"/>
          <w:szCs w:val="20"/>
        </w:rPr>
        <w:t>Regions defined by semi-arid climates face a compounding challenge: limited water availability, growing energy demand, and mounting pressure on agricultural land. No single technology solves all three at once. This paper examines whether coupling two mature but separately studied technologies — agrivoltaic (AV) systems and anaerobic digestion (AD) — can create a circular, land-efficient response to this challenge.</w:t>
      </w:r>
      <w:r w:rsidR="00014D3B">
        <w:rPr>
          <w:rFonts w:ascii="Times New Roman" w:hAnsi="Times New Roman" w:cs="Times New Roman"/>
          <w:sz w:val="20"/>
          <w:szCs w:val="20"/>
        </w:rPr>
        <w:t xml:space="preserve"> </w:t>
      </w:r>
      <w:r w:rsidRPr="00B75A44">
        <w:rPr>
          <w:rFonts w:ascii="Times New Roman" w:hAnsi="Times New Roman" w:cs="Times New Roman"/>
          <w:sz w:val="20"/>
          <w:szCs w:val="20"/>
        </w:rPr>
        <w:t xml:space="preserve">We develop and apply an integrated optimization model to three climatically distinct semi-arid sites: Konya, Turkey </w:t>
      </w:r>
      <w:r w:rsidRPr="00B75A44">
        <w:rPr>
          <w:rFonts w:ascii="Times New Roman" w:hAnsi="Times New Roman" w:cs="Times New Roman"/>
          <w:color w:val="FF0000"/>
          <w:sz w:val="20"/>
          <w:szCs w:val="20"/>
        </w:rPr>
        <w:t>(cold semi-arid, BSk)</w:t>
      </w:r>
      <w:r w:rsidRPr="00B75A44">
        <w:rPr>
          <w:rFonts w:ascii="Times New Roman" w:hAnsi="Times New Roman" w:cs="Times New Roman"/>
          <w:sz w:val="20"/>
          <w:szCs w:val="20"/>
        </w:rPr>
        <w:t xml:space="preserve">, Almería, Spain </w:t>
      </w:r>
      <w:r w:rsidRPr="00B75A44">
        <w:rPr>
          <w:rFonts w:ascii="Times New Roman" w:hAnsi="Times New Roman" w:cs="Times New Roman"/>
          <w:color w:val="FF0000"/>
          <w:sz w:val="20"/>
          <w:szCs w:val="20"/>
        </w:rPr>
        <w:t>(hot semi-arid, BSh)</w:t>
      </w:r>
      <w:r w:rsidRPr="00B75A44">
        <w:rPr>
          <w:rFonts w:ascii="Times New Roman" w:hAnsi="Times New Roman" w:cs="Times New Roman"/>
          <w:sz w:val="20"/>
          <w:szCs w:val="20"/>
        </w:rPr>
        <w:t xml:space="preserve">, and Ouagadougou, Burkina Faso </w:t>
      </w:r>
      <w:r w:rsidRPr="00B75A44">
        <w:rPr>
          <w:rFonts w:ascii="Times New Roman" w:hAnsi="Times New Roman" w:cs="Times New Roman"/>
          <w:color w:val="FF0000"/>
          <w:sz w:val="20"/>
          <w:szCs w:val="20"/>
        </w:rPr>
        <w:t>(tropical semi-arid, BSh)</w:t>
      </w:r>
      <w:r w:rsidRPr="00B75A44">
        <w:rPr>
          <w:rFonts w:ascii="Times New Roman" w:hAnsi="Times New Roman" w:cs="Times New Roman"/>
          <w:sz w:val="20"/>
          <w:szCs w:val="20"/>
        </w:rPr>
        <w:t>. For each site, hourly Typical Meteorological Year data from the PVGIS-SARAH2 database drive a coupled simulation that simultaneously models bifacial photovoltaic power generation, tomato crop yield under partial shading, evapotranspiration reduction, anaerobic biogas production from crop residues, and digester thermal management. Six design variables — panel tilt, row spacing, module height, digester volume, hydraulic retention time, and the fraction of PV electricity allocated to digester heating — are jointly optimized using differential evolution to maximize a novel three-component extended Land Equivalent Ratio (eLER).</w:t>
      </w:r>
      <w:r w:rsidR="00014D3B">
        <w:rPr>
          <w:rFonts w:ascii="Times New Roman" w:hAnsi="Times New Roman" w:cs="Times New Roman"/>
          <w:sz w:val="20"/>
          <w:szCs w:val="20"/>
        </w:rPr>
        <w:t xml:space="preserve"> </w:t>
      </w:r>
      <w:r w:rsidRPr="00B75A44">
        <w:rPr>
          <w:rFonts w:ascii="Times New Roman" w:hAnsi="Times New Roman" w:cs="Times New Roman"/>
          <w:sz w:val="20"/>
          <w:szCs w:val="20"/>
        </w:rPr>
        <w:t>The eLER generalizes the classical two-component LER to include biogas as a third land-use output, enabling direct, dimensionally consistent comparison across all system outputs. Optimized eLER values reach 1.717 at Konya, 1.669 at Almería, and 1.674 at Ouagadougou. At all three sites, the biogas component alone contributes a land-use increment of approximately 1.0, a value equal to or exceeding the combined crop and PV contribution (LER_2C = 0.67–0.72). This finding — that waste valorization through AD generates land-use efficiency comparable to the agrivoltaic benefit itself — is the central novel result of the study. The temperature-corrected biochemical methane potential varies from 207 NmL CH₄/gVS at Konya to 290 NmL CH₄/gVS at Ouagadougou, quantifying how continental cold winters suppress biogas yield. Energy self-sufficiency ratios of 37–207 confirm that PV generation is abundant enough to fully supply digester thermal demand at all three sites, demonstrating that the AD subsystem does not compete with grid export revenue under optimal design.</w:t>
      </w:r>
      <w:r w:rsidR="00014D3B">
        <w:rPr>
          <w:rFonts w:ascii="Times New Roman" w:hAnsi="Times New Roman" w:cs="Times New Roman"/>
          <w:sz w:val="20"/>
          <w:szCs w:val="20"/>
        </w:rPr>
        <w:t xml:space="preserve"> </w:t>
      </w:r>
      <w:r w:rsidRPr="00B75A44">
        <w:rPr>
          <w:rFonts w:ascii="Times New Roman" w:hAnsi="Times New Roman" w:cs="Times New Roman"/>
          <w:sz w:val="20"/>
          <w:szCs w:val="20"/>
        </w:rPr>
        <w:t>These results establish that integrated APV-AD systems offer a robust, multi-output strategy for sustainable intensification in semi-arid agroecosystems, and provide the first systematic multi-climate quantification of the three-way food-energy-water trade-off using a unified performance metric.</w:t>
      </w:r>
    </w:p>
    <w:p w14:paraId="2DA0D860" w14:textId="47753FC4" w:rsidR="00DB6DD1" w:rsidRPr="005B6FBE" w:rsidRDefault="00DB6DD1" w:rsidP="00DB6DD1">
      <w:pPr>
        <w:spacing w:line="360" w:lineRule="auto"/>
        <w:jc w:val="both"/>
        <w:rPr>
          <w:rFonts w:ascii="Times New Roman" w:hAnsi="Times New Roman" w:cs="Times New Roman"/>
          <w:sz w:val="20"/>
          <w:szCs w:val="20"/>
        </w:rPr>
      </w:pPr>
      <w:r w:rsidRPr="005B6FBE">
        <w:rPr>
          <w:rFonts w:ascii="Times New Roman" w:hAnsi="Times New Roman" w:cs="Times New Roman"/>
          <w:sz w:val="20"/>
          <w:szCs w:val="20"/>
        </w:rPr>
        <w:t>Keywords: agrivoltaics, anaerobic digestion, water-energy-food nexus, Land Equivalent Ratio, semi-arid, differential evolution, Konya, Almería, Ouagadougou</w:t>
      </w:r>
      <w:r w:rsidR="00047A43" w:rsidRPr="005B6FBE">
        <w:rPr>
          <w:rFonts w:ascii="Times New Roman" w:hAnsi="Times New Roman" w:cs="Times New Roman"/>
          <w:sz w:val="20"/>
          <w:szCs w:val="20"/>
        </w:rPr>
        <w:t>.</w:t>
      </w:r>
    </w:p>
    <w:p w14:paraId="6CA9DCD9" w14:textId="77777777" w:rsidR="00A73240" w:rsidRDefault="00A73240" w:rsidP="00DB6DD1">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15620E8C" w14:textId="77777777" w:rsidR="00A73240" w:rsidRDefault="00A73240">
      <w:pPr>
        <w:rPr>
          <w:rFonts w:ascii="Times New Roman" w:hAnsi="Times New Roman" w:cs="Times New Roman"/>
          <w:sz w:val="24"/>
          <w:szCs w:val="24"/>
        </w:rPr>
      </w:pPr>
      <w:r>
        <w:rPr>
          <w:rFonts w:ascii="Times New Roman" w:hAnsi="Times New Roman" w:cs="Times New Roman"/>
          <w:sz w:val="24"/>
          <w:szCs w:val="24"/>
        </w:rPr>
        <w:br w:type="page"/>
      </w:r>
    </w:p>
    <w:p w14:paraId="4A38B707" w14:textId="6DD4E06E"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lastRenderedPageBreak/>
        <w:t>1. Introduction</w:t>
      </w:r>
    </w:p>
    <w:p w14:paraId="7CD26473" w14:textId="5AC0B167" w:rsidR="00DB6DD1" w:rsidRPr="00E13127" w:rsidRDefault="00DB6DD1" w:rsidP="00DB6DD1">
      <w:pPr>
        <w:spacing w:line="360" w:lineRule="auto"/>
        <w:ind w:firstLine="720"/>
        <w:jc w:val="both"/>
        <w:rPr>
          <w:rFonts w:ascii="Times New Roman" w:hAnsi="Times New Roman" w:cs="Times New Roman"/>
          <w:color w:val="FF0000"/>
          <w:sz w:val="24"/>
          <w:szCs w:val="24"/>
        </w:rPr>
      </w:pPr>
      <w:r w:rsidRPr="00DB6DD1">
        <w:rPr>
          <w:rFonts w:ascii="Times New Roman" w:hAnsi="Times New Roman" w:cs="Times New Roman"/>
          <w:sz w:val="24"/>
          <w:szCs w:val="24"/>
        </w:rPr>
        <w:t>By 2050, global food production must increase by roughly 50% to feed a population approaching ten billion, while freshwater withdrawals for agriculture — already consuming 70% of the world's accessible freshwater — are expected to intensify further</w:t>
      </w:r>
      <w:r w:rsidR="000B26FF">
        <w:rPr>
          <w:rFonts w:ascii="Times New Roman" w:hAnsi="Times New Roman" w:cs="Times New Roman"/>
          <w:sz w:val="24"/>
          <w:szCs w:val="24"/>
        </w:rPr>
        <w:t xml:space="preserve"> </w:t>
      </w:r>
      <w:r w:rsidR="000B26FF">
        <w:rPr>
          <w:rFonts w:ascii="Times New Roman" w:hAnsi="Times New Roman" w:cs="Times New Roman"/>
          <w:sz w:val="24"/>
          <w:szCs w:val="24"/>
        </w:rPr>
        <w:fldChar w:fldCharType="begin"/>
      </w:r>
      <w:r w:rsidR="000B26FF">
        <w:rPr>
          <w:rFonts w:ascii="Times New Roman" w:hAnsi="Times New Roman" w:cs="Times New Roman"/>
          <w:sz w:val="24"/>
          <w:szCs w:val="24"/>
        </w:rPr>
        <w:instrText xml:space="preserve"> ADDIN ZOTERO_ITEM CSL_CITATION {"citationID":"1eUpRfo4","properties":{"unsorted":false,"formattedCitation":"(FAO, 2017)","plainCitation":"(FAO, 2017)","noteIndex":0},"citationItems":[{"id":146,"uris":["http://zotero.org/users/local/i6bXxmSk/items/UUGMW8MY"],"itemData":{"id":146,"type":"book","ISBN":"978-92-5-109551-5","language":"en","number-of-pages":"163","publisher":"Food and Agriculture Organization of the United Nations","publisher-place":"Rome","source":"K10plus ISBN","title":"The future of food and agriculture: trends and challenges","title-short":"The future of food and agriculture","author":[{"literal":"FAO"}],"issued":{"date-parts":[["2017"]]}}}],"schema":"https://github.com/citation-style-language/schema/raw/master/csl-citation.json"} </w:instrText>
      </w:r>
      <w:r w:rsidR="000B26FF">
        <w:rPr>
          <w:rFonts w:ascii="Times New Roman" w:hAnsi="Times New Roman" w:cs="Times New Roman"/>
          <w:sz w:val="24"/>
          <w:szCs w:val="24"/>
        </w:rPr>
        <w:fldChar w:fldCharType="separate"/>
      </w:r>
      <w:r w:rsidR="000B26FF" w:rsidRPr="000B26FF">
        <w:rPr>
          <w:rFonts w:ascii="Calibri" w:hAnsi="Calibri" w:cs="Calibri"/>
          <w:sz w:val="24"/>
        </w:rPr>
        <w:t>(FAO, 2017)</w:t>
      </w:r>
      <w:r w:rsidR="000B26FF">
        <w:rPr>
          <w:rFonts w:ascii="Times New Roman" w:hAnsi="Times New Roman" w:cs="Times New Roman"/>
          <w:sz w:val="24"/>
          <w:szCs w:val="24"/>
        </w:rPr>
        <w:fldChar w:fldCharType="end"/>
      </w:r>
      <w:r w:rsidRPr="00DB6DD1">
        <w:rPr>
          <w:rFonts w:ascii="Times New Roman" w:hAnsi="Times New Roman" w:cs="Times New Roman"/>
          <w:sz w:val="24"/>
          <w:szCs w:val="24"/>
        </w:rPr>
        <w:t xml:space="preserve"> </w:t>
      </w:r>
      <w:r w:rsidRPr="004D351A">
        <w:rPr>
          <w:rFonts w:ascii="Times New Roman" w:hAnsi="Times New Roman" w:cs="Times New Roman"/>
          <w:color w:val="FF0000"/>
          <w:sz w:val="24"/>
          <w:szCs w:val="24"/>
        </w:rPr>
        <w:t>(FAO, 2017; Scanlon et al., 2023)</w:t>
      </w:r>
      <w:r w:rsidRPr="00DB6DD1">
        <w:rPr>
          <w:rFonts w:ascii="Times New Roman" w:hAnsi="Times New Roman" w:cs="Times New Roman"/>
          <w:sz w:val="24"/>
          <w:szCs w:val="24"/>
        </w:rPr>
        <w:t xml:space="preserve">. In semi-arid regions, this pressure arrives on top of a pre-existing deficit: potential evapotranspiration already exceeds precipitation for most of the year, making every millimeter of saved irrigation water economically and ecologically significant. Meanwhile, the energy sector faces its own transition, with solar photovoltaics emerging as the lowest-cost source of new electricity generation in many of these same regions </w:t>
      </w:r>
      <w:r w:rsidR="005D78A4">
        <w:rPr>
          <w:rFonts w:ascii="Times New Roman" w:hAnsi="Times New Roman" w:cs="Times New Roman"/>
          <w:sz w:val="24"/>
          <w:szCs w:val="24"/>
        </w:rPr>
        <w:fldChar w:fldCharType="begin"/>
      </w:r>
      <w:r w:rsidR="005D78A4">
        <w:rPr>
          <w:rFonts w:ascii="Times New Roman" w:hAnsi="Times New Roman" w:cs="Times New Roman"/>
          <w:sz w:val="24"/>
          <w:szCs w:val="24"/>
        </w:rPr>
        <w:instrText xml:space="preserve"> ADDIN ZOTERO_ITEM CSL_CITATION {"citationID":"eR4chtjM","properties":{"unsorted":false,"formattedCitation":"({\\i{}Renewable Power Generation Costs in 2022}, 2022)","plainCitation":"(Renewable Power Generation Costs in 2022, 2022)","noteIndex":0},"citationItems":[{"id":154,"uris":["http://zotero.org/users/local/i6bXxmSk/items/D57N34QY"],"itemData":{"id":154,"type":"article-journal","language":"en","source":"Zotero","title":"Renewable power generation costs in 2022","issued":{"date-parts":[["2022"]]}}}],"schema":"https://github.com/citation-style-language/schema/raw/master/csl-citation.json"} </w:instrText>
      </w:r>
      <w:r w:rsidR="005D78A4">
        <w:rPr>
          <w:rFonts w:ascii="Times New Roman" w:hAnsi="Times New Roman" w:cs="Times New Roman"/>
          <w:sz w:val="24"/>
          <w:szCs w:val="24"/>
        </w:rPr>
        <w:fldChar w:fldCharType="separate"/>
      </w:r>
      <w:r w:rsidR="005D78A4" w:rsidRPr="005D78A4">
        <w:rPr>
          <w:rFonts w:ascii="Calibri" w:hAnsi="Calibri" w:cs="Calibri"/>
          <w:sz w:val="24"/>
          <w:szCs w:val="24"/>
        </w:rPr>
        <w:t>(</w:t>
      </w:r>
      <w:r w:rsidR="005D78A4" w:rsidRPr="005D78A4">
        <w:rPr>
          <w:rFonts w:ascii="Calibri" w:hAnsi="Calibri" w:cs="Calibri"/>
          <w:i/>
          <w:iCs/>
          <w:sz w:val="24"/>
          <w:szCs w:val="24"/>
        </w:rPr>
        <w:t>Renewable Power Generation Costs in 2022</w:t>
      </w:r>
      <w:r w:rsidR="005D78A4" w:rsidRPr="005D78A4">
        <w:rPr>
          <w:rFonts w:ascii="Calibri" w:hAnsi="Calibri" w:cs="Calibri"/>
          <w:sz w:val="24"/>
          <w:szCs w:val="24"/>
        </w:rPr>
        <w:t>, 2022)</w:t>
      </w:r>
      <w:r w:rsidR="005D78A4">
        <w:rPr>
          <w:rFonts w:ascii="Times New Roman" w:hAnsi="Times New Roman" w:cs="Times New Roman"/>
          <w:sz w:val="24"/>
          <w:szCs w:val="24"/>
        </w:rPr>
        <w:fldChar w:fldCharType="end"/>
      </w:r>
      <w:r w:rsidRPr="00DB6DD1">
        <w:rPr>
          <w:rFonts w:ascii="Times New Roman" w:hAnsi="Times New Roman" w:cs="Times New Roman"/>
          <w:sz w:val="24"/>
          <w:szCs w:val="24"/>
        </w:rPr>
        <w:t xml:space="preserve">. The tension between solar deployment and agricultural land is real and growing; large ground-mount installations can displace food production from productive soils, replacing one resource challenge with another </w:t>
      </w:r>
      <w:r w:rsidR="000D5FD6">
        <w:rPr>
          <w:rFonts w:ascii="Times New Roman" w:hAnsi="Times New Roman" w:cs="Times New Roman"/>
          <w:sz w:val="24"/>
          <w:szCs w:val="24"/>
        </w:rPr>
        <w:fldChar w:fldCharType="begin"/>
      </w:r>
      <w:r w:rsidR="000D5FD6">
        <w:rPr>
          <w:rFonts w:ascii="Times New Roman" w:hAnsi="Times New Roman" w:cs="Times New Roman"/>
          <w:sz w:val="24"/>
          <w:szCs w:val="24"/>
        </w:rPr>
        <w:instrText xml:space="preserve"> ADDIN ZOTERO_ITEM CSL_CITATION {"citationID":"SirCFYnM","properties":{"unsorted":false,"formattedCitation":"(Dinesh &amp; Pearce, 2016)","plainCitation":"(Dinesh &amp; Pearce, 2016)","noteIndex":0},"citationItems":[{"id":148,"uris":["http://zotero.org/users/local/i6bXxmSk/items/DNE8ZL6R"],"itemData":{"id":148,"type":"article-journal","abstract":"In order to meet global energy demands with clean renewable energy such as with solar photovoltaic (PV) systems, large surface areas are needed because of the relatively diffuse nature of solar energy. Much of this demand can be matched with aggressive building integrated PV and rooftop PV, but the remainder can be met with land-based PV farms. Using large tracts of land for solar farms will increase competition for land resources as food production demand and energy demand are both growing and vie for the limited land resources. This land competition is exacerbated by the increasing population. These coupled land challenges can be ameliorated using the concept of agrivoltaics or co-developing the same area of land for both solar PV power as well as for conventional agriculture. In this paper, the agrivoltaic experiments to date are reviewed and summarized. A coupled simulation model is developed for both PV production (PVSyst) and agricultural production (Simulateur mulTIdisciplinaire les Cultures Standard (STICS) crop model), to gauge the technical potential of scaling agrivoltaic systems. The results showed that the value of solar generated electricity coupled to shadetolerant crop production created an over 30% increase in economic value from farms deploying agrivoltaic systems instead of conventional agriculture. Utilizing shade tolerant crops enables crop yield losses to be minimized and thus maintain crop price stability. In addition, this dual use of agricultural land can have a signiﬁcant effect on national PV production. The results showed an increase in PV power between over 40 and 70 GW if lettuce cultivation alone is converted to agrivoltaic systems in the U.S. It is clear, further work is warranted in this area and that the outputs for different crops and geographic areas should be explored to ascertain the potential of agrivoltaic farming throughout the globe.","container-title":"Renewable and Sustainable Energy Reviews","DOI":"10.1016/j.rser.2015.10.024","ISSN":"13640321","journalAbbreviation":"Renewable and Sustainable Energy Reviews","language":"en","page":"299-308","source":"DOI.org (Crossref)","title":"The potential of agrivoltaic systems","volume":"54","author":[{"family":"Dinesh","given":"Harshavardhan"},{"family":"Pearce","given":"Joshua M."}],"issued":{"date-parts":[["2016",2]]}}}],"schema":"https://github.com/citation-style-language/schema/raw/master/csl-citation.json"} </w:instrText>
      </w:r>
      <w:r w:rsidR="000D5FD6">
        <w:rPr>
          <w:rFonts w:ascii="Times New Roman" w:hAnsi="Times New Roman" w:cs="Times New Roman"/>
          <w:sz w:val="24"/>
          <w:szCs w:val="24"/>
        </w:rPr>
        <w:fldChar w:fldCharType="separate"/>
      </w:r>
      <w:r w:rsidR="000D5FD6" w:rsidRPr="000D5FD6">
        <w:rPr>
          <w:rFonts w:ascii="Calibri" w:hAnsi="Calibri" w:cs="Calibri"/>
          <w:sz w:val="24"/>
        </w:rPr>
        <w:t>(Dinesh &amp; Pearce, 2016)</w:t>
      </w:r>
      <w:r w:rsidR="000D5FD6">
        <w:rPr>
          <w:rFonts w:ascii="Times New Roman" w:hAnsi="Times New Roman" w:cs="Times New Roman"/>
          <w:sz w:val="24"/>
          <w:szCs w:val="24"/>
        </w:rPr>
        <w:fldChar w:fldCharType="end"/>
      </w:r>
      <w:r w:rsidR="000D5FD6">
        <w:rPr>
          <w:rFonts w:ascii="Times New Roman" w:hAnsi="Times New Roman" w:cs="Times New Roman"/>
          <w:color w:val="FF0000"/>
          <w:sz w:val="24"/>
          <w:szCs w:val="24"/>
        </w:rPr>
        <w:t>.</w:t>
      </w:r>
    </w:p>
    <w:p w14:paraId="644D5269" w14:textId="78ADA303" w:rsidR="00DB6DD1" w:rsidRPr="00E6057D"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Agrivoltaics — the co-location of photovoltaic modules and crops on the same land parcel — was conceived precisely to dissolve this tension</w:t>
      </w:r>
      <w:r w:rsidR="00E13127">
        <w:rPr>
          <w:rFonts w:ascii="Times New Roman" w:hAnsi="Times New Roman" w:cs="Times New Roman"/>
          <w:sz w:val="24"/>
          <w:szCs w:val="24"/>
        </w:rPr>
        <w:t xml:space="preserve"> </w:t>
      </w:r>
      <w:r w:rsidR="008A5770">
        <w:rPr>
          <w:rFonts w:ascii="Times New Roman" w:hAnsi="Times New Roman" w:cs="Times New Roman"/>
          <w:sz w:val="24"/>
          <w:szCs w:val="24"/>
        </w:rPr>
        <w:fldChar w:fldCharType="begin"/>
      </w:r>
      <w:r w:rsidR="008A5770">
        <w:rPr>
          <w:rFonts w:ascii="Times New Roman" w:hAnsi="Times New Roman" w:cs="Times New Roman"/>
          <w:sz w:val="24"/>
          <w:szCs w:val="24"/>
        </w:rPr>
        <w:instrText xml:space="preserve"> ADDIN ZOTERO_ITEM CSL_CITATION {"citationID":"yCZ7fe4W","properties":{"unsorted":false,"formattedCitation":"(Dupraz et al., 2011; Goetzberger &amp; Zastrow, 1982)","plainCitation":"(Dupraz et al., 2011; Goetzberger &amp; Zastrow, 1982)","noteIndex":0},"citationItems":[{"id":21,"uris":["http://zotero.org/users/local/i6bXxmSk/items/LN5ZHBFE"],"itemData":{"id":21,"type":"article-journal","abstract":"The need for new sources of renewable energies and the rising price of fossil fuels have induced the hope that agricultural crops may be a source of renewable energy for the future. We question in this paper the best strategies to convert solar radiation into both energy and food. The intrinsic efﬁciency of the photosynthetic process is quite low (around 3%) while commercially available monocristalline solar photovoltaic (PV) panels have an average yield of 15%. Therefore huge arrays of solar panels are now envisaged. Solar plants using PV panels will therefore compete with agriculture for land. In this paper, we suggest that a combination of solar panels and food crops on the same land unit may maximise the land use. We suggest to call this an agrivoltaic system. We used Land Equivalent Ratios to compare conventional options (separation of agriculture and energy harvesting) and two agrivoltaic systems with different densities of PV panels. We modelled the light transmission at the crop level by an array of solar panels and used a crop model to predict the productivity of the partially shaded crops. These preliminary results indicate that agrivoltaic systems may be very efﬁcient: a 35e73% increase of global land productivity was predicted for the two densities of PV panels. Facilitation mechanisms similar to those evidenced in agroforestry systems may explain the advantage of such mixed systems. New solar plants may therefore combine electricity production with food production, especially in countries where cropping land is scarce. There is a need to validate the hypotheses included in our models and provide a proof of the concept by monitoring prototypes of agrivoltaic systems.","container-title":"Renewable Energy","DOI":"10.1016/j.renene.2011.03.005","ISSN":"09601481","issue":"10","journalAbbreviation":"Renewable Energy","language":"en","license":"https://www.elsevier.com/tdm/userlicense/1.0/","page":"2725-2732","source":"DOI.org (Crossref)","title":"Combining solar photovoltaic panels and food crops for optimising land use: Towards new agrivoltaic schemes","title-short":"Combining solar photovoltaic panels and food crops for optimising land use","volume":"36","author":[{"family":"Dupraz","given":"C."},{"family":"Marrou","given":"H."},{"family":"Talbot","given":"G."},{"family":"Dufour","given":"L."},{"family":"Nogier","given":"A."},{"family":"Ferard","given":"Y."}],"issued":{"date-parts":[["2011",10]]}}},{"id":87,"uris":["http://zotero.org/users/local/i6bXxmSk/items/HZNEJNJ2"],"itemData":{"id":87,"type":"article-journal","container-title":"International Journal of Solar Energy","DOI":"10.1080/01425918208909875","ISSN":"0142-5919","issue":"1","journalAbbreviation":"International Journal of Solar Energy","language":"en","page":"55-69","source":"DOI.org (Crossref)","title":"On the Coexistence of Solar-Energy Conversion and Plant Cultivation","volume":"1","author":[{"family":"Goetzberger","given":"A."},{"family":"Zastrow","given":"A."}],"issued":{"date-parts":[["1982",1]]}}}],"schema":"https://github.com/citation-style-language/schema/raw/master/csl-citation.json"} </w:instrText>
      </w:r>
      <w:r w:rsidR="008A5770">
        <w:rPr>
          <w:rFonts w:ascii="Times New Roman" w:hAnsi="Times New Roman" w:cs="Times New Roman"/>
          <w:sz w:val="24"/>
          <w:szCs w:val="24"/>
        </w:rPr>
        <w:fldChar w:fldCharType="separate"/>
      </w:r>
      <w:r w:rsidR="008A5770" w:rsidRPr="008A5770">
        <w:rPr>
          <w:rFonts w:ascii="Calibri" w:hAnsi="Calibri" w:cs="Calibri"/>
          <w:sz w:val="24"/>
        </w:rPr>
        <w:t>(Dupraz et al., 2011; Goetzberger &amp; Zastrow, 1982)</w:t>
      </w:r>
      <w:r w:rsidR="008A5770">
        <w:rPr>
          <w:rFonts w:ascii="Times New Roman" w:hAnsi="Times New Roman" w:cs="Times New Roman"/>
          <w:sz w:val="24"/>
          <w:szCs w:val="24"/>
        </w:rPr>
        <w:fldChar w:fldCharType="end"/>
      </w:r>
      <w:r w:rsidR="007B225A">
        <w:rPr>
          <w:rFonts w:ascii="Times New Roman" w:hAnsi="Times New Roman" w:cs="Times New Roman"/>
          <w:sz w:val="24"/>
          <w:szCs w:val="24"/>
        </w:rPr>
        <w:t xml:space="preserve">. </w:t>
      </w:r>
      <w:r w:rsidRPr="00DB6DD1">
        <w:rPr>
          <w:rFonts w:ascii="Times New Roman" w:hAnsi="Times New Roman" w:cs="Times New Roman"/>
          <w:sz w:val="24"/>
          <w:szCs w:val="24"/>
        </w:rPr>
        <w:t>The premise is elegant: panels elevated above crops generate electricity while the partial shade they cast reduces heat stress, curbs soil moisture evaporation, and can actually raise crop yields for species adapted to moderate shade. A growing body of field evidence confirms this dual benefit across crop species, climates, and panel configurations</w:t>
      </w:r>
      <w:r w:rsidR="007B225A">
        <w:rPr>
          <w:rFonts w:ascii="Times New Roman" w:hAnsi="Times New Roman" w:cs="Times New Roman"/>
          <w:sz w:val="24"/>
          <w:szCs w:val="24"/>
        </w:rPr>
        <w:t xml:space="preserve"> </w:t>
      </w:r>
      <w:r w:rsidR="007B225A">
        <w:rPr>
          <w:rFonts w:ascii="Times New Roman" w:hAnsi="Times New Roman" w:cs="Times New Roman"/>
          <w:sz w:val="24"/>
          <w:szCs w:val="24"/>
        </w:rPr>
        <w:fldChar w:fldCharType="begin"/>
      </w:r>
      <w:r w:rsidR="007B225A">
        <w:rPr>
          <w:rFonts w:ascii="Times New Roman" w:hAnsi="Times New Roman" w:cs="Times New Roman"/>
          <w:sz w:val="24"/>
          <w:szCs w:val="24"/>
        </w:rPr>
        <w:instrText xml:space="preserve"> ADDIN ZOTERO_ITEM CSL_CITATION {"citationID":"af0fYI2j","properties":{"unsorted":false,"formattedCitation":"(Barron-Gafford et al., 2019; Semeraro et al., 2024)","plainCitation":"(Barron-Gafford et al., 2019; Semeraro et al., 2024)","noteIndex":0},"citationItems":[{"id":33,"uris":["http://zotero.org/users/local/i6bXxmSk/items/EE5NH5RQ"],"itemData":{"id":33,"type":"article-journal","container-title":"Nature Sustainability","DOI":"10.1038/s41893-019-0364-5","ISSN":"2398-9629","issue":"9","journalAbbreviation":"Nat Sustain","language":"en","page":"848-855","source":"DOI.org (Crossref)","title":"Agrivoltaics provide mutual benefits across the f</w:instrText>
      </w:r>
      <w:r w:rsidR="007B225A" w:rsidRPr="00E6057D">
        <w:rPr>
          <w:rFonts w:ascii="Times New Roman" w:hAnsi="Times New Roman" w:cs="Times New Roman"/>
          <w:sz w:val="24"/>
          <w:szCs w:val="24"/>
        </w:rPr>
        <w:instrText>ood–energy–water nexus in drylands","volume":</w:instrText>
      </w:r>
      <w:r w:rsidR="007B225A" w:rsidRPr="0051683F">
        <w:rPr>
          <w:rFonts w:ascii="Times New Roman" w:hAnsi="Times New Roman" w:cs="Times New Roman"/>
          <w:sz w:val="24"/>
          <w:szCs w:val="24"/>
        </w:rPr>
        <w:instrText xml:space="preserve">"2","author":[{"family":"Barron-Gafford","given":"Greg A."},{"family":"Pavao-Zuckerman","given":"Mitchell A."},{"family":"Minor","given":"Rebecca L."},{"family":"Sutter","given":"Leland F."},{"family":"Barnett-Moreno","given":"Isaiah"},{"family":"Blackett","given":"Daniel T."},{"family":"Thompson","given":"Moses"},{"family":"Dimond","given":"Kirk"},{"family":"Gerlak","given":"Andrea K."},{"family":"Nabhan","given":"Gary P."},{"family":"Macknick","given":"Jordan E."}],"issued":{"date-parts":[["2019",9,2]]}}},{"id":49,"uris":["http://zotero.org/users/local/i6bXxmSk/items/IWU4GWTD"],"itemData":{"id":49,"type":"article-journal","container-title":"Applied Energy","DOI":"10.1016/j.apenergy.2023.122565","ISSN":"03062619","journalAbbreviation":"Applied Energy","language":"en","page":"122565","source":"DOI.org (Crossref)","title":"Shading effects in agrivoltaic systems can make the difference in boosting food security in climate change","volume":"358","author":[{"family":"Semeraro","given":"Teodoro"},{"family":"Scarano","given":"Aurelia"},{"family":"Curci","given":"Lorenzo Maria"},{"family":"Leggieri","given":"Angelo"},{"family":"Lenucci","given":"Marcello"},{"family":"Basset","given":"Alberto"},{"family":"Santino","given":"Angelo"},{"family":"Piro","given":"Gabriella"},{"family":"De Caroli","given":"Monica"}],"issued":{"date-parts":[["2024",3]]}}}],"schema":"https://github.com/citation-style-language/schema/raw/master/csl-citation.json"} </w:instrText>
      </w:r>
      <w:r w:rsidR="007B225A">
        <w:rPr>
          <w:rFonts w:ascii="Times New Roman" w:hAnsi="Times New Roman" w:cs="Times New Roman"/>
          <w:sz w:val="24"/>
          <w:szCs w:val="24"/>
        </w:rPr>
        <w:fldChar w:fldCharType="separate"/>
      </w:r>
      <w:r w:rsidR="007B225A" w:rsidRPr="0051683F">
        <w:rPr>
          <w:rFonts w:ascii="Calibri" w:hAnsi="Calibri" w:cs="Calibri"/>
          <w:sz w:val="24"/>
        </w:rPr>
        <w:t>(Barron-Gafford et al., 2019; Semeraro et al., 2024)</w:t>
      </w:r>
      <w:r w:rsidR="007B225A">
        <w:rPr>
          <w:rFonts w:ascii="Times New Roman" w:hAnsi="Times New Roman" w:cs="Times New Roman"/>
          <w:sz w:val="24"/>
          <w:szCs w:val="24"/>
        </w:rPr>
        <w:fldChar w:fldCharType="end"/>
      </w:r>
      <w:r w:rsidRPr="0051683F">
        <w:rPr>
          <w:rFonts w:ascii="Times New Roman" w:hAnsi="Times New Roman" w:cs="Times New Roman"/>
          <w:sz w:val="24"/>
          <w:szCs w:val="24"/>
        </w:rPr>
        <w:t xml:space="preserve">. </w:t>
      </w:r>
      <w:r w:rsidRPr="00DB6DD1">
        <w:rPr>
          <w:rFonts w:ascii="Times New Roman" w:hAnsi="Times New Roman" w:cs="Times New Roman"/>
          <w:sz w:val="24"/>
          <w:szCs w:val="24"/>
        </w:rPr>
        <w:t xml:space="preserve">The Land Equivalent Ratio, a metric developed decades earlier for intercropping systems </w:t>
      </w:r>
      <w:r w:rsidR="0051683F">
        <w:rPr>
          <w:rFonts w:ascii="Times New Roman" w:hAnsi="Times New Roman" w:cs="Times New Roman"/>
          <w:sz w:val="24"/>
          <w:szCs w:val="24"/>
        </w:rPr>
        <w:fldChar w:fldCharType="begin"/>
      </w:r>
      <w:r w:rsidR="0051683F">
        <w:rPr>
          <w:rFonts w:ascii="Times New Roman" w:hAnsi="Times New Roman" w:cs="Times New Roman"/>
          <w:sz w:val="24"/>
          <w:szCs w:val="24"/>
        </w:rPr>
        <w:instrText xml:space="preserve"> ADDIN ZOTERO_ITEM CSL_CITATION {"citationID":"nG8xwTp0","properties":{"unsorted":false,"formattedCitation":"(Mead &amp; Willey, 1980)","plainCitation":"(Mead &amp; Willey, 1980)","noteIndex":0},"citationItems":[{"id":51,"uris":["http://zotero.org/users/local/i6bXxmSk/items/ZN2KRQLT"],"itemData":{"id":51,"type":"article-journal","abstract":"SUMMARY\n            Criteria for evaluating different intercropping situations are suggested, and the Land Equivalent Ratio (LER) concept is considered for situations where intercropping must be compared with growing each crop sole. The need to use different standardizing sole crop yields in forming LERs is discussed, and a method of calculating an ‘effective LER’ is proposed to evaluate situations where the yield proportions achieved in intercropping are different from those that might be required by a farmer. The possible importance of effective LERs in indicating the proportions of crops likely to give biggest yield advantages is discussed.","container-title":"Experimental Agriculture","DOI":"10.1017/S0014479700010978","ISSN":"0014-4797, 1469-4441","issue":"3","journalAbbreviation":"Ex. Agric.","language":"en","license":"https://www.cambridge.org/core/terms","page":"217-228","source":"DOI.org (Crossref)","title":"The Concept of a ‘Land Equivalent Ratio’ and Advantages in Yields from Intercropping","volume":"16","author":[{"family":"Mead","given":"R."},{"family":"Willey","given":"R. W."}],"issued":{"date-parts":[["1980",7]]}}}],"schema":"https://github.com/citation-style-language/schema/raw/master/csl-citation.json"} </w:instrText>
      </w:r>
      <w:r w:rsidR="0051683F">
        <w:rPr>
          <w:rFonts w:ascii="Times New Roman" w:hAnsi="Times New Roman" w:cs="Times New Roman"/>
          <w:sz w:val="24"/>
          <w:szCs w:val="24"/>
        </w:rPr>
        <w:fldChar w:fldCharType="separate"/>
      </w:r>
      <w:r w:rsidR="0051683F" w:rsidRPr="0051683F">
        <w:rPr>
          <w:rFonts w:ascii="Calibri" w:hAnsi="Calibri" w:cs="Calibri"/>
          <w:sz w:val="24"/>
        </w:rPr>
        <w:t>(Mead &amp; Willey, 1980)</w:t>
      </w:r>
      <w:r w:rsidR="0051683F">
        <w:rPr>
          <w:rFonts w:ascii="Times New Roman" w:hAnsi="Times New Roman" w:cs="Times New Roman"/>
          <w:sz w:val="24"/>
          <w:szCs w:val="24"/>
        </w:rPr>
        <w:fldChar w:fldCharType="end"/>
      </w:r>
      <w:r w:rsidR="0051683F">
        <w:rPr>
          <w:rFonts w:ascii="Times New Roman" w:hAnsi="Times New Roman" w:cs="Times New Roman"/>
          <w:sz w:val="24"/>
          <w:szCs w:val="24"/>
        </w:rPr>
        <w:t>,</w:t>
      </w:r>
      <w:r w:rsidRPr="00DB6DD1">
        <w:rPr>
          <w:rFonts w:ascii="Times New Roman" w:hAnsi="Times New Roman" w:cs="Times New Roman"/>
          <w:sz w:val="24"/>
          <w:szCs w:val="24"/>
        </w:rPr>
        <w:t xml:space="preserve"> has been repurposed to quantify the land productivity gain: published two-component LER values for agrivoltaic systems range from 1.2 to 1.94, meaning the combined system outperforms two separate monocultures by 20 to 94% on the same land</w:t>
      </w:r>
      <w:r w:rsidR="00047A43">
        <w:rPr>
          <w:rFonts w:ascii="Times New Roman" w:hAnsi="Times New Roman" w:cs="Times New Roman"/>
          <w:sz w:val="24"/>
          <w:szCs w:val="24"/>
        </w:rPr>
        <w:t xml:space="preserve"> </w:t>
      </w:r>
      <w:r w:rsidR="00047A43">
        <w:rPr>
          <w:rFonts w:ascii="Times New Roman" w:hAnsi="Times New Roman" w:cs="Times New Roman"/>
          <w:sz w:val="24"/>
          <w:szCs w:val="24"/>
        </w:rPr>
        <w:fldChar w:fldCharType="begin"/>
      </w:r>
      <w:r w:rsidR="008A5770">
        <w:rPr>
          <w:rFonts w:ascii="Times New Roman" w:hAnsi="Times New Roman" w:cs="Times New Roman"/>
          <w:sz w:val="24"/>
          <w:szCs w:val="24"/>
        </w:rPr>
        <w:instrText xml:space="preserve"> ADDIN ZOTERO_ITEM CSL_CITATION {"citationID":"KievMUvE","properties":{"unsorted":false,"formattedCitation":"(Mazzeo et al., 2025; Riaz et al., 2022)","plainCitation":"(Mazzeo et al., 2025; Riaz et al., 2022)","noteIndex":0},"citationItems":[{"id":45,"uris":["http://zotero.org/users/local/i6bXxmSk/items/TDSGZE5E"],"itemData":{"id":45,"type":"article-journal","abstract":"Agrivoltaics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Zafar"}],"issued":{"date-parts":[["2022",3]]}}},{"id":53,"uris":["http://zotero.org/users/local/i6bXxmSk/items/HVMHVHMR"],"itemData":{"id":53,"type":"article","abstract":"The rapid expansion of photovoltaic (PV) systems is essential for decarbonizing energy systems but raises concerns about competing with agriculture for arable land. Agrivoltaic (APV) systems offer a sustainable solution by integrating PV installations with agriculture on the same land. However, adoption is constrained by a limited understanding of design parameters and their effects on energy and crop productivity. This study presents a simulation framework to evaluate open-field APV systems, focusing on the impacts of ground coverage ratio (GCR), clearance height, and tracking configurations on solar irradiance distribution, crop yield, and solar energy generation. The Land Equivalent Ratio</w:instrText>
      </w:r>
      <w:r w:rsidR="008A5770" w:rsidRPr="00E6057D">
        <w:rPr>
          <w:rFonts w:ascii="Times New Roman" w:hAnsi="Times New Roman" w:cs="Times New Roman"/>
          <w:sz w:val="24"/>
          <w:szCs w:val="24"/>
        </w:rPr>
        <w:instrText xml:space="preserve"> (LER) was employed to assess the combined productivity of agricultural output and solar energy generation. Scenarios are modeled for temperate climates, examining three crops (lettuce, turnip, and maize) alongside bifacial PV systems with fixed and tracking designs. Results showed that design parameters significantly affect shading and light distribution. Higher clearance heights and lower GCRs enhance agricultural productivity, particularly for shade-sensitive crops like maize, though slightly reducing energy yields. LER values ranged from 1.04 to 2.05 for the GCR variable between 0.6 and 0.2, demonstrating that APV systems are more productive than conventional land use. These insights support optimizing APV designs, aiding policymakers and developers in aligning renewable energy goals with agricultural sustainability.","DOI":"10.2139/ssrn.5082169","language":"en","publisher":"SSRN","source":"DOI.org (Crossref)","title":"Optimizing Agrivoltaic Systems: A Comprehensive Analysis of Design, Crop Productivity and Energy Performance in Open-Field Configurations","title-short":"Optimizing Agrivoltaic Systems","URL":"https://www.ssrn.com/abstract=5082169","author":[{"family":"Mazzeo","given":"Domenico"},{"family":"Di Zio","given":"Andrea"},{"family":"Pesenti","given":"Claudio"},{"family":"Leva","given":"Sonia"}],"accessed":{"date-parts":[["2026",4,3]]},"issued":{"date-parts":[["2025"]]}}}],"schema":"https://github.com/citation-style-language/schema/raw/master/csl-citation.json"} </w:instrText>
      </w:r>
      <w:r w:rsidR="00047A43">
        <w:rPr>
          <w:rFonts w:ascii="Times New Roman" w:hAnsi="Times New Roman" w:cs="Times New Roman"/>
          <w:sz w:val="24"/>
          <w:szCs w:val="24"/>
        </w:rPr>
        <w:fldChar w:fldCharType="separate"/>
      </w:r>
      <w:r w:rsidR="008A5770" w:rsidRPr="00E6057D">
        <w:rPr>
          <w:rFonts w:ascii="Calibri" w:hAnsi="Calibri" w:cs="Calibri"/>
          <w:sz w:val="24"/>
        </w:rPr>
        <w:t>(Mazzeo et al., 2025; Riaz et al., 2022)</w:t>
      </w:r>
      <w:r w:rsidR="00047A43">
        <w:rPr>
          <w:rFonts w:ascii="Times New Roman" w:hAnsi="Times New Roman" w:cs="Times New Roman"/>
          <w:sz w:val="24"/>
          <w:szCs w:val="24"/>
        </w:rPr>
        <w:fldChar w:fldCharType="end"/>
      </w:r>
      <w:r w:rsidR="00B56C7B" w:rsidRPr="00E6057D">
        <w:rPr>
          <w:rFonts w:ascii="Times New Roman" w:hAnsi="Times New Roman" w:cs="Times New Roman"/>
          <w:sz w:val="24"/>
          <w:szCs w:val="24"/>
        </w:rPr>
        <w:t>.</w:t>
      </w:r>
    </w:p>
    <w:p w14:paraId="388D25BA" w14:textId="26E1249C"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What agrivoltaics alone does not address is what happens after harvest. A one-hectare tomato farm generates roughly 48 </w:t>
      </w:r>
      <w:r w:rsidR="00A73240" w:rsidRPr="00DB6DD1">
        <w:rPr>
          <w:rFonts w:ascii="Times New Roman" w:hAnsi="Times New Roman" w:cs="Times New Roman"/>
          <w:sz w:val="24"/>
          <w:szCs w:val="24"/>
        </w:rPr>
        <w:t>tons of</w:t>
      </w:r>
      <w:r w:rsidRPr="00DB6DD1">
        <w:rPr>
          <w:rFonts w:ascii="Times New Roman" w:hAnsi="Times New Roman" w:cs="Times New Roman"/>
          <w:sz w:val="24"/>
          <w:szCs w:val="24"/>
        </w:rPr>
        <w:t xml:space="preserve"> fresh residues each season — stems, leaves, roots, and culled fruit — most of which are either burned, landfilled, or composted at low efficiency. Anaerobic digestion (AD) converts this organic stream into two valuable outputs: biogas, a storable and dispatchable energy carrier, and digestate, a nutrient-rich biofertilizer that can replace synthetic inputs</w:t>
      </w:r>
      <w:r w:rsidR="00B56C7B">
        <w:rPr>
          <w:rFonts w:ascii="Times New Roman" w:hAnsi="Times New Roman" w:cs="Times New Roman"/>
          <w:sz w:val="24"/>
          <w:szCs w:val="24"/>
        </w:rPr>
        <w:t xml:space="preserve"> </w:t>
      </w:r>
      <w:r w:rsidR="00B56C7B">
        <w:rPr>
          <w:rFonts w:ascii="Times New Roman" w:hAnsi="Times New Roman" w:cs="Times New Roman"/>
          <w:sz w:val="24"/>
          <w:szCs w:val="24"/>
        </w:rPr>
        <w:fldChar w:fldCharType="begin"/>
      </w:r>
      <w:r w:rsidR="00B56C7B">
        <w:rPr>
          <w:rFonts w:ascii="Times New Roman" w:hAnsi="Times New Roman" w:cs="Times New Roman"/>
          <w:sz w:val="24"/>
          <w:szCs w:val="24"/>
        </w:rPr>
        <w:instrText xml:space="preserve"> ADDIN ZOTERO_ITEM CSL_CITATION {"citationID":"RaU1KyBq","properties":{"unsorted":false,"formattedCitation":"(M\\uc0\\u246{}ller &amp; M\\uc0\\u252{}ller, 2012)","plainCitation":"(Möller &amp; Müller, 2012)","noteIndex":0},"citationItems":[{"id":81,"uris":["http://zotero.org/users/local/i6bXxmSk/items/5LF74XV7"],"itemData":{"id":81,"type":"article-journal","abstract":"Anaerobic digestion (\n              AD\n              ) for biogas production leads to several changes in the composition of the resulting digestates compared to the original feedstock (ammonia content, p\n              H\n              , carbon to nitrogen ratio, etc.), which are relevant for the plant availability of macro‐ and micronutrients after field application. Increased\n              NH\n              4\n              +\n              ‐\n              N\n              content in digested slurries compared to undigested slurries does not guarantee improved uptake efficiency of slurry nitrogen and increased savings in fertilizer nitrogen.\n              AD\n              of crop residues and cover crops leads to an increase in the total amounts of mobile organic manures within the farming system, resulting in a higher nitrogen use efficiency and an increased scope for target‐oriented nitrogen application in time and space, when needed by the crop, as an alternative to the site‐bound soil incorporation as green manures.\n              AD\n              of dairy manure appears to reduce the fraction of immediate plant available phosphorus and micronutrients. This does, however, not affect short‐term crop availability under field conditions. More studies are needed to improve current knowledge on sulfur losses during\n              AD\n              and fertilizer value of digestates.","container-title":"Engineering in Life Sciences","DOI":"10.1002/elsc.201100085","ISSN":"1618-0240, 1618-2863","issue":"3","journalAbbreviation":"Engineering in Life Sciences","language":"en","license":"http://onlinelibrary.wiley.com/termsAndConditions#vor","page":"242-257","source":"DOI.org (Crossref)","title":"Effects of anaerobic digestion on digestate nutrient availability and crop growth: A review","title-short":"Effects of anaerobic digestion on digestate nutrient availability and crop growth","volume":"12","author":[{"family":"Möller","given":"Kurt"},{"family":"Müller","given":"Torsten"}],"issued":{"date-parts":[["2012",6]]}}}],"schema":"https://github.com/citation-style-language/schema/raw/master/csl-citation.json"} </w:instrText>
      </w:r>
      <w:r w:rsidR="00B56C7B">
        <w:rPr>
          <w:rFonts w:ascii="Times New Roman" w:hAnsi="Times New Roman" w:cs="Times New Roman"/>
          <w:sz w:val="24"/>
          <w:szCs w:val="24"/>
        </w:rPr>
        <w:fldChar w:fldCharType="separate"/>
      </w:r>
      <w:r w:rsidR="00B56C7B" w:rsidRPr="00B56C7B">
        <w:rPr>
          <w:rFonts w:ascii="Calibri" w:hAnsi="Calibri" w:cs="Calibri"/>
          <w:sz w:val="24"/>
          <w:szCs w:val="24"/>
        </w:rPr>
        <w:t>(Möller &amp; Müller, 2012)</w:t>
      </w:r>
      <w:r w:rsidR="00B56C7B">
        <w:rPr>
          <w:rFonts w:ascii="Times New Roman" w:hAnsi="Times New Roman" w:cs="Times New Roman"/>
          <w:sz w:val="24"/>
          <w:szCs w:val="24"/>
        </w:rPr>
        <w:fldChar w:fldCharType="end"/>
      </w:r>
      <w:r w:rsidRPr="00DB6DD1">
        <w:rPr>
          <w:rFonts w:ascii="Times New Roman" w:hAnsi="Times New Roman" w:cs="Times New Roman"/>
          <w:sz w:val="24"/>
          <w:szCs w:val="24"/>
        </w:rPr>
        <w:t xml:space="preserve">. The natural pairing between an agrivoltaic system and an on-farm digester is </w:t>
      </w:r>
      <w:r w:rsidRPr="00DB6DD1">
        <w:rPr>
          <w:rFonts w:ascii="Times New Roman" w:hAnsi="Times New Roman" w:cs="Times New Roman"/>
          <w:sz w:val="24"/>
          <w:szCs w:val="24"/>
        </w:rPr>
        <w:lastRenderedPageBreak/>
        <w:t>compelling: the PV electricity can stabilize digester temperature, the digester processes the crop residues that the agrivoltaic field generates, and the digestate returns macronutrients to the soil beneath the panels. The circle closes.</w:t>
      </w:r>
    </w:p>
    <w:p w14:paraId="385BC885" w14:textId="2CA7E7B7"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Despite the logical complementarity of these two technologies, research has so far treated them in isolation. Agrivoltaic optimization studies focus on panel geometry, crop PAR, and energy yield, but ignore the residue stream entirely </w:t>
      </w:r>
      <w:r w:rsidR="00C53AAB">
        <w:rPr>
          <w:rFonts w:ascii="Times New Roman" w:hAnsi="Times New Roman" w:cs="Times New Roman"/>
          <w:sz w:val="24"/>
          <w:szCs w:val="24"/>
        </w:rPr>
        <w:fldChar w:fldCharType="begin"/>
      </w:r>
      <w:r w:rsidR="00C53AAB">
        <w:rPr>
          <w:rFonts w:ascii="Times New Roman" w:hAnsi="Times New Roman" w:cs="Times New Roman"/>
          <w:sz w:val="24"/>
          <w:szCs w:val="24"/>
        </w:rPr>
        <w:instrText xml:space="preserve"> ADDIN ZOTERO_ITEM CSL_CITATION {"citationID":"YfEhDFyx","properties":{"unsorted":false,"formattedCitation":"(Riaz et al., 2022; Zainali et al., 2023)","plainCitation":"(Riaz et al., 2022; Zainali et al., 2023)","noteIndex":0},"citationItems":[{"id":45,"uris":["http://zotero.org/users/local/i6bXxmSk/items/TDSGZE5E"],"itemData":{"id":45,"type":"article-journal","abstract":"Agrivoltaics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Zafar"}],"issued":{"date-parts":[["2022",3]]}}},{"id":29,"uris":["http://zotero.org/users/local/i6bXxmSk/items/BYCBY4GP"],"itemData":{"id":29,"type":"article-journal","abstract":"Agrivoltaic systems are becoming increasingly popular as a crucial technology for attaining multiple sustainable development goals, such as affordable and clean energy, zero hunger, clean water and sanitation, and climate action. However, a comprehensive understanding of the shading effects on crops is essential for choosing an optimal agrivoltaic system, as an incorrect choice can result in significant crop yield reductions. In this study, fixed vertical, one-axis tracking, and two-axis tracking photovoltaic arrays were developed for agrivoltaic applications to analyse the shading conditions on the ground used for crop production. The models d</w:instrText>
      </w:r>
      <w:r w:rsidR="00C53AAB" w:rsidRPr="00E6057D">
        <w:rPr>
          <w:rFonts w:ascii="Times New Roman" w:hAnsi="Times New Roman" w:cs="Times New Roman"/>
          <w:sz w:val="24"/>
          <w:szCs w:val="24"/>
        </w:rPr>
        <w:instrText>emonstrated remarkable accuracy in</w:instrText>
      </w:r>
      <w:r w:rsidR="00C53AAB" w:rsidRPr="002976C1">
        <w:rPr>
          <w:rFonts w:ascii="Times New Roman" w:hAnsi="Times New Roman" w:cs="Times New Roman"/>
          <w:sz w:val="24"/>
          <w:szCs w:val="24"/>
        </w:rPr>
        <w:instrText xml:space="preserve"> comparison to commercial software such as PVsyst® and SketchUp®. These models will help to reduce crop yield uncertainty under agrivoltaic systems by providing accurate photosynthetically active radiation distribution at the crop level. The photosynthetically active radiation distribution was further analysed using a light homogeneity index, and the results showed that homogeneity and photosynthetically active radiation reduction varied significantly depending on the agrivoltaic system design, ranging from 86% to 95%, and 11% to 22%, respectively. Studying the effect of shading with distribution analysis is crucial for identifying the most suitable agrivoltaic system layout for specific crops and geographical locations.","container-title":"Applied Energy","DOI":"10.1016/j.apenergy.2023.120981","ISSN":"03062619","journalAbbreviation":"Applied Energy","language":"en","page":"120981","source":"DOI.org (Crossref)","title":"Direct and diffuse shading factors modelling for the most representative agrivoltaic system layouts","volume":"339","author":[{"family":"Zainali","given":"Sebastian"},{"family":"Ma Lu","given":"Silvia"},{"family":"Stridh","given":"Bengt"},{"family":"Avelin","given":"Anders"},{"family":"Amaducci","given":"Stefano"},{"family":"Colauzzi","given":"Michele"},{"family":"Campana","given":"Pietro Elia"}],"issued":{"date-parts":[["2023",6]]}}}],"schema":"https://github.com/citation-style-language/schema/raw/master/csl-citation.json"} </w:instrText>
      </w:r>
      <w:r w:rsidR="00C53AAB">
        <w:rPr>
          <w:rFonts w:ascii="Times New Roman" w:hAnsi="Times New Roman" w:cs="Times New Roman"/>
          <w:sz w:val="24"/>
          <w:szCs w:val="24"/>
        </w:rPr>
        <w:fldChar w:fldCharType="separate"/>
      </w:r>
      <w:r w:rsidR="00C53AAB" w:rsidRPr="002976C1">
        <w:rPr>
          <w:rFonts w:ascii="Calibri" w:hAnsi="Calibri" w:cs="Calibri"/>
          <w:sz w:val="24"/>
        </w:rPr>
        <w:t>(Riaz et al., 2022; Zainali et al., 2023)</w:t>
      </w:r>
      <w:r w:rsidR="00C53AAB">
        <w:rPr>
          <w:rFonts w:ascii="Times New Roman" w:hAnsi="Times New Roman" w:cs="Times New Roman"/>
          <w:sz w:val="24"/>
          <w:szCs w:val="24"/>
        </w:rPr>
        <w:fldChar w:fldCharType="end"/>
      </w:r>
      <w:r w:rsidRPr="002976C1">
        <w:rPr>
          <w:rFonts w:ascii="Times New Roman" w:hAnsi="Times New Roman" w:cs="Times New Roman"/>
          <w:sz w:val="24"/>
          <w:szCs w:val="24"/>
        </w:rPr>
        <w:t xml:space="preserve">. </w:t>
      </w:r>
      <w:r w:rsidRPr="00DB6DD1">
        <w:rPr>
          <w:rFonts w:ascii="Times New Roman" w:hAnsi="Times New Roman" w:cs="Times New Roman"/>
          <w:sz w:val="24"/>
          <w:szCs w:val="24"/>
        </w:rPr>
        <w:t>Anaerobic digestion studies model heating energy supply — including from PV — but treat the associated crop system only as a passive feedstock source, without jointly optimizing the two</w:t>
      </w:r>
      <w:r w:rsidR="002976C1">
        <w:rPr>
          <w:rFonts w:ascii="Times New Roman" w:hAnsi="Times New Roman" w:cs="Times New Roman"/>
          <w:sz w:val="24"/>
          <w:szCs w:val="24"/>
        </w:rPr>
        <w:t xml:space="preserve"> </w:t>
      </w:r>
      <w:r w:rsidR="002976C1">
        <w:rPr>
          <w:rFonts w:ascii="Times New Roman" w:hAnsi="Times New Roman" w:cs="Times New Roman"/>
          <w:sz w:val="24"/>
          <w:szCs w:val="24"/>
        </w:rPr>
        <w:fldChar w:fldCharType="begin"/>
      </w:r>
      <w:r w:rsidR="002976C1">
        <w:rPr>
          <w:rFonts w:ascii="Times New Roman" w:hAnsi="Times New Roman" w:cs="Times New Roman"/>
          <w:sz w:val="24"/>
          <w:szCs w:val="24"/>
        </w:rPr>
        <w:instrText xml:space="preserve"> ADDIN ZOTERO_ITEM CSL_CITATION {"citationID":"4BbZyHGL","properties":{"unsorted":false,"formattedCitation":"(Pal &amp; Ilango, 2024; Temiz et al., n.d.)","plainCitation":"(Pal &amp; Ilango, 2024; Temiz et al., n.d.)","noteIndex":0},"citationItems":[{"id":77,"uris":["http://zotero.org/users/local/i6bXxmSk/items/KSXUPFKN"],"itemData":{"id":77,"type":"article-journal","abstract":"This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Saravana"}],"issued":{"date-parts":[["2024",1]]}}},{"id":79,"uris":["http://zotero.org/users/local/i6bXxmSk/items/FWRZR77B"],"itemData":{"id":79,"type":"article-journal","abstract":"In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w:instrText>
      </w:r>
      <w:r w:rsidR="002976C1" w:rsidRPr="00E6057D">
        <w:rPr>
          <w:rFonts w:ascii="Times New Roman" w:hAnsi="Times New Roman" w:cs="Times New Roman"/>
          <w:sz w:val="24"/>
          <w:szCs w:val="24"/>
        </w:rPr>
        <w:instrText xml:space="preserve">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requirements.","language":"en","source":"Zotero","title":"Development and assessment of a new agrivoltaic‐biogas energy system for sustainable communities","author":[{"family":"Temiz","given":"Mert"},{"family":"Sinbuathong","given":"Nusara"},{"family":"Dincer","given":"Ibrahim"}]}}],"schema":"https://github.com/citation-style-language/schema/raw/master/csl-citation.json"} </w:instrText>
      </w:r>
      <w:r w:rsidR="002976C1">
        <w:rPr>
          <w:rFonts w:ascii="Times New Roman" w:hAnsi="Times New Roman" w:cs="Times New Roman"/>
          <w:sz w:val="24"/>
          <w:szCs w:val="24"/>
        </w:rPr>
        <w:fldChar w:fldCharType="separate"/>
      </w:r>
      <w:r w:rsidR="002976C1" w:rsidRPr="00E6057D">
        <w:rPr>
          <w:rFonts w:ascii="Calibri" w:hAnsi="Calibri" w:cs="Calibri"/>
          <w:sz w:val="24"/>
        </w:rPr>
        <w:t>(Pal &amp; Ilango, 2024; Temiz et al., n.d.)</w:t>
      </w:r>
      <w:r w:rsidR="002976C1">
        <w:rPr>
          <w:rFonts w:ascii="Times New Roman" w:hAnsi="Times New Roman" w:cs="Times New Roman"/>
          <w:sz w:val="24"/>
          <w:szCs w:val="24"/>
        </w:rPr>
        <w:fldChar w:fldCharType="end"/>
      </w:r>
      <w:r w:rsidRPr="00E6057D">
        <w:rPr>
          <w:rFonts w:ascii="Times New Roman" w:hAnsi="Times New Roman" w:cs="Times New Roman"/>
          <w:sz w:val="24"/>
          <w:szCs w:val="24"/>
        </w:rPr>
        <w:t xml:space="preserve">. </w:t>
      </w:r>
      <w:r w:rsidRPr="00DB6DD1">
        <w:rPr>
          <w:rFonts w:ascii="Times New Roman" w:hAnsi="Times New Roman" w:cs="Times New Roman"/>
          <w:sz w:val="24"/>
          <w:szCs w:val="24"/>
        </w:rPr>
        <w:t>Most critically, no study has proposed a unified performance metric that captures food, electricity, and biogas outputs on the same land-use basis, making cross-system comparisons impossible.</w:t>
      </w:r>
    </w:p>
    <w:p w14:paraId="0B8C40ED" w14:textId="2526DCBE"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This paper addresses that gap directly. We present an integrated optimization framework that simultaneously designs the agrivoltaic architecture and the anaerobic digestion subsystem for a given climate and crop, and we propose an extended Land Equivalent Ratio (eLER) that adds biogas as a third component to enable consistent, multi-output land productivity assessment. The framework is applied to three semi-arid sites spanning three continents and two climate subtypes, providing the first systematic multi-climate comparison of integrated APV-AD performance.</w:t>
      </w:r>
    </w:p>
    <w:p w14:paraId="01236916" w14:textId="376E2B64"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The specific contributions of this work are as follows. First, we introduce a six-variable differential evolution optimizer that jointly searches the APV design space (tilt angle, row spacing, module height) and the AD design space (digester volume, hydraulic retention time, PV heating fraction), with both PV and AD thermal models driven by the same hourly PVGIS-SARAH2 climate data. Second, we define and implement the eLER metric, which extends the classical two-component LER to include biogas, and demonstrate that this third component adds a land-use increment of approximately 1.0 at all three sites — as large as the entire two-component agrivoltaic benefit. Third, we provide the first quantification of how continental cold winters suppress biogas yield through Arrhenius temperature correction of the biochemical methane potential, and show that even at the coldest site (Konya,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min</m:t>
            </m:r>
          </m:sub>
        </m:sSub>
        <m:r>
          <w:rPr>
            <w:rFonts w:ascii="Cambria Math" w:hAnsi="Cambria Math" w:cs="Times New Roman"/>
            <w:sz w:val="24"/>
            <w:szCs w:val="24"/>
          </w:rPr>
          <m:t>= -18°C</m:t>
        </m:r>
      </m:oMath>
      <w:r w:rsidRPr="00DB6DD1">
        <w:rPr>
          <w:rFonts w:ascii="Times New Roman" w:hAnsi="Times New Roman" w:cs="Times New Roman"/>
          <w:sz w:val="24"/>
          <w:szCs w:val="24"/>
        </w:rPr>
        <w:t>)</w:t>
      </w:r>
      <w:r w:rsidR="00723332">
        <w:rPr>
          <w:rFonts w:ascii="Times New Roman" w:hAnsi="Times New Roman" w:cs="Times New Roman"/>
          <w:sz w:val="24"/>
          <w:szCs w:val="24"/>
        </w:rPr>
        <w:t xml:space="preserve"> </w:t>
      </w:r>
      <w:r w:rsidR="00723332">
        <w:rPr>
          <w:rFonts w:ascii="Times New Roman" w:hAnsi="Times New Roman" w:cs="Times New Roman"/>
          <w:sz w:val="24"/>
          <w:szCs w:val="24"/>
        </w:rPr>
        <w:fldChar w:fldCharType="begin"/>
      </w:r>
      <w:r w:rsidR="00723332">
        <w:rPr>
          <w:rFonts w:ascii="Times New Roman" w:hAnsi="Times New Roman" w:cs="Times New Roman"/>
          <w:sz w:val="24"/>
          <w:szCs w:val="24"/>
        </w:rPr>
        <w:instrText xml:space="preserve"> ADDIN ZOTERO_ITEM CSL_CITATION {"citationID":"XCo4PIqt","properties":{"unsorted":false,"formattedCitation":"({\\i{}JRC Photovoltaic Geographical Information System (PVGIS) - European Commission}, n.d.)","plainCitation":"(JRC Photovoltaic Geographical Information System (PVGIS) - European Commission, n.d.)","noteIndex":0},"citationItems":[{"id":161,"uris":["http://zotero.org/users/local/i6bXxmSk/items/2IQCS73F"],"itemData":{"id":161,"type":"webpage","title":"JRC Photovoltaic Geographical Information System (PVGIS) - European Commission","URL":"https://re.jrc.ec.europa.eu/pvg_tools/en/","accessed":{"date-parts":[["2026",4,10]]}}}],"schema":"https://github.com/citation-style-language/schema/raw/master/csl-citation.json"} </w:instrText>
      </w:r>
      <w:r w:rsidR="00723332">
        <w:rPr>
          <w:rFonts w:ascii="Times New Roman" w:hAnsi="Times New Roman" w:cs="Times New Roman"/>
          <w:sz w:val="24"/>
          <w:szCs w:val="24"/>
        </w:rPr>
        <w:fldChar w:fldCharType="separate"/>
      </w:r>
      <w:r w:rsidR="00723332" w:rsidRPr="00723332">
        <w:rPr>
          <w:rFonts w:ascii="Calibri" w:hAnsi="Calibri" w:cs="Calibri"/>
          <w:sz w:val="24"/>
          <w:szCs w:val="24"/>
        </w:rPr>
        <w:t>(</w:t>
      </w:r>
      <w:r w:rsidR="00723332" w:rsidRPr="00723332">
        <w:rPr>
          <w:rFonts w:ascii="Calibri" w:hAnsi="Calibri" w:cs="Calibri"/>
          <w:i/>
          <w:iCs/>
          <w:sz w:val="24"/>
          <w:szCs w:val="24"/>
        </w:rPr>
        <w:t>JRC Photovoltaic Geographical Information System (PVGIS) - European Commission</w:t>
      </w:r>
      <w:r w:rsidR="00723332" w:rsidRPr="00723332">
        <w:rPr>
          <w:rFonts w:ascii="Calibri" w:hAnsi="Calibri" w:cs="Calibri"/>
          <w:sz w:val="24"/>
          <w:szCs w:val="24"/>
        </w:rPr>
        <w:t>, n.d.)</w:t>
      </w:r>
      <w:r w:rsidR="00723332">
        <w:rPr>
          <w:rFonts w:ascii="Times New Roman" w:hAnsi="Times New Roman" w:cs="Times New Roman"/>
          <w:sz w:val="24"/>
          <w:szCs w:val="24"/>
        </w:rPr>
        <w:fldChar w:fldCharType="end"/>
      </w:r>
      <w:r w:rsidRPr="00DB6DD1">
        <w:rPr>
          <w:rFonts w:ascii="Times New Roman" w:hAnsi="Times New Roman" w:cs="Times New Roman"/>
          <w:sz w:val="24"/>
          <w:szCs w:val="24"/>
        </w:rPr>
        <w:t xml:space="preserve">, PV generation is abundant enough to fully cover digester thermal demand. Fourth, we quantify seasonal evapotranspiration reductions under </w:t>
      </w:r>
      <w:r w:rsidRPr="00DB6DD1">
        <w:rPr>
          <w:rFonts w:ascii="Times New Roman" w:hAnsi="Times New Roman" w:cs="Times New Roman"/>
          <w:sz w:val="24"/>
          <w:szCs w:val="24"/>
        </w:rPr>
        <w:lastRenderedPageBreak/>
        <w:t>optimized panel configurations, contributing to the water component of the food-energy-water nexus assessment.</w:t>
      </w:r>
    </w:p>
    <w:p w14:paraId="46831F00" w14:textId="77777777" w:rsidR="00DB6DD1" w:rsidRPr="00DB6DD1" w:rsidRDefault="00DB6DD1" w:rsidP="00DB6DD1">
      <w:pPr>
        <w:spacing w:line="360" w:lineRule="auto"/>
        <w:jc w:val="both"/>
        <w:rPr>
          <w:rFonts w:ascii="Times New Roman" w:hAnsi="Times New Roman" w:cs="Times New Roman"/>
          <w:sz w:val="24"/>
          <w:szCs w:val="24"/>
        </w:rPr>
      </w:pPr>
    </w:p>
    <w:p w14:paraId="2F490AB5" w14:textId="46320947"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The paper is organized as follows. Section 2 reviews the relevant literature on agrivoltaics, anaerobic digestion, and integrated systems, identifying the five research gaps that this work addresses. Section 3 presents the integrated modeling framework, site characterization, and optimization methodology. Section 4 describes the simulation results for all three sites. Section 5 discusses the implications for system design, climate transferability, and future research priorities.</w:t>
      </w:r>
    </w:p>
    <w:p w14:paraId="1D5D53D5" w14:textId="77777777" w:rsidR="003C7ED9" w:rsidRDefault="003C7ED9" w:rsidP="00DB6DD1">
      <w:pPr>
        <w:spacing w:line="360" w:lineRule="auto"/>
        <w:jc w:val="both"/>
        <w:rPr>
          <w:rFonts w:ascii="Times New Roman" w:hAnsi="Times New Roman" w:cs="Times New Roman"/>
          <w:sz w:val="24"/>
          <w:szCs w:val="24"/>
        </w:rPr>
      </w:pPr>
    </w:p>
    <w:p w14:paraId="06AC5A1F" w14:textId="3E99624F"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 Related Work</w:t>
      </w:r>
    </w:p>
    <w:p w14:paraId="24874F21" w14:textId="33E917B2" w:rsidR="00DB6DD1" w:rsidRPr="00DB6DD1" w:rsidRDefault="00DB6DD1" w:rsidP="00FE200E">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This section reviews the state of the art in three interconnected domains: agrivoltaic systems (Section 2.1), anaerobic digestion of agricultural residues (Section 2.2), and integrated renewable energy systems for the water-energy-food nexus (Section 2.3). Section 2.4 synthesizes these threads to identify the specific gaps that this study addresses.</w:t>
      </w:r>
    </w:p>
    <w:p w14:paraId="1544CB82" w14:textId="472FA331"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2.1. Agrivoltaic Systems: From Concept to Optimization</w:t>
      </w:r>
    </w:p>
    <w:p w14:paraId="2DD6EC57" w14:textId="3B1F682D" w:rsidR="00DB6DD1" w:rsidRP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Agrivoltaics, defined as the co-location of photovoltaic modules and agricultural crops on the same land parcel, has emerged as one of the more promising practical responses to land-use competition between energy and food production </w:t>
      </w:r>
      <w:r w:rsidR="00FE200E">
        <w:rPr>
          <w:rFonts w:ascii="Times New Roman" w:hAnsi="Times New Roman" w:cs="Times New Roman"/>
          <w:sz w:val="24"/>
          <w:szCs w:val="24"/>
        </w:rPr>
        <w:fldChar w:fldCharType="begin"/>
      </w:r>
      <w:r w:rsidR="00FE200E">
        <w:rPr>
          <w:rFonts w:ascii="Times New Roman" w:hAnsi="Times New Roman" w:cs="Times New Roman"/>
          <w:sz w:val="24"/>
          <w:szCs w:val="24"/>
        </w:rPr>
        <w:instrText xml:space="preserve"> ADDIN ZOTERO_ITEM CSL_CITATION {"citationID":"1VRWH2A5","properties":{"unsorted":false,"formattedCitation":"(Macknick et al., 2022; Proctor et al., 2020)","plainCitation":"(Macknick et al., 2022; Proctor et al., 2020)","noteIndex":0},"citationItems":[{"id":23,"uris":["http://zotero.org/users/local/i6bXxmSk/items/6EUPSHPS"],"itemData":{"id":23,"type":"report","DOI":"10.2172/1882930","language":"en","number":"NREL/TP-6A20-83566, 1882930, MainId:84339","page":"NREL/TP-6A20-83566, 1882930, MainId:84339","source":"DOI.org (Crossref)","title":"The 5 Cs of Agrivoltaic Success Factors in the United States: Lessons from the InSPIRE Research Study","title-short":"The 5 Cs of Agrivoltaic Success Factors in the United States","URL":"https://www.osti.gov/servlets/purl/1882930/","author":[{"family":"Macknick","given":"Jordan"},{"family":"Hartmann","given":"Heidi"},{"family":"Barron-Gafford","given":"Greg"},{"family":"Beatty","given":"Brenda"},{"family":"Burton","given":"Robin"},{"family":"Seok-Choi","given":"Chong"},{"family":"Davis","given":"Matthew"},{"family":"Davis","given":"Rob"},{"family":"Figueroa","given":"Jorge"},{"family":"Garrett","given":"Amy"},{"family":"Hain","given":"Lexie"},{"family":"Herbert","given":"Stephen"},{"family":"Janski","given":"Jake"},{"family":"Kinzer","given":"Austin"},{"family":"Knapp","given":"Alan"},{"family":"Lehan","given":"Michael"},{"family":"Losey","given":"John"},{"family":"Marley","given":"Jake"},{"family":"MacDonald","given":"James"},{"family":"McCall","given":"James"},{"family":"Nebert","given":"Lucas"},{"family":"Ravi","given":"Sujith"},{"family":"Schmidt","given":"Jason"},{"family":"Staie","given":"Brittany"},{"family":"Walston","given":"Leroy"}],"accessed":{"date-parts":[["2026",4,3]]},"issued":{"date-parts":[["2022",8,1]]}}},{"id":27,"uris":["http://zotero.org/users/local/i6bXxmSk/items/2VRQPCGK"],"</w:instrText>
      </w:r>
      <w:r w:rsidR="00FE200E" w:rsidRPr="00E6057D">
        <w:rPr>
          <w:rFonts w:ascii="Times New Roman" w:hAnsi="Times New Roman" w:cs="Times New Roman"/>
          <w:sz w:val="24"/>
          <w:szCs w:val="24"/>
        </w:rPr>
        <w:instrText>itemData":{"id":27,"type":"article-jou</w:instrText>
      </w:r>
      <w:r w:rsidR="00FE200E" w:rsidRPr="00F3385A">
        <w:rPr>
          <w:rFonts w:ascii="Times New Roman" w:hAnsi="Times New Roman" w:cs="Times New Roman"/>
          <w:sz w:val="24"/>
          <w:szCs w:val="24"/>
        </w:rPr>
        <w:instrText>rnal","abstract":"Agrivoltaic systems combine solar photovoltaic energy production with agriculture to improve land-use ef</w:instrText>
      </w:r>
      <w:r w:rsidR="00FE200E">
        <w:rPr>
          <w:rFonts w:ascii="Times New Roman" w:hAnsi="Times New Roman" w:cs="Times New Roman"/>
          <w:sz w:val="24"/>
          <w:szCs w:val="24"/>
        </w:rPr>
        <w:instrText>ﬁ</w:instrText>
      </w:r>
      <w:r w:rsidR="00FE200E" w:rsidRPr="00F3385A">
        <w:rPr>
          <w:rFonts w:ascii="Times New Roman" w:hAnsi="Times New Roman" w:cs="Times New Roman"/>
          <w:sz w:val="24"/>
          <w:szCs w:val="24"/>
        </w:rPr>
        <w:instrText xml:space="preserve">ciency. We provide an upper-bound reduced-order cost estimate for widespread implementation of Agrivoltaic systems in the United States. We </w:instrText>
      </w:r>
      <w:r w:rsidR="00FE200E">
        <w:rPr>
          <w:rFonts w:ascii="Times New Roman" w:hAnsi="Times New Roman" w:cs="Times New Roman"/>
          <w:sz w:val="24"/>
          <w:szCs w:val="24"/>
        </w:rPr>
        <w:instrText>ﬁ</w:instrText>
      </w:r>
      <w:r w:rsidR="00FE200E" w:rsidRPr="00F3385A">
        <w:rPr>
          <w:rFonts w:ascii="Times New Roman" w:hAnsi="Times New Roman" w:cs="Times New Roman"/>
          <w:sz w:val="24"/>
          <w:szCs w:val="24"/>
        </w:rPr>
        <w:instrText xml:space="preserve">nd that 20% of the US’ total electricity generation can be met with Agrivoltaic systems if less than 1% of the annual US budget is invested into rural infrastructure. Simultaneously, Agrivoltaic systems align well with existing Green New Deal goals. Widescale installation of Agrivoltaic systems can lead to a carbon dioxide (CO2) emissions reduction equivalent to removing 71,000 cars from the road annually and the creation of over 100,000 jobs in rural communities. Agrivoltaics provide a rare chance for true synergy: more food, more energy, lower water demand, lower carbon emissions, and more prosperous rural communities.","container-title":"Sustainability","DOI":"10.3390/su13010137","ISSN":"2071-1050","issue":"1","journalAbbreviation":"Sustainability","language":"en","page":"137","source":"DOI.org (Crossref)","title":"Agrivoltaics Align with Green New Deal Goals While Supporting Investment in the US’ Rural Economy","volume":"13","author":[{"family":"Proctor","given":"Kyle"},{"family":"Murthy","given":"Ganti"},{"family":"Higgins","given":"Chad"}],"issued":{"date-parts":[["2020",12,25]]}}}],"schema":"https://github.com/citation-style-language/schema/raw/master/csl-citation.json"} </w:instrText>
      </w:r>
      <w:r w:rsidR="00FE200E">
        <w:rPr>
          <w:rFonts w:ascii="Times New Roman" w:hAnsi="Times New Roman" w:cs="Times New Roman"/>
          <w:sz w:val="24"/>
          <w:szCs w:val="24"/>
        </w:rPr>
        <w:fldChar w:fldCharType="separate"/>
      </w:r>
      <w:r w:rsidR="00FE200E" w:rsidRPr="00F3385A">
        <w:rPr>
          <w:rFonts w:ascii="Calibri" w:hAnsi="Calibri" w:cs="Calibri"/>
          <w:sz w:val="24"/>
        </w:rPr>
        <w:t>(Macknick et al., 2022; Proctor et al., 2020)</w:t>
      </w:r>
      <w:r w:rsidR="00FE200E">
        <w:rPr>
          <w:rFonts w:ascii="Times New Roman" w:hAnsi="Times New Roman" w:cs="Times New Roman"/>
          <w:sz w:val="24"/>
          <w:szCs w:val="24"/>
        </w:rPr>
        <w:fldChar w:fldCharType="end"/>
      </w:r>
      <w:r w:rsidR="00F3385A">
        <w:rPr>
          <w:rFonts w:ascii="Times New Roman" w:hAnsi="Times New Roman" w:cs="Times New Roman"/>
          <w:sz w:val="24"/>
          <w:szCs w:val="24"/>
        </w:rPr>
        <w:t>.</w:t>
      </w:r>
      <w:r w:rsidRPr="00F3385A">
        <w:rPr>
          <w:rFonts w:ascii="Times New Roman" w:hAnsi="Times New Roman" w:cs="Times New Roman"/>
          <w:sz w:val="24"/>
          <w:szCs w:val="24"/>
        </w:rPr>
        <w:t xml:space="preserve"> </w:t>
      </w:r>
      <w:r w:rsidRPr="00DB6DD1">
        <w:rPr>
          <w:rFonts w:ascii="Times New Roman" w:hAnsi="Times New Roman" w:cs="Times New Roman"/>
          <w:sz w:val="24"/>
          <w:szCs w:val="24"/>
        </w:rPr>
        <w:t xml:space="preserve">The fundamental premise rests on a straightforward physical observation: partial shading from elevated PV modules can reduce crop water stress, lower canopy temperatures, and improve water-use efficiency, while the land beneath simultaneously generates clean electricity </w:t>
      </w:r>
      <w:r w:rsidR="00F3385A">
        <w:rPr>
          <w:rFonts w:ascii="Times New Roman" w:hAnsi="Times New Roman" w:cs="Times New Roman"/>
          <w:sz w:val="24"/>
          <w:szCs w:val="24"/>
        </w:rPr>
        <w:fldChar w:fldCharType="begin"/>
      </w:r>
      <w:r w:rsidR="00F3385A">
        <w:rPr>
          <w:rFonts w:ascii="Times New Roman" w:hAnsi="Times New Roman" w:cs="Times New Roman"/>
          <w:sz w:val="24"/>
          <w:szCs w:val="24"/>
        </w:rPr>
        <w:instrText xml:space="preserve"> ADDIN ZOTERO_ITEM CSL_CITATION {"citationID":"z0ObSmbj","properties":{"unsorted":false,"formattedCitation":"(Gorjian et al., 2022; Reasoner &amp; Ghosh, 2022)","plainCitation":"(Gorjian et al., 2022; Reasoner &amp; Ghosh, 2022)","noteIndex":0},"citationItems":[{"id":22,"uris":["http://zotero.org/users/local/i6bXxmSk/items/LDHGXMLR"],"itemData":{"id":22,"type":"article-journal","abstract":"The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S."}],"issued":{"date-parts":[["2022",4]]}}},{"id":25,"uris":["http://zotero.org/users/local/i6bXxmSk/items/CQHEP2VW"],"itemData":{"id":25,"type":"article-journal","abstract":"As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00F3385A">
        <w:rPr>
          <w:rFonts w:ascii="Times New Roman" w:hAnsi="Times New Roman" w:cs="Times New Roman"/>
          <w:sz w:val="24"/>
          <w:szCs w:val="24"/>
        </w:rPr>
        <w:fldChar w:fldCharType="separate"/>
      </w:r>
      <w:r w:rsidR="00F3385A" w:rsidRPr="00F3385A">
        <w:rPr>
          <w:rFonts w:ascii="Calibri" w:hAnsi="Calibri" w:cs="Calibri"/>
          <w:sz w:val="24"/>
        </w:rPr>
        <w:t>(Gorjian et al., 2022; Reasoner &amp; Ghosh, 2022)</w:t>
      </w:r>
      <w:r w:rsidR="00F3385A">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08697324" w14:textId="45E6186D"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2.1.1. Early demonstrations and proof of concept</w:t>
      </w:r>
    </w:p>
    <w:p w14:paraId="006285D7" w14:textId="7756FAFB" w:rsidR="003C7ED9"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modern concept of agrivoltaics was formalized by Dupraz et al. </w:t>
      </w:r>
      <w:r w:rsidR="00A50122">
        <w:rPr>
          <w:rFonts w:ascii="Times New Roman" w:hAnsi="Times New Roman" w:cs="Times New Roman"/>
          <w:sz w:val="24"/>
          <w:szCs w:val="24"/>
        </w:rPr>
        <w:fldChar w:fldCharType="begin"/>
      </w:r>
      <w:r w:rsidR="00A50122">
        <w:rPr>
          <w:rFonts w:ascii="Times New Roman" w:hAnsi="Times New Roman" w:cs="Times New Roman"/>
          <w:sz w:val="24"/>
          <w:szCs w:val="24"/>
        </w:rPr>
        <w:instrText xml:space="preserve"> ADDIN ZOTERO_ITEM CSL_CITATION {"citationID":"4xrI0DRf","properties":{"unsorted":false,"formattedCitation":"(Dupraz et al., 2011)","plainCitation":"(Dupraz et al., 2011)","noteIndex":0},"citationItems":[{"id":21,"uris":["http://zotero.org/users/local/i6bXxmSk/items/LN5ZHBFE"],"itemData":{"id":21,"type":"article-journal","abstract":"The need for new sources of renewable energies and the rising price of fossil fuels have induced the hope that agricultural crops may be a source of renewable energy for the future. We question in this paper the best strategies to convert solar radiation into both energy and food. The intrinsic efﬁciency of the photosynthetic process is quite low (around 3%) while commercially available monocristalline solar photovoltaic (PV) panels have an average yield of 15%. Therefore huge arrays of solar panels are now envisaged. Solar plants using PV panels will therefore compete with agriculture for land. In this paper, we suggest that a combination of solar panels and food crops on the same land unit may maximise the land use. We suggest to call this an agrivoltaic system. We used Land Equivalent Ratios to compare conventional options (separation of agriculture and energy harvesting) and two agrivoltaic systems with different densities of PV panels. We modelled the light transmission at the crop level by an array of solar panels and used a crop model to predict the productivity of the partially shaded crops. These preliminary results indicate that agrivoltaic systems may be very efﬁcient: a 35e73% increase of global land productivity was predicted for the two densities of PV panels. Facilitation mechanisms similar to those evidenced in agroforestry systems may explain the advantage of such mixed systems. New solar plants may therefore combine electricity production with food production, especially in countries where cropping land is scarce. There is a need to validate the hypotheses included in our models and provide a proof of the concept by monitoring prototypes of agrivoltaic systems.","container-title":"Renewable Energy","DOI":"10.1016/j.renene.2011.03.005","ISSN":"09601481","issue":"10","journalAbbreviation":"Renewable Energy","language":"en","license":"https://www.elsevier.com/tdm/userlicense/1.0/","page":"2725-2732","source":"DOI.org (Crossref)","title":"Combining solar photovoltaic panels and food crops for optimising land use: Towards new agrivoltaic schemes","title-short":"Combining solar photovoltaic panels and food crops for optimising land use","volume":"36","author":[{"family":"Dupraz","given":"C."},{"family":"Marrou","given":"H."},{"family":"Talbot","given":"G."},{"family":"Dufour","given":"L."},{"family":"Nogier","given":"A."},{"family":"Ferard","given":"Y."}],"issued":{"date-parts":[["2011",10]]}}}],"schema":"https://github.com/citation-style-language/schema/raw/master/csl-citation.json"} </w:instrText>
      </w:r>
      <w:r w:rsidR="00A50122">
        <w:rPr>
          <w:rFonts w:ascii="Times New Roman" w:hAnsi="Times New Roman" w:cs="Times New Roman"/>
          <w:sz w:val="24"/>
          <w:szCs w:val="24"/>
        </w:rPr>
        <w:fldChar w:fldCharType="separate"/>
      </w:r>
      <w:r w:rsidR="00A50122" w:rsidRPr="00A50122">
        <w:rPr>
          <w:rFonts w:ascii="Calibri" w:hAnsi="Calibri" w:cs="Calibri"/>
          <w:sz w:val="24"/>
        </w:rPr>
        <w:t>(Dupraz et al., 2011)</w:t>
      </w:r>
      <w:r w:rsidR="00A50122">
        <w:rPr>
          <w:rFonts w:ascii="Times New Roman" w:hAnsi="Times New Roman" w:cs="Times New Roman"/>
          <w:sz w:val="24"/>
          <w:szCs w:val="24"/>
        </w:rPr>
        <w:fldChar w:fldCharType="end"/>
      </w:r>
      <w:r w:rsidRPr="00DB6DD1">
        <w:rPr>
          <w:rFonts w:ascii="Times New Roman" w:hAnsi="Times New Roman" w:cs="Times New Roman"/>
          <w:sz w:val="24"/>
          <w:szCs w:val="24"/>
        </w:rPr>
        <w:t xml:space="preserve">, who demonstrated through modeling at the INRA Montpellier site that combining PV with crops could increase land productivity by 35–73% compared to separate monocultures. Goetzberger and Zastrow </w:t>
      </w:r>
      <w:r w:rsidR="00A50122">
        <w:rPr>
          <w:rFonts w:ascii="Times New Roman" w:hAnsi="Times New Roman" w:cs="Times New Roman"/>
          <w:sz w:val="24"/>
          <w:szCs w:val="24"/>
        </w:rPr>
        <w:fldChar w:fldCharType="begin"/>
      </w:r>
      <w:r w:rsidR="00A50122">
        <w:rPr>
          <w:rFonts w:ascii="Times New Roman" w:hAnsi="Times New Roman" w:cs="Times New Roman"/>
          <w:sz w:val="24"/>
          <w:szCs w:val="24"/>
        </w:rPr>
        <w:instrText xml:space="preserve"> ADDIN ZOTERO_ITEM CSL_CITATION {"citationID":"ZYoHbWzS","properties":{"unsorted":false,"formattedCitation":"(Goetzberger &amp; Zastrow, 1982)","plainCitation":"(Goetzberger &amp; Zastrow, 1982)","noteIndex":0},"citationItems":[{"id":87,"uris":["http://zotero.org/users/local/i6bXxmSk/items/HZNEJNJ2"],"itemData":{"id":87,"type":"article-journal","container-title":"International Journal of Solar Energy","DOI":"10.1080/01425918208909875","ISSN":"0142-5919","issue":"1","journalAbbreviation":"International Journal of Solar Energy","language":"en","page":"55-69","source":"DOI.org (Crossref)","title":"On the Coexistence of Solar-Energy Conversion and Plant Cultivation","volume":"1","author":[{"family":"Goetzberger","given":"A."},{"family":"Zastrow","given":"A."}],"issued":{"date-parts":[["1982",1]]}}}],"schema":"https://github.com/citation-style-language/schema/raw/master/csl-citation.json"} </w:instrText>
      </w:r>
      <w:r w:rsidR="00A50122">
        <w:rPr>
          <w:rFonts w:ascii="Times New Roman" w:hAnsi="Times New Roman" w:cs="Times New Roman"/>
          <w:sz w:val="24"/>
          <w:szCs w:val="24"/>
        </w:rPr>
        <w:fldChar w:fldCharType="separate"/>
      </w:r>
      <w:r w:rsidR="00A50122" w:rsidRPr="00A50122">
        <w:rPr>
          <w:rFonts w:ascii="Calibri" w:hAnsi="Calibri" w:cs="Calibri"/>
          <w:sz w:val="24"/>
        </w:rPr>
        <w:t>(Goetzberger &amp; Zastrow, 1982)</w:t>
      </w:r>
      <w:r w:rsidR="00A50122">
        <w:rPr>
          <w:rFonts w:ascii="Times New Roman" w:hAnsi="Times New Roman" w:cs="Times New Roman"/>
          <w:sz w:val="24"/>
          <w:szCs w:val="24"/>
        </w:rPr>
        <w:fldChar w:fldCharType="end"/>
      </w:r>
      <w:r w:rsidRPr="00DB6DD1">
        <w:rPr>
          <w:rFonts w:ascii="Times New Roman" w:hAnsi="Times New Roman" w:cs="Times New Roman"/>
          <w:sz w:val="24"/>
          <w:szCs w:val="24"/>
        </w:rPr>
        <w:t xml:space="preserve"> had proposed closely related ideas decades earlier, but it </w:t>
      </w:r>
      <w:r w:rsidRPr="00DB6DD1">
        <w:rPr>
          <w:rFonts w:ascii="Times New Roman" w:hAnsi="Times New Roman" w:cs="Times New Roman"/>
          <w:sz w:val="24"/>
          <w:szCs w:val="24"/>
        </w:rPr>
        <w:lastRenderedPageBreak/>
        <w:t xml:space="preserve">was the systematic experimental work at Montpellier that established empirical validation of the dual-use potential — particularly the finding that wheat and lettuce yields held up better than expected under partial shading </w:t>
      </w:r>
      <w:r w:rsidR="004B097C">
        <w:rPr>
          <w:rFonts w:ascii="Times New Roman" w:hAnsi="Times New Roman" w:cs="Times New Roman"/>
          <w:sz w:val="24"/>
          <w:szCs w:val="24"/>
        </w:rPr>
        <w:fldChar w:fldCharType="begin"/>
      </w:r>
      <w:r w:rsidR="004B097C">
        <w:rPr>
          <w:rFonts w:ascii="Times New Roman" w:hAnsi="Times New Roman" w:cs="Times New Roman"/>
          <w:sz w:val="24"/>
          <w:szCs w:val="24"/>
        </w:rPr>
        <w:instrText xml:space="preserve"> ADDIN ZOTERO_ITEM CSL_CITATION {"citationID":"5CN3kHev","properties":{"unsorted":false,"formattedCitation":"(Marrou et al., 2013)","plainCitation":"(Marrou et al., 2013)","noteIndex":0},"citationItems":[{"id":19,"uris":["http://zotero.org/users/local/i6bXxmSk/items/PWFLMIRQ"],"itemData":{"id":19,"type":"article-journal","abstract":"Agrivoltaic systems are mixed systems that associate, on the same land area at the same time, food crops and solar photovoltaic panels (PVPs). The aim of the present study is to assess whether the growth rate of crops is affected in the speciﬁc shade of PVPs. Changes in air, ground and crop temperature can be suspected due to the reduction of incident radiation below the photovoltaic shelter. Soil temperature (5 cm and 25 cm depth), air temperature and humidity, wind speed as well as incident radiations were recorded at hourly time steps in the full sun treatment and in two agrivoltaic systems with different densities of PVPs during three weather seasons (winter, spring and summer). In addition, crop temperatures were monitored on short cycle crops (lettuce and cucumber) and a long cycle crop (durum wheat). The number of leaves was also assessed periodically on the vegetable crops.","container-title":"Agricultural and Forest Meteorology","DOI":"10.1016/j.agrformet.2013.04.012","ISSN":"01681923","journalAbbreviation":"Agricultural and Forest Meteorology","language":"en","page":"117-132","source":"DOI.org (Crossref)","title":"Microclimate under agrivoltaic systems: Is crop growth rate affected in the partial shade of solar panels?","title-short":"Microclimate under agrivoltaic systems","volume":"177","author":[{"family":"Marrou","given":"H."},{"family":"Guilioni","given":"L."},{"family":"Dufour","given":"L."},{"family":"Dupraz","given":"C."},{"family":"Wery","given":"J."}],"issued":{"date-parts":[["2013",8]]}}}],"schema":"https://github.com/citation-style-language/schema/raw/master/csl-citation.json"} </w:instrText>
      </w:r>
      <w:r w:rsidR="004B097C">
        <w:rPr>
          <w:rFonts w:ascii="Times New Roman" w:hAnsi="Times New Roman" w:cs="Times New Roman"/>
          <w:sz w:val="24"/>
          <w:szCs w:val="24"/>
        </w:rPr>
        <w:fldChar w:fldCharType="separate"/>
      </w:r>
      <w:r w:rsidR="004B097C" w:rsidRPr="004B097C">
        <w:rPr>
          <w:rFonts w:ascii="Calibri" w:hAnsi="Calibri" w:cs="Calibri"/>
          <w:sz w:val="24"/>
        </w:rPr>
        <w:t>(Marrou et al., 2013)</w:t>
      </w:r>
      <w:r w:rsidR="004B097C">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6A9DFE17" w14:textId="688E212C" w:rsidR="00DB6DD1" w:rsidRP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Field trials in the years that followed covered a broader range of crops and configurations. Studies on shade-tolerant species such as lettuce, spinach, and berries under fixed-tilt arrays consistently documented </w:t>
      </w:r>
      <w:r w:rsidR="003C7ED9" w:rsidRPr="00DB6DD1">
        <w:rPr>
          <w:rFonts w:ascii="Times New Roman" w:hAnsi="Times New Roman" w:cs="Times New Roman"/>
          <w:sz w:val="24"/>
          <w:szCs w:val="24"/>
        </w:rPr>
        <w:t>favorable</w:t>
      </w:r>
      <w:r w:rsidRPr="00DB6DD1">
        <w:rPr>
          <w:rFonts w:ascii="Times New Roman" w:hAnsi="Times New Roman" w:cs="Times New Roman"/>
          <w:sz w:val="24"/>
          <w:szCs w:val="24"/>
        </w:rPr>
        <w:t xml:space="preserve"> microclimatic effects</w:t>
      </w:r>
      <w:r w:rsidR="004B097C">
        <w:rPr>
          <w:rFonts w:ascii="Times New Roman" w:hAnsi="Times New Roman" w:cs="Times New Roman"/>
          <w:sz w:val="24"/>
          <w:szCs w:val="24"/>
        </w:rPr>
        <w:t xml:space="preserve"> </w:t>
      </w:r>
      <w:r w:rsidR="004B097C">
        <w:rPr>
          <w:rFonts w:ascii="Times New Roman" w:hAnsi="Times New Roman" w:cs="Times New Roman"/>
          <w:sz w:val="24"/>
          <w:szCs w:val="24"/>
        </w:rPr>
        <w:fldChar w:fldCharType="begin"/>
      </w:r>
      <w:r w:rsidR="004B097C">
        <w:rPr>
          <w:rFonts w:ascii="Times New Roman" w:hAnsi="Times New Roman" w:cs="Times New Roman"/>
          <w:sz w:val="24"/>
          <w:szCs w:val="24"/>
        </w:rPr>
        <w:instrText xml:space="preserve"> ADDIN ZOTERO_ITEM CSL_CITATION {"citationID":"YJwkR6XG","properties":{"unsorted":false,"formattedCitation":"(Waller et al., 2021; Zainali et al., 2023)","plainCitation":"(Waller et al., 2021; Zainali et al., 2023)","noteIndex":0},"citationItems":[{"id":24,"uris":["http://zotero.org/users/local/i6bXxmSk/items/N7G44HRZ"],"itemData":{"id":24,"type":"article-journal","abstract":"Recognizing the growing interest in the application of organic photovoltaics (OPVs) with greenhouse crop production systems, in this study we used ﬂexible, roll-to-roll printed, semitransparent OPV arrays as a roof shade for a greenhouse hydroponic tomato production system during a spring and summer production season in the arid southwestern U.S. The wavelength-selective OPV arrays were installed in a contiguous area on a section of the greenhouse roof, decreasing the transmittance of all solar radiation wavelengths and photosynthetically active radiation (PAR) wavelengths (400–700 nm) to the OPV-shaded area by approximately 40% and 37%, respectively. Microclimate conditions and tomato crop growth and yield parameters were measured in both the OPV-shaded (‘OPV’) and non-OPV-shaded (‘Control’) sections of the greenhouse. The OPV shade stabilized the canopy temperature during midday periods with the highest solar radiation intensities, performing the function of a conventional shading method. Although delayed fruit development and ripening in the OPV section resulted in lower total yields compared to the Control section (24.6 kg m−2 and 27.7 kg m−2, respectively), after the fourth (of 10 total) harvests, the average weekly yield, fruit number, and fruit mass were not signiﬁcantly different between the treatment (OPV-shaded) and control group. Light use efﬁciency (LUE), deﬁned as the ratio of total fruit yield to accumulated PAR received by the plant canopy, was nearly twice as high as the Control section, with 21.4 g of fruit per mole of PAR for plants in the OPV-covered section compared to 10.1 g in the Control section. Overall, this study demonstrated that the use of semi-transparent OPVs as a seasonal shade element for greenhouse production in a high-light region is feasible. However, a higher transmission of PAR and greater OPV device efﬁciency and durability could make OPV shades more economically viable, providing a desirable solution for co-located greenhouse crop production and renewable energy generation in hot and high-light intensity regions.","container-title":"Agronomy","DOI":"10.3390/agronomy11061152","ISSN":"2073-4395","issue":"6","journalAbbreviation":"Agronomy","language":"en","page":"1152","source":"DOI.org (Crossref)","title":"Semi-Transparent Organic Photovoltaics Applied as Greenhouse Shade for Spring and Summer Tomato Production in Arid Climate","volume":"11","author":[{"family":"Waller","given":"Rebekah"},{"family":"Kacira","given":"Murat"},{"family":"Magadley","given":"Esther"},{"family":"Teitel","given":"Meir"},{"family":"Yehia","given":"Ibrahim"}],"issued":{"date-parts":[["2021",6,4]]}}},{"id":29,"uris":["http://zotero.org/users/local/i6bXxmSk/items/BYCBY4GP"],"itemData":{"id":29,"type":"article-journal","abstract":"Agrivoltaic systems are becoming increasingly popular as a crucial technology for attaining multiple sustainable development goals, such as affordable and clean energy, zero hunger, clean water and sanitation, and climate action. However, a comprehensive understanding of the shading effects on crops is essential for choosing an optimal agrivoltaic system, as an incorrect choice can result in significant crop yield reductions. In this study, fixed vertical, one-axis tracking, and two-axis tracking photovoltaic arrays were developed for agrivoltaic applications to analyse the shading conditions on the ground used for crop production. The models d</w:instrText>
      </w:r>
      <w:r w:rsidR="004B097C" w:rsidRPr="00E6057D">
        <w:rPr>
          <w:rFonts w:ascii="Times New Roman" w:hAnsi="Times New Roman" w:cs="Times New Roman"/>
          <w:sz w:val="24"/>
          <w:szCs w:val="24"/>
        </w:rPr>
        <w:instrText>emonstrated remarkable accuracy in c</w:instrText>
      </w:r>
      <w:r w:rsidR="004B097C" w:rsidRPr="00B01C5B">
        <w:rPr>
          <w:rFonts w:ascii="Times New Roman" w:hAnsi="Times New Roman" w:cs="Times New Roman"/>
          <w:sz w:val="24"/>
          <w:szCs w:val="24"/>
        </w:rPr>
        <w:instrText xml:space="preserve">omparison to commercial software such as PVsyst® and SketchUp®. These models will help to reduce crop yield uncertainty under agrivoltaic systems by providing accurate photosynthetically active radiation distribution at the crop level. The photosynthetically active radiation distribution was further analysed using a light homogeneity index, and the results showed that homogeneity and photosynthetically active radiation reduction varied significantly depending on the agrivoltaic system design, ranging from 86% to 95%, and 11% to 22%, respectively. Studying the effect of shading with distribution analysis is crucial for identifying the most suitable agrivoltaic system layout for specific crops and geographical locations.","container-title":"Applied Energy","DOI":"10.1016/j.apenergy.2023.120981","ISSN":"03062619","journalAbbreviation":"Applied Energy","language":"en","page":"120981","source":"DOI.org (Crossref)","title":"Direct and diffuse shading factors modelling for the most representative agrivoltaic system layouts","volume":"339","author":[{"family":"Zainali","given":"Sebastian"},{"family":"Ma Lu","given":"Silvia"},{"family":"Stridh","given":"Bengt"},{"family":"Avelin","given":"Anders"},{"family":"Amaducci","given":"Stefano"},{"family":"Colauzzi","given":"Michele"},{"family":"Campana","given":"Pietro Elia"}],"issued":{"date-parts":[["2023",6]]}}}],"schema":"https://github.com/citation-style-language/schema/raw/master/csl-citation.json"} </w:instrText>
      </w:r>
      <w:r w:rsidR="004B097C">
        <w:rPr>
          <w:rFonts w:ascii="Times New Roman" w:hAnsi="Times New Roman" w:cs="Times New Roman"/>
          <w:sz w:val="24"/>
          <w:szCs w:val="24"/>
        </w:rPr>
        <w:fldChar w:fldCharType="separate"/>
      </w:r>
      <w:r w:rsidR="004B097C" w:rsidRPr="00B01C5B">
        <w:rPr>
          <w:rFonts w:ascii="Calibri" w:hAnsi="Calibri" w:cs="Calibri"/>
          <w:sz w:val="24"/>
        </w:rPr>
        <w:t>(Waller et al., 2021; Zainali et al., 2023)</w:t>
      </w:r>
      <w:r w:rsidR="004B097C">
        <w:rPr>
          <w:rFonts w:ascii="Times New Roman" w:hAnsi="Times New Roman" w:cs="Times New Roman"/>
          <w:sz w:val="24"/>
          <w:szCs w:val="24"/>
        </w:rPr>
        <w:fldChar w:fldCharType="end"/>
      </w:r>
      <w:r w:rsidR="00B01C5B">
        <w:rPr>
          <w:rFonts w:ascii="Times New Roman" w:hAnsi="Times New Roman" w:cs="Times New Roman"/>
          <w:sz w:val="24"/>
          <w:szCs w:val="24"/>
        </w:rPr>
        <w:t>.</w:t>
      </w:r>
      <w:r w:rsidRPr="00B01C5B">
        <w:rPr>
          <w:rFonts w:ascii="Times New Roman" w:hAnsi="Times New Roman" w:cs="Times New Roman"/>
          <w:sz w:val="24"/>
          <w:szCs w:val="24"/>
        </w:rPr>
        <w:t xml:space="preserve"> </w:t>
      </w:r>
      <w:r w:rsidRPr="00DB6DD1">
        <w:rPr>
          <w:rFonts w:ascii="Times New Roman" w:hAnsi="Times New Roman" w:cs="Times New Roman"/>
          <w:sz w:val="24"/>
          <w:szCs w:val="24"/>
        </w:rPr>
        <w:t>Among the most robust findings reported across multiple independent studies were:</w:t>
      </w:r>
    </w:p>
    <w:p w14:paraId="6DE5BD57" w14:textId="5F4789A0" w:rsidR="003C7ED9" w:rsidRDefault="00DB6DD1" w:rsidP="00DB6DD1">
      <w:pPr>
        <w:pStyle w:val="ListParagraph"/>
        <w:numPr>
          <w:ilvl w:val="0"/>
          <w:numId w:val="1"/>
        </w:numPr>
        <w:spacing w:line="360" w:lineRule="auto"/>
        <w:jc w:val="both"/>
        <w:rPr>
          <w:rFonts w:ascii="Times New Roman" w:hAnsi="Times New Roman" w:cs="Times New Roman"/>
          <w:sz w:val="24"/>
          <w:szCs w:val="24"/>
        </w:rPr>
      </w:pPr>
      <w:r w:rsidRPr="003C7ED9">
        <w:rPr>
          <w:rFonts w:ascii="Times New Roman" w:hAnsi="Times New Roman" w:cs="Times New Roman"/>
          <w:sz w:val="24"/>
          <w:szCs w:val="24"/>
        </w:rPr>
        <w:t xml:space="preserve">Reduction in crop evapotranspiration of 20–40% under panels, driven primarily by lower incoming solar radiation on the soil surface </w:t>
      </w:r>
      <w:r w:rsidR="00B01C5B">
        <w:rPr>
          <w:rFonts w:ascii="Times New Roman" w:hAnsi="Times New Roman" w:cs="Times New Roman"/>
          <w:sz w:val="24"/>
          <w:szCs w:val="24"/>
        </w:rPr>
        <w:fldChar w:fldCharType="begin"/>
      </w:r>
      <w:r w:rsidR="00B01C5B">
        <w:rPr>
          <w:rFonts w:ascii="Times New Roman" w:hAnsi="Times New Roman" w:cs="Times New Roman"/>
          <w:sz w:val="24"/>
          <w:szCs w:val="24"/>
        </w:rPr>
        <w:instrText xml:space="preserve"> ADDIN ZOTERO_ITEM CSL_CITATION {"citationID":"8NAV8XyY","properties":{"unsorted":false,"formattedCitation":"(Elamri et al., 2018)","plainCitation":"(Elamri et al., 2018)","noteIndex":0},"citationItems":[{"id":20,"uris":["http://zotero.org/users/local/i6bXxmSk/items/HHB3VW5U"],"itemData":{"id":20,"type":"article-journal","abstract":"The installation of tilting-angle solar panels above agricultural plots provides renewable energy and means of action to dampen some of the eﬀects and hazards of climate change. When the panels are properly operated, their drop shadow reduces water consumption by the plants, as a consequence of alternating shade and sun bands with a short-term impact on the stomatal conductance and a global decrease of gas exchanges. This urged the development of a new model for crop growth and water budget, adapted here from existing literature to handle such transient conditions, characterized by short-term (infra-day) ﬂuctuations. The main diﬃculty was to combine short-term ﬂuctuations in the climatic forcings (radiation interception and rain redistribution by the panels) and long-term agronomic evaluation, hence the coexistence of several calculation time steps in model structure. All ﬁeld experiments were conducted on purpose in the agrivoltaic plot of Lavalette (Montpellier, France). Speciﬁc adaptations consisted in describing the stomatal behavior of the plants for ﬂuctuating solar radiations and varied water status, aiming at improving both the piloting of the solar panels and water management, i.e. the choice of irrigation amounts. Model simulations have been able to reproduce the expected beneﬁts from agrivoltaic installations, for example showing that it is possible to improve land use eﬃciency and water productivity at once, by reducing irrigation amounts by 20%, when tolerating a decrease of 10% in yield or, alternatively, a slight extension of the cropping cycle. Agrivoltaism appears a solution for the future when facing climate change and the food and energy challenges, typically in the rural areas and the developing countries and especially if the procedure presented here proves relevant for other crops and contexts.","container-title":"Agricultural Water Management","DOI":"10.1016/j.agwat.2018.07.001","ISSN":"03783774","journalAbbreviation":"Agricultural Water Management","language":"en","page":"440-453","source":"DOI.org (Crossref)","title":"Water budget and crop modelling for agrivoltaic systems: Application to irrigated lettuces","title-short":"Water budget and crop modelling for agrivoltaic systems","volume":"208","author":[{"family":"Elamri","given":"Y."},{"family":"Cheviron","given":"B."},{"family":"Lopez","given":"J.-M."},{"family":"Dejean","given":"C."},{"family":"Belaud","given":"G."}],"issued":{"date-parts":[["2018",9]]}}}],"schema":"https://github.com/citation-style-language/schema/raw/master/csl-citation.json"} </w:instrText>
      </w:r>
      <w:r w:rsidR="00B01C5B">
        <w:rPr>
          <w:rFonts w:ascii="Times New Roman" w:hAnsi="Times New Roman" w:cs="Times New Roman"/>
          <w:sz w:val="24"/>
          <w:szCs w:val="24"/>
        </w:rPr>
        <w:fldChar w:fldCharType="separate"/>
      </w:r>
      <w:r w:rsidR="00B01C5B" w:rsidRPr="00B01C5B">
        <w:rPr>
          <w:rFonts w:ascii="Calibri" w:hAnsi="Calibri" w:cs="Calibri"/>
          <w:sz w:val="24"/>
        </w:rPr>
        <w:t>(Elamri et al., 2018)</w:t>
      </w:r>
      <w:r w:rsidR="00B01C5B">
        <w:rPr>
          <w:rFonts w:ascii="Times New Roman" w:hAnsi="Times New Roman" w:cs="Times New Roman"/>
          <w:sz w:val="24"/>
          <w:szCs w:val="24"/>
        </w:rPr>
        <w:fldChar w:fldCharType="end"/>
      </w:r>
    </w:p>
    <w:p w14:paraId="250287D4" w14:textId="1721F5A6" w:rsidR="003C7ED9" w:rsidRDefault="00DB6DD1" w:rsidP="00DB6DD1">
      <w:pPr>
        <w:pStyle w:val="ListParagraph"/>
        <w:numPr>
          <w:ilvl w:val="0"/>
          <w:numId w:val="1"/>
        </w:numPr>
        <w:spacing w:line="360" w:lineRule="auto"/>
        <w:jc w:val="both"/>
        <w:rPr>
          <w:rFonts w:ascii="Times New Roman" w:hAnsi="Times New Roman" w:cs="Times New Roman"/>
          <w:sz w:val="24"/>
          <w:szCs w:val="24"/>
        </w:rPr>
      </w:pPr>
      <w:r w:rsidRPr="003C7ED9">
        <w:rPr>
          <w:rFonts w:ascii="Times New Roman" w:hAnsi="Times New Roman" w:cs="Times New Roman"/>
          <w:sz w:val="24"/>
          <w:szCs w:val="24"/>
        </w:rPr>
        <w:t>Decrease in soil surface temperature of 1.5–3.0°C during peak summer, reducing both evaporative demand and heat stress on root systems</w:t>
      </w:r>
      <w:r w:rsidR="000C2E77">
        <w:rPr>
          <w:rFonts w:ascii="Times New Roman" w:hAnsi="Times New Roman" w:cs="Times New Roman"/>
          <w:sz w:val="24"/>
          <w:szCs w:val="24"/>
        </w:rPr>
        <w:t xml:space="preserve"> </w:t>
      </w:r>
      <w:r w:rsidR="000C2E77">
        <w:rPr>
          <w:rFonts w:ascii="Times New Roman" w:hAnsi="Times New Roman" w:cs="Times New Roman"/>
          <w:sz w:val="24"/>
          <w:szCs w:val="24"/>
        </w:rPr>
        <w:fldChar w:fldCharType="begin"/>
      </w:r>
      <w:r w:rsidR="000C2E77">
        <w:rPr>
          <w:rFonts w:ascii="Times New Roman" w:hAnsi="Times New Roman" w:cs="Times New Roman"/>
          <w:sz w:val="24"/>
          <w:szCs w:val="24"/>
        </w:rPr>
        <w:instrText xml:space="preserve"> ADDIN ZOTERO_ITEM CSL_CITATION {"citationID":"P6QPopQN","properties":{"unsorted":false,"formattedCitation":"(Hassanpour Adeh et al., 2018)","plainCitation":"(Hassanpour Adeh et al., 2018)","noteIndex":0},"citationItems":[{"id":31,"uris":["http://zotero.org/users/local/i6bXxmSk/items/54JE2WUB"],"itemData":{"id":31,"type":"article-journal","abstract":"Power demands are set to increase by two-fold within the current century and a high fraction of that demand should be met by carbon free sources. Among the renewable energies, solar energy is among the fastest growing; therefore, a comprehensive and accurate design methodology for solar systems and how they interact with the local environment is vital. This paper addresses the environmental effects of solar panels on an unirrigated pasture that often experiences water stress. Changes to the microclimatology, soil moisture, water usage, and biomass productivity due to the presence of solar panels were quantified. The goal of this study was to show that the impacts of these factors should be considered in designing the solar farms to take advantage of potential net gains in agricultural and power production. Microclimatological stations were placed in the Rabbit Hills agrivoltaic solar arrays, located in Oregon State campus, two years after the solar array was installed. Soil moisture was quantified using neutron probe readings. Significant differences in mean air temperature, relative humidity, wind speed, wind direction, and soil moisture were observed. Areas under PV solar panels maintained higher soil moisture throughout the period of observation. A significant increase in late season biomass was also observed for areas under the PV panels (90% more biomass), and areas under PV panels were significantly more water efficient (328% more efficient).","container-title":"PLOS ONE","DOI":"10.1371/journal.pone.0203256","ISSN":"1932-6203","issue":"11","journalAbbreviation":"PLoS ONE","language":"en","page":"e0203256","source":"DOI.org (Crossref)","title":"Remarkable agrivoltaic influence on soil moisture, micrometeorology and water-use efficiency","volume":"13","author":[{"family":"Hassanpour Adeh","given":"Elnaz"},{"family":"Selker","given":"John S."},{"family":"Higgins","given":"Chad W."}],"editor":[{"family":"Villarini","given":"Mauro"}],"issued":{"date-parts":[["2018",11,1]]}}}],"schema":"https://github.com/citation-style-language/schema/raw/master/csl-citation.json"} </w:instrText>
      </w:r>
      <w:r w:rsidR="000C2E77">
        <w:rPr>
          <w:rFonts w:ascii="Times New Roman" w:hAnsi="Times New Roman" w:cs="Times New Roman"/>
          <w:sz w:val="24"/>
          <w:szCs w:val="24"/>
        </w:rPr>
        <w:fldChar w:fldCharType="separate"/>
      </w:r>
      <w:r w:rsidR="000C2E77" w:rsidRPr="000C2E77">
        <w:rPr>
          <w:rFonts w:ascii="Calibri" w:hAnsi="Calibri" w:cs="Calibri"/>
          <w:sz w:val="24"/>
        </w:rPr>
        <w:t>(Hassanpour Adeh et al., 2018)</w:t>
      </w:r>
      <w:r w:rsidR="000C2E77">
        <w:rPr>
          <w:rFonts w:ascii="Times New Roman" w:hAnsi="Times New Roman" w:cs="Times New Roman"/>
          <w:sz w:val="24"/>
          <w:szCs w:val="24"/>
        </w:rPr>
        <w:fldChar w:fldCharType="end"/>
      </w:r>
    </w:p>
    <w:p w14:paraId="6E38BAC1" w14:textId="20457849" w:rsidR="003C7ED9" w:rsidRDefault="00DB6DD1" w:rsidP="00DB6DD1">
      <w:pPr>
        <w:pStyle w:val="ListParagraph"/>
        <w:numPr>
          <w:ilvl w:val="0"/>
          <w:numId w:val="1"/>
        </w:numPr>
        <w:spacing w:line="360" w:lineRule="auto"/>
        <w:jc w:val="both"/>
        <w:rPr>
          <w:rFonts w:ascii="Times New Roman" w:hAnsi="Times New Roman" w:cs="Times New Roman"/>
          <w:sz w:val="24"/>
          <w:szCs w:val="24"/>
        </w:rPr>
      </w:pPr>
      <w:r w:rsidRPr="003C7ED9">
        <w:rPr>
          <w:rFonts w:ascii="Times New Roman" w:hAnsi="Times New Roman" w:cs="Times New Roman"/>
          <w:sz w:val="24"/>
          <w:szCs w:val="24"/>
        </w:rPr>
        <w:t xml:space="preserve">Increase in water-use efficiency of 30–60%, reflecting the combination of lower ET and maintained or improved yields </w:t>
      </w:r>
      <w:r w:rsidR="0051683F">
        <w:rPr>
          <w:rFonts w:ascii="Times New Roman" w:hAnsi="Times New Roman" w:cs="Times New Roman"/>
          <w:sz w:val="24"/>
          <w:szCs w:val="24"/>
        </w:rPr>
        <w:fldChar w:fldCharType="begin"/>
      </w:r>
      <w:r w:rsidR="0051683F">
        <w:rPr>
          <w:rFonts w:ascii="Times New Roman" w:hAnsi="Times New Roman" w:cs="Times New Roman"/>
          <w:sz w:val="24"/>
          <w:szCs w:val="24"/>
        </w:rPr>
        <w:instrText xml:space="preserve"> ADDIN ZOTERO_ITEM CSL_CITATION {"citationID":"DRvEVpNH","properties":{"unsorted":false,"formattedCitation":"(Barron-Gafford et al., 2019)","plainCitation":"(Barron-Gafford et al., 2019)","noteIndex":0},"citationItems":[{"id":33,"uris":["http://zotero.org/users/local/i6bXxmSk/items/EE5NH5RQ"],"itemData":{"id":33,"type":"article-journal","container-title":"Nature Sustainability","DOI":"10.1038/s41893-019-0364-5","ISSN":"2398-9629","issue":"9","journalAbbreviation":"Nat Sustain","language":"en","page":"848-855","source":"DOI.org (Crossref)","title":"Agrivoltaics provide mutual benefits across the food–energy–water nexus in drylands","volume":"2","author":[{"family":"Barron-Gafford","given":"Greg A."},{"family":"Pavao-Zuckerman","given":"Mitchell A."},{"family":"Minor","given":"Rebecca L."},{"family":"Sutter","given":"Leland F."},{"family":"Barnett-Moreno","given":"Isaiah"},{"family":"Blackett","given":"Daniel T."},{"family":"Thompson","given":"Moses"},{"family":"Dimond","given":"Kirk"},{"family":"Gerlak","given":"Andrea K."},{"family":"Nabhan","given":"Gary P."},{"family":"Macknick","given":"Jordan E."}],"issued":{"date-parts":[["2019",9,2]]}}}],"schema":"https://github.com/citation-style-language/schema/raw/master/csl-citation.json"} </w:instrText>
      </w:r>
      <w:r w:rsidR="0051683F">
        <w:rPr>
          <w:rFonts w:ascii="Times New Roman" w:hAnsi="Times New Roman" w:cs="Times New Roman"/>
          <w:sz w:val="24"/>
          <w:szCs w:val="24"/>
        </w:rPr>
        <w:fldChar w:fldCharType="separate"/>
      </w:r>
      <w:r w:rsidR="0051683F" w:rsidRPr="0051683F">
        <w:rPr>
          <w:rFonts w:ascii="Calibri" w:hAnsi="Calibri" w:cs="Calibri"/>
          <w:sz w:val="24"/>
        </w:rPr>
        <w:t>(Barron-Gafford et al., 2019)</w:t>
      </w:r>
      <w:r w:rsidR="0051683F">
        <w:rPr>
          <w:rFonts w:ascii="Times New Roman" w:hAnsi="Times New Roman" w:cs="Times New Roman"/>
          <w:sz w:val="24"/>
          <w:szCs w:val="24"/>
        </w:rPr>
        <w:fldChar w:fldCharType="end"/>
      </w:r>
    </w:p>
    <w:p w14:paraId="746B2BAC" w14:textId="6B1CB344" w:rsidR="00DB6DD1" w:rsidRDefault="00DB6DD1" w:rsidP="00DB6DD1">
      <w:pPr>
        <w:pStyle w:val="ListParagraph"/>
        <w:numPr>
          <w:ilvl w:val="0"/>
          <w:numId w:val="1"/>
        </w:numPr>
        <w:spacing w:line="360" w:lineRule="auto"/>
        <w:jc w:val="both"/>
        <w:rPr>
          <w:rFonts w:ascii="Times New Roman" w:hAnsi="Times New Roman" w:cs="Times New Roman"/>
          <w:sz w:val="24"/>
          <w:szCs w:val="24"/>
        </w:rPr>
      </w:pPr>
      <w:r w:rsidRPr="003C7ED9">
        <w:rPr>
          <w:rFonts w:ascii="Times New Roman" w:hAnsi="Times New Roman" w:cs="Times New Roman"/>
          <w:sz w:val="24"/>
          <w:szCs w:val="24"/>
        </w:rPr>
        <w:t xml:space="preserve">Crop yield reductions ranging from 5% for shade-adapted species to 40% for highly light-demanding crops — a range that underlines the importance of crop-specific panel design </w:t>
      </w:r>
      <w:r w:rsidR="00D40C06">
        <w:rPr>
          <w:rFonts w:ascii="Times New Roman" w:hAnsi="Times New Roman" w:cs="Times New Roman"/>
          <w:sz w:val="24"/>
          <w:szCs w:val="24"/>
        </w:rPr>
        <w:fldChar w:fldCharType="begin"/>
      </w:r>
      <w:r w:rsidR="00D40C06">
        <w:rPr>
          <w:rFonts w:ascii="Times New Roman" w:hAnsi="Times New Roman" w:cs="Times New Roman"/>
          <w:sz w:val="24"/>
          <w:szCs w:val="24"/>
        </w:rPr>
        <w:instrText xml:space="preserve"> ADDIN ZOTERO_ITEM CSL_CITATION {"citationID":"pLB05PPG","properties":{"unsorted":false,"formattedCitation":"(Weselek et al., 2019)","plainCitation":"(Weselek et al., 2019)","noteIndex":0},"citationItems":[{"id":89,"uris":["http://zotero.org/users/local/i6bXxmSk/items/LV4JIXGT"],"itemData":{"id":89,"type":"article-journal","abstract":"The expansion of renewable energies aims at meeting the global energy demand while replacing fossil fuels. However, it requires large areas of land. At the same time, food security is threatened by the impacts of climate change and a growing world population. This has led to increasing competition for limited land resources. In this context, the combination of photovoltaics and plant production — often referred to as agrophotovoltaic (APV) or agrivoltaic systems — has been suggested as an opportunity for the synergistic combination of renewable energy and food production. Although this technology has already been applied in various commercial projects, its practicability and impact on crop production have hardly been investigated. In this review, we give a short summary of the current state of the art and prospective opportunities for the application of APV systems. In addition, we discuss microclimatic alterations and the resulting impacts of APV on crop production. Our main findings are that (1) crop cultivation underneath APV can lead to declining crop yields as solar radiation is expected to be reduced by about one third underneath the panels. However, microclimatic heterogeneities and their impact on crop yields are missing reference and thus, remain uncertain. (2) Through combined energy and crop production, APV can increase land productivity by up to 70%. (3) Given the impacts of climate change and conditions in arid climates, potential benefits are likely for crop production through additional shading and observed improvements of water productivity. (4) In addition, APV enhances the economic value of farming and can contribute to decentralized, off-grid electrification in developing and rural areas, thus further improving agricultural productivity. As such, APV can be a valuable technical approach for more sustainable agriculture, helping to meet current and prospective needs of energy and food production and simultaneously sparing land resources.","container-title":"Agronomy for Sustainable Development","DOI":"10.1007/s13593-019-0581-3","ISSN":"1774-0746, 1773-0155","issue":"4","journalAbbreviation":"Agron. Sustain. Dev.","language":"en","page":"35","source":"DOI.org (Crossref)","title":"Agrophotovoltaic systems: applications, challenges, and opportunities. A review","title-short":"Agrophotovoltaic systems","volume":"39","author":[{"family":"Weselek","given":"Axel"},{"family":"Ehmann","given":"Andrea"},{"family":"Zikeli","given":"Sabine"},{"family":"Lewandowski","given":"Iris"},{"family":"Schindele","given":"Stephan"},{"family":"Högy","given":"Petra"}],"issued":{"date-parts":[["2019",8]]}}}],"schema":"https://github.com/citation-style-language/schema/raw/master/csl-citation.json"} </w:instrText>
      </w:r>
      <w:r w:rsidR="00D40C06">
        <w:rPr>
          <w:rFonts w:ascii="Times New Roman" w:hAnsi="Times New Roman" w:cs="Times New Roman"/>
          <w:sz w:val="24"/>
          <w:szCs w:val="24"/>
        </w:rPr>
        <w:fldChar w:fldCharType="separate"/>
      </w:r>
      <w:r w:rsidR="00D40C06" w:rsidRPr="00D40C06">
        <w:rPr>
          <w:rFonts w:ascii="Calibri" w:hAnsi="Calibri" w:cs="Calibri"/>
          <w:sz w:val="24"/>
        </w:rPr>
        <w:t>(Weselek et al., 2019)</w:t>
      </w:r>
      <w:r w:rsidR="00D40C06">
        <w:rPr>
          <w:rFonts w:ascii="Times New Roman" w:hAnsi="Times New Roman" w:cs="Times New Roman"/>
          <w:sz w:val="24"/>
          <w:szCs w:val="24"/>
        </w:rPr>
        <w:fldChar w:fldCharType="end"/>
      </w:r>
    </w:p>
    <w:p w14:paraId="672341B9" w14:textId="77777777" w:rsidR="0016399F" w:rsidRPr="0016399F" w:rsidRDefault="0016399F" w:rsidP="0016399F">
      <w:pPr>
        <w:spacing w:line="360" w:lineRule="auto"/>
        <w:jc w:val="both"/>
        <w:rPr>
          <w:rFonts w:ascii="Times New Roman" w:hAnsi="Times New Roman" w:cs="Times New Roman"/>
          <w:sz w:val="24"/>
          <w:szCs w:val="24"/>
        </w:rPr>
      </w:pPr>
    </w:p>
    <w:p w14:paraId="552EA690" w14:textId="04241B10" w:rsidR="00DB6DD1" w:rsidRPr="003964BE" w:rsidRDefault="00DB6DD1" w:rsidP="0016399F">
      <w:pPr>
        <w:spacing w:line="360" w:lineRule="auto"/>
        <w:rPr>
          <w:rFonts w:ascii="Times New Roman" w:hAnsi="Times New Roman" w:cs="Times New Roman"/>
          <w:b/>
          <w:bCs/>
          <w:sz w:val="24"/>
          <w:szCs w:val="24"/>
        </w:rPr>
      </w:pPr>
      <w:r w:rsidRPr="003964BE">
        <w:rPr>
          <w:rFonts w:ascii="Times New Roman" w:hAnsi="Times New Roman" w:cs="Times New Roman"/>
          <w:b/>
          <w:bCs/>
          <w:sz w:val="24"/>
          <w:szCs w:val="24"/>
        </w:rPr>
        <w:t>2.1.2. Architectural evolution and system optimization</w:t>
      </w:r>
    </w:p>
    <w:p w14:paraId="4158BBD8" w14:textId="775C99DA" w:rsid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As the field matured, researchers moved beyond the original fixed-tilt overhead configuration to explore a range of panel geometries and tracking strategies. Table 1 </w:t>
      </w:r>
      <w:r w:rsidR="00346A87" w:rsidRPr="00DB6DD1">
        <w:rPr>
          <w:rFonts w:ascii="Times New Roman" w:hAnsi="Times New Roman" w:cs="Times New Roman"/>
          <w:sz w:val="24"/>
          <w:szCs w:val="24"/>
        </w:rPr>
        <w:t>summarizes</w:t>
      </w:r>
      <w:r w:rsidRPr="00DB6DD1">
        <w:rPr>
          <w:rFonts w:ascii="Times New Roman" w:hAnsi="Times New Roman" w:cs="Times New Roman"/>
          <w:sz w:val="24"/>
          <w:szCs w:val="24"/>
        </w:rPr>
        <w:t xml:space="preserve"> the major agrivoltaic architectures reported in the literature, along with their indicative energy yields, crop compatibility, and key references.</w:t>
      </w:r>
    </w:p>
    <w:p w14:paraId="27D1A7F5" w14:textId="77777777" w:rsidR="00346A87" w:rsidRPr="00DB6DD1" w:rsidRDefault="00346A87" w:rsidP="003C7ED9">
      <w:pPr>
        <w:spacing w:line="360" w:lineRule="auto"/>
        <w:ind w:firstLine="720"/>
        <w:jc w:val="both"/>
        <w:rPr>
          <w:rFonts w:ascii="Times New Roman" w:hAnsi="Times New Roman" w:cs="Times New Roman"/>
          <w:sz w:val="24"/>
          <w:szCs w:val="24"/>
        </w:rPr>
      </w:pPr>
    </w:p>
    <w:p w14:paraId="464EE26F" w14:textId="7F0A7C53" w:rsidR="00346A87" w:rsidRPr="00346A87" w:rsidRDefault="00346A87" w:rsidP="00346A87">
      <w:pPr>
        <w:spacing w:after="0" w:line="360" w:lineRule="auto"/>
        <w:jc w:val="center"/>
        <w:rPr>
          <w:rFonts w:ascii="Times New Roman" w:hAnsi="Times New Roman" w:cs="Times New Roman"/>
          <w:sz w:val="20"/>
          <w:szCs w:val="20"/>
        </w:rPr>
      </w:pPr>
      <w:r w:rsidRPr="00346A87">
        <w:rPr>
          <w:rFonts w:ascii="Times New Roman" w:hAnsi="Times New Roman" w:cs="Times New Roman"/>
          <w:sz w:val="20"/>
          <w:szCs w:val="20"/>
        </w:rPr>
        <w:t xml:space="preserve">Table </w:t>
      </w:r>
      <w:r w:rsidRPr="00346A87">
        <w:rPr>
          <w:rFonts w:ascii="Times New Roman" w:hAnsi="Times New Roman" w:cs="Times New Roman"/>
          <w:sz w:val="20"/>
          <w:szCs w:val="20"/>
        </w:rPr>
        <w:fldChar w:fldCharType="begin"/>
      </w:r>
      <w:r w:rsidRPr="00346A87">
        <w:rPr>
          <w:rFonts w:ascii="Times New Roman" w:hAnsi="Times New Roman" w:cs="Times New Roman"/>
          <w:sz w:val="20"/>
          <w:szCs w:val="20"/>
        </w:rPr>
        <w:instrText xml:space="preserve"> SEQ Table \* ARABIC </w:instrText>
      </w:r>
      <w:r w:rsidRPr="00346A87">
        <w:rPr>
          <w:rFonts w:ascii="Times New Roman" w:hAnsi="Times New Roman" w:cs="Times New Roman"/>
          <w:sz w:val="20"/>
          <w:szCs w:val="20"/>
        </w:rPr>
        <w:fldChar w:fldCharType="separate"/>
      </w:r>
      <w:r w:rsidRPr="00346A87">
        <w:rPr>
          <w:rFonts w:ascii="Times New Roman" w:hAnsi="Times New Roman" w:cs="Times New Roman"/>
          <w:sz w:val="20"/>
          <w:szCs w:val="20"/>
        </w:rPr>
        <w:t>1</w:t>
      </w:r>
      <w:r w:rsidRPr="00346A87">
        <w:rPr>
          <w:rFonts w:ascii="Times New Roman" w:hAnsi="Times New Roman" w:cs="Times New Roman"/>
          <w:sz w:val="20"/>
          <w:szCs w:val="20"/>
        </w:rPr>
        <w:fldChar w:fldCharType="end"/>
      </w:r>
      <w:r w:rsidRPr="00346A87">
        <w:rPr>
          <w:rFonts w:ascii="Times New Roman" w:hAnsi="Times New Roman" w:cs="Times New Roman"/>
          <w:sz w:val="20"/>
          <w:szCs w:val="20"/>
        </w:rPr>
        <w:t xml:space="preserve"> : Agrivoltaic system architectures and their principal characteristics.</w:t>
      </w:r>
    </w:p>
    <w:tbl>
      <w:tblPr>
        <w:tblStyle w:val="TableGrid"/>
        <w:tblW w:w="0" w:type="auto"/>
        <w:jc w:val="center"/>
        <w:tblLook w:val="04A0" w:firstRow="1" w:lastRow="0" w:firstColumn="1" w:lastColumn="0" w:noHBand="0" w:noVBand="1"/>
      </w:tblPr>
      <w:tblGrid>
        <w:gridCol w:w="1661"/>
        <w:gridCol w:w="2098"/>
        <w:gridCol w:w="1943"/>
        <w:gridCol w:w="1668"/>
        <w:gridCol w:w="1980"/>
      </w:tblGrid>
      <w:tr w:rsidR="00346A87" w:rsidRPr="00324F6F" w14:paraId="62A9A763" w14:textId="77777777" w:rsidTr="0016399F">
        <w:trPr>
          <w:jc w:val="center"/>
        </w:trPr>
        <w:tc>
          <w:tcPr>
            <w:tcW w:w="0" w:type="auto"/>
          </w:tcPr>
          <w:p w14:paraId="0D76309D"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Architecture</w:t>
            </w:r>
          </w:p>
        </w:tc>
        <w:tc>
          <w:tcPr>
            <w:tcW w:w="0" w:type="auto"/>
          </w:tcPr>
          <w:p w14:paraId="0A33BCB9"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Description</w:t>
            </w:r>
          </w:p>
        </w:tc>
        <w:tc>
          <w:tcPr>
            <w:tcW w:w="0" w:type="auto"/>
          </w:tcPr>
          <w:p w14:paraId="7DDBB5D5"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Crop compatibility</w:t>
            </w:r>
          </w:p>
        </w:tc>
        <w:tc>
          <w:tcPr>
            <w:tcW w:w="0" w:type="auto"/>
          </w:tcPr>
          <w:p w14:paraId="70DBA828"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Energy yield (kWh/kWp)</w:t>
            </w:r>
          </w:p>
        </w:tc>
        <w:tc>
          <w:tcPr>
            <w:tcW w:w="0" w:type="auto"/>
          </w:tcPr>
          <w:p w14:paraId="35CF096F"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Key reference</w:t>
            </w:r>
          </w:p>
        </w:tc>
      </w:tr>
      <w:tr w:rsidR="00346A87" w:rsidRPr="00324F6F" w14:paraId="2A48D037" w14:textId="77777777" w:rsidTr="0016399F">
        <w:trPr>
          <w:jc w:val="center"/>
        </w:trPr>
        <w:tc>
          <w:tcPr>
            <w:tcW w:w="0" w:type="auto"/>
          </w:tcPr>
          <w:p w14:paraId="2187666C"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Fixed-tilt overhead</w:t>
            </w:r>
          </w:p>
        </w:tc>
        <w:tc>
          <w:tcPr>
            <w:tcW w:w="0" w:type="auto"/>
          </w:tcPr>
          <w:p w14:paraId="6270EE76"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Panels at constant angle, 3-5 m height</w:t>
            </w:r>
          </w:p>
        </w:tc>
        <w:tc>
          <w:tcPr>
            <w:tcW w:w="0" w:type="auto"/>
          </w:tcPr>
          <w:p w14:paraId="21790BAC"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Most annual crops</w:t>
            </w:r>
          </w:p>
        </w:tc>
        <w:tc>
          <w:tcPr>
            <w:tcW w:w="0" w:type="auto"/>
          </w:tcPr>
          <w:p w14:paraId="3BC1810E"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1,200-1,400</w:t>
            </w:r>
          </w:p>
        </w:tc>
        <w:tc>
          <w:tcPr>
            <w:tcW w:w="0" w:type="auto"/>
          </w:tcPr>
          <w:p w14:paraId="0980B913"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{"citationID":"SMnJaSku","properties":{"unsorted":false,"formattedCitation":"(Dupraz et al., 2011)","plainCitation":"(Dupraz et al., 2011)","noteIndex":0},"citationItems":[{"id":21,"uris":["http://zotero.org/users/local/i6bXxmSk/items/LN5ZHBFE"],"itemData":{"id":21,"type":"article-journal","abstract":"The need for new sources of renewable energies and the rising price of fossil fuels have induced the hope that agricultural crops may be a source of renewable energy for the future. We question in this paper the best strategies to convert solar radiation into both energy and food. The intrinsic efﬁciency of the photosynthetic process is quite low (around 3%) while commercially available monocristalline solar photovoltaic (PV) panels have an average yield of 15%. Therefore huge arrays of solar panels are now envisaged. Solar plants using PV panels will therefore compete with agriculture for land. In this paper, we suggest that a combination of solar panels and food crops on the same land unit may maximise the land use. We suggest to call this an agrivoltaic system. We used Land Equivalent Ratios to compare conventional options (separation of agriculture and energy harvesting) and two agrivoltaic systems with different densities of PV panels. We modelled the light transmission at the crop level by an array of solar panels and used a crop model to predict the productivity of the partially shaded crops. These preliminary results indicate that agrivoltaic systems may be very efﬁcient: a 35e73% increase of global land productivity was predicted for the two densities of PV panels. Facilitation mechanisms similar to those evidenced in agroforestry systems may explain the advantage of such mixed systems. New solar plants may therefore combine electricity production with food production, especially in countries where cropping land is scarce. There is a need to validate the hypotheses included in our models and provide a proof of the concept by monitoring prototypes of agrivoltaic systems.","container-title":"Renewable Energy","DOI":"10.1016/j.renene.2011.03.005","ISSN":"09601481","issue":"10","journalAbbreviation":"Renewable Energy","language":"en","license":"https://www.elsevier.com/tdm/userlicense/1.0/","page":"2725-2732","source":"DOI.org (Crossref)","title":"Combining solar photovoltaic panels and food crops for optimising land use: Towards new agrivoltaic schemes","title-short":"Combining solar photovoltaic panels and food crops for optimising land use","volume":"36","author":[{"family":"Dupraz","given":"C."},{"family":"Marrou","given":"H."},{"family":"Talbot","given":"G."},{"family":"Dufour","given":"L."},{"family":"Nogier","given":"A."},{"family":"Ferard","given":"Y."}],"issued":{"date-parts":[["2011",10]]}}}],"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(Dupraz et al., 2011)</w:t>
            </w:r>
            <w:r w:rsidRPr="00324F6F">
              <w:rPr>
                <w:rFonts w:ascii="Times New Roman" w:hAnsi="Times New Roman" w:cs="Times New Roman"/>
                <w:sz w:val="20"/>
                <w:szCs w:val="20"/>
              </w:rPr>
              <w:fldChar w:fldCharType="end"/>
            </w:r>
          </w:p>
        </w:tc>
      </w:tr>
      <w:tr w:rsidR="00346A87" w:rsidRPr="00324F6F" w14:paraId="5F81392C" w14:textId="77777777" w:rsidTr="0016399F">
        <w:trPr>
          <w:jc w:val="center"/>
        </w:trPr>
        <w:tc>
          <w:tcPr>
            <w:tcW w:w="0" w:type="auto"/>
          </w:tcPr>
          <w:p w14:paraId="46689E4E"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Single-axis tracking</w:t>
            </w:r>
          </w:p>
        </w:tc>
        <w:tc>
          <w:tcPr>
            <w:tcW w:w="0" w:type="auto"/>
          </w:tcPr>
          <w:p w14:paraId="368DE563"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Panels rotate east-west</w:t>
            </w:r>
          </w:p>
        </w:tc>
        <w:tc>
          <w:tcPr>
            <w:tcW w:w="0" w:type="auto"/>
          </w:tcPr>
          <w:p w14:paraId="7CA5D2A4"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Tall crops (maize, sorghum)</w:t>
            </w:r>
          </w:p>
        </w:tc>
        <w:tc>
          <w:tcPr>
            <w:tcW w:w="0" w:type="auto"/>
          </w:tcPr>
          <w:p w14:paraId="008EC8F4"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1,400-1,600</w:t>
            </w:r>
          </w:p>
        </w:tc>
        <w:tc>
          <w:tcPr>
            <w:tcW w:w="0" w:type="auto"/>
          </w:tcPr>
          <w:p w14:paraId="00BFF75C"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{"citationID":"XQ7CzKxA","properties":{"unsorted":false,"formattedCitation":"(Imran et al., 2020)","plainCitation":"(Imran et al., 2020)","noteIndex":0},"citationItems":[{"id":91,"uris":["http://zotero.org/users/local/i6bXxmSk/items/U3CVKD46"],"itemData":{"id":91,"type":"paper-conference","abstract":"Agrivoltaics is an emerging technology of collocating solar photovoltaics with agriculture that has many potential synergetic food-energy-water beneﬁts. The design of agrivoltaic systems demands a careful balance for sharing sunlight between solar panels and crops to ensure an optimal food-energy productivity. We explore the optimal single-axis tracking schemes for agrivoltaics that can provide the precise balance of sunlight between PV and crops. The single-axis tracking schemes are applied to bifacial panel arrays in two different PV orientations, i.e., East/West vs. North/South faced. By modeling the temporal variations of drop shadows on crops and the known requirements of photosynthetically active radiation (PAR) by the crop, we propose customized solar tracking schemes that vary between standard sun tracking and reverse sun tracking during the day according to the crop requirement. During the early daytime after sunrise and closer to the sunset, PAR is lower than the saturated PAR for the plants. Closer to noon, available PAR can exceed the crop needs. An optimal algorithm ensures that the PAR available to the crops remains closer to its required PAR so that the excess sunlight could be harvested by the PV arrays. The seasonal variation in customized tracking schemes is explored for the two PV orientations.","container-title":"2020 47th IEEE Photovoltaic Specialists Conference (PVSC)","DOI":"10.1109/PVSC45281.2020.9300682","event-title":"2020 IEEE 47th Photovoltaic Specialists Conference (PVSC)","ISBN":"978-1-7281-6115-0","language":"en","license":"https://ieeexplore.ieee.org/Xplorehelp/downloads/license-information/IEEE.html","page":"1353-1356","publisher":"IEEE","publisher-place":"Calgary, AB, Canada","source":"DOI.org (Crossref)","title":"Optimization of Single-Axis Tracking of Photovoltaic Modules for Agrivoltaic Systems","URL":"https://ieeexplore.ieee.org/document/9300682/","author":[{"family":"Imran","given":"Hassan"},{"family":"Riaz","given":"Muhammad Hussnain"},{"family":"Butt","given":"Nauman Zafar"}],"accessed":{"date-parts":[["2026",4,5]]},"issued":{"date-parts":[["2020",6,14]]}}}],"schema":"https://github.com/citation-style-language/schema/raw/master/csl-citation.json"}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Calibri" w:hAnsi="Calibri" w:cs="Calibri"/>
                <w:sz w:val="20"/>
                <w:szCs w:val="20"/>
              </w:rPr>
              <w:t>(Imran et al., 2020)</w:t>
            </w:r>
            <w:r w:rsidRPr="00324F6F">
              <w:rPr>
                <w:rFonts w:ascii="Times New Roman" w:hAnsi="Times New Roman" w:cs="Times New Roman"/>
                <w:sz w:val="20"/>
                <w:szCs w:val="20"/>
              </w:rPr>
              <w:fldChar w:fldCharType="end"/>
            </w:r>
          </w:p>
        </w:tc>
      </w:tr>
      <w:tr w:rsidR="00346A87" w:rsidRPr="00324F6F" w14:paraId="78C6B413" w14:textId="77777777" w:rsidTr="0016399F">
        <w:trPr>
          <w:jc w:val="center"/>
        </w:trPr>
        <w:tc>
          <w:tcPr>
            <w:tcW w:w="0" w:type="auto"/>
          </w:tcPr>
          <w:p w14:paraId="7B7B2D86"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lastRenderedPageBreak/>
              <w:t>Dual-axis tracking</w:t>
            </w:r>
          </w:p>
        </w:tc>
        <w:tc>
          <w:tcPr>
            <w:tcW w:w="0" w:type="auto"/>
          </w:tcPr>
          <w:p w14:paraId="3F8E6BC9"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Full sun tracking</w:t>
            </w:r>
          </w:p>
        </w:tc>
        <w:tc>
          <w:tcPr>
            <w:tcW w:w="0" w:type="auto"/>
          </w:tcPr>
          <w:p w14:paraId="55C9CC78"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Very tall crops, orchards</w:t>
            </w:r>
          </w:p>
        </w:tc>
        <w:tc>
          <w:tcPr>
            <w:tcW w:w="0" w:type="auto"/>
          </w:tcPr>
          <w:p w14:paraId="39B5F841"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1,600-1,800</w:t>
            </w:r>
          </w:p>
        </w:tc>
        <w:tc>
          <w:tcPr>
            <w:tcW w:w="0" w:type="auto"/>
          </w:tcPr>
          <w:p w14:paraId="1501953B"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{"citationID":"Gjyftd7q","properties":{"unsorted":false,"formattedCitation":"(Ravilla et al., 2024)","plainCitation":"(Ravilla et al., 2024)","noteIndex":0},"citationItems":[{"id":35,"uris":["http://zotero.org/users/local/i6bXxmSk/items/AZ4CISAQ"],"itemData":{"id":35,"type":"article-journal","container-title":"Science of The Total Environment","DOI":"10.1016/j.scitotenv.2023.169274","ISSN":"00489697","journalAbbreviation":"Science of The Total Environment","language":"en","page":"169274","source":"DOI.org (Crossref)","title":"Techno-economic and life cycle assessment of agrivoltaic system (AVS) designs","volume":"912","author":[{"family":"Ravilla","given":"Achyuth"},{"family":"Shirkey","given":"Gabriela"},{"family":"Chen","given":"Jiquan"},{"family":"Jarchow","given":"Meghann"},{"family":"Stary","given":"Olyssa"},{"family":"Celik","given":"Ilke"}],"issued":{"date-parts":[["2024",2]]}}}],"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(Ravilla et al., 2024)</w:t>
            </w:r>
            <w:r w:rsidRPr="00324F6F">
              <w:rPr>
                <w:rFonts w:ascii="Times New Roman" w:hAnsi="Times New Roman" w:cs="Times New Roman"/>
                <w:sz w:val="20"/>
                <w:szCs w:val="20"/>
              </w:rPr>
              <w:fldChar w:fldCharType="end"/>
            </w:r>
          </w:p>
        </w:tc>
      </w:tr>
      <w:tr w:rsidR="00346A87" w:rsidRPr="00324F6F" w14:paraId="50BCDA26" w14:textId="77777777" w:rsidTr="0016399F">
        <w:trPr>
          <w:jc w:val="center"/>
        </w:trPr>
        <w:tc>
          <w:tcPr>
            <w:tcW w:w="0" w:type="auto"/>
          </w:tcPr>
          <w:p w14:paraId="79F72D37"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Photovoltaic greenhouse</w:t>
            </w:r>
          </w:p>
        </w:tc>
        <w:tc>
          <w:tcPr>
            <w:tcW w:w="0" w:type="auto"/>
          </w:tcPr>
          <w:p w14:paraId="1A8EA1FA"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Semi-transparent roof</w:t>
            </w:r>
          </w:p>
        </w:tc>
        <w:tc>
          <w:tcPr>
            <w:tcW w:w="0" w:type="auto"/>
          </w:tcPr>
          <w:p w14:paraId="6CE8A532"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Protected vegetables</w:t>
            </w:r>
          </w:p>
        </w:tc>
        <w:tc>
          <w:tcPr>
            <w:tcW w:w="0" w:type="auto"/>
          </w:tcPr>
          <w:p w14:paraId="341663E7"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800-1,200</w:t>
            </w:r>
          </w:p>
        </w:tc>
        <w:tc>
          <w:tcPr>
            <w:tcW w:w="0" w:type="auto"/>
          </w:tcPr>
          <w:p w14:paraId="5A036EC1"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{"citationID":"I6Z4vaPc","properties":{"unsorted":false,"formattedCitation":"(Gorjian et al., 2022)","plainCitation":"(Gorjian et al., 2022)","noteIndex":0},"citationItems":[{"id":22,"uris":["http://zotero.org/users/local/i6bXxmSk/items/LDHGXMLR"],"itemData":{"id":22,"type":"article-journal","abstract":"The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(Gorjian et al., 2022)</w:t>
            </w:r>
            <w:r w:rsidRPr="00324F6F">
              <w:rPr>
                <w:rFonts w:ascii="Times New Roman" w:hAnsi="Times New Roman" w:cs="Times New Roman"/>
                <w:sz w:val="20"/>
                <w:szCs w:val="20"/>
              </w:rPr>
              <w:fldChar w:fldCharType="end"/>
            </w:r>
          </w:p>
        </w:tc>
      </w:tr>
      <w:tr w:rsidR="00346A87" w:rsidRPr="00324F6F" w14:paraId="3E662152" w14:textId="77777777" w:rsidTr="0016399F">
        <w:trPr>
          <w:jc w:val="center"/>
        </w:trPr>
        <w:tc>
          <w:tcPr>
            <w:tcW w:w="0" w:type="auto"/>
          </w:tcPr>
          <w:p w14:paraId="7809BD31"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Vertical bifacial</w:t>
            </w:r>
          </w:p>
        </w:tc>
        <w:tc>
          <w:tcPr>
            <w:tcW w:w="0" w:type="auto"/>
          </w:tcPr>
          <w:p w14:paraId="28ABF564"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Panels vertical, east-west facing</w:t>
            </w:r>
          </w:p>
        </w:tc>
        <w:tc>
          <w:tcPr>
            <w:tcW w:w="0" w:type="auto"/>
          </w:tcPr>
          <w:p w14:paraId="67F1C914"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Arable crops, machinery access</w:t>
            </w:r>
          </w:p>
        </w:tc>
        <w:tc>
          <w:tcPr>
            <w:tcW w:w="0" w:type="auto"/>
          </w:tcPr>
          <w:p w14:paraId="41BBF69B"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t>1,000-1,300</w:t>
            </w:r>
          </w:p>
        </w:tc>
        <w:tc>
          <w:tcPr>
            <w:tcW w:w="0" w:type="auto"/>
          </w:tcPr>
          <w:p w14:paraId="62F07930" w14:textId="77777777" w:rsidR="00346A87" w:rsidRPr="00324F6F" w:rsidRDefault="00346A87" w:rsidP="0016399F">
            <w:pPr>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{"citationID":"Sqerhztz","properties":{"unsorted":false,"formattedCitation":"(Chalgynbayeva et al., 2023)","plainCitation":"(Chalgynbayeva et al., 2023)","noteIndex":0},"citationItems":[{"id":38,"uris":["http://zotero.org/users/local/i6bXxmSk/items/S2XAZXHD"],"itemData":{"id":38,"type":"article-journal","abstract":"An agrovoltaic system combines agricultural crop production and energy production in the same place, emphasizing the dual use of land. This article provides a bibliometric analysis of agrivoltaic topics based on publications indexed in SCOPUS, in which either economic assessments of agrivoltaics, agrivoltaic systems for crops and livestock animals, photovoltaic greenhouse and agrivoltaics with open ﬁeld are discussed, or its ideas are used to analyze certain locations. A bibliometric analysis was conducted using the SCOPUS database. Multiple bibliometric tools, such as R Studio and Biblioshiny, were applied to analyze data for this study. Finally, 121 relevant articles were obtained and reviewed. The results show that the focus topic is a brand-new research area, with the majority of relevant scientiﬁc publications concentrated in the last three years, and with much ongoing research. This is why AV-specialized scientiﬁc conferences might be the best place to get relevant and up-to-date information, with the highest number being offered in the USA and China. A typical trend in recent years has been researched, focusing on different agricultural aspects. The research results show that scientiﬁc publications in recent years mainly focus on short-term predictions, there is no recognized evaluation standard for various prediction analyses, and it is difﬁcult to evaluate various prediction methods so far.","container-title":"Energies","DOI":"10.3390/en16020611","ISSN":"1996-1073","issue":"2","journalAbbreviation":"Energies","language":"en","page":"611","source":"DOI.org (Crossref)","title":"Worldwide Research Trends in Agrivoltaic Systems—A Bibliometric Review","volume":"16","author":[{"family":"Chalgynbayeva","given":"Aidana"},{"family":"Gabnai","given":"Zoltán"},{"family":"Lengyel","given":"Péter"},{"family":"Pestisha","given":"Albiona"},{"family":"Bai","given":"Attila"}],"issued":{"date-parts":[["2023",1,4]]}}}],"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(Chalgynbayeva et al., 2023)</w:t>
            </w:r>
            <w:r w:rsidRPr="00324F6F">
              <w:rPr>
                <w:rFonts w:ascii="Times New Roman" w:hAnsi="Times New Roman" w:cs="Times New Roman"/>
                <w:sz w:val="20"/>
                <w:szCs w:val="20"/>
              </w:rPr>
              <w:fldChar w:fldCharType="end"/>
            </w:r>
          </w:p>
        </w:tc>
      </w:tr>
    </w:tbl>
    <w:p w14:paraId="2A4D2395" w14:textId="77777777" w:rsidR="00DB6DD1" w:rsidRPr="00DB6DD1" w:rsidRDefault="00DB6DD1" w:rsidP="00DB6DD1">
      <w:pPr>
        <w:spacing w:line="360" w:lineRule="auto"/>
        <w:jc w:val="both"/>
        <w:rPr>
          <w:rFonts w:ascii="Times New Roman" w:hAnsi="Times New Roman" w:cs="Times New Roman"/>
          <w:sz w:val="24"/>
          <w:szCs w:val="24"/>
        </w:rPr>
      </w:pPr>
    </w:p>
    <w:p w14:paraId="6C5AC57F" w14:textId="39E1BB25"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Single-axis tracking systems have attracted particular attention because they offer an important additional degree of freedom: the ability to modulate shading in real time according to crop physiological needs. Imran et al. </w:t>
      </w:r>
      <w:r w:rsidR="00D40C06">
        <w:rPr>
          <w:rFonts w:ascii="Times New Roman" w:hAnsi="Times New Roman" w:cs="Times New Roman"/>
          <w:sz w:val="24"/>
          <w:szCs w:val="24"/>
        </w:rPr>
        <w:fldChar w:fldCharType="begin"/>
      </w:r>
      <w:r w:rsidR="00D40C06">
        <w:rPr>
          <w:rFonts w:ascii="Times New Roman" w:hAnsi="Times New Roman" w:cs="Times New Roman"/>
          <w:sz w:val="24"/>
          <w:szCs w:val="24"/>
        </w:rPr>
        <w:instrText xml:space="preserve"> ADDIN ZOTERO_ITEM CSL_CITATION {"citationID":"KJUgAOBb","properties":{"unsorted":false,"formattedCitation":"(Imran et al., 2020)","plainCitation":"(Imran et al., 2020)","noteIndex":0},"citationItems":[{"id":91,"uris":["http://zotero.org/users/local/i6bXxmSk/items/U3CVKD46"],"itemData":{"id":91,"type":"paper-conference","abstract":"Agrivoltaics is an emerging technology of collocating solar photovoltaics with agriculture that has many potential synergetic food-energy-water beneﬁts. The design of agrivoltaic systems demands a careful balance for sharing sunlight between solar panels and crops to ensure an optimal food-energy productivity. We explore the optimal single-axis tracking schemes for agrivoltaics that can provide the precise balance of sunlight between PV and crops. The single-axis tracking schemes are applied to bifacial panel arrays in two different PV orientations, i.e., East/West vs. North/South faced. By modeling the temporal variations of drop shadows on crops and the known requirements of photosynthetically active radiation (PAR) by the crop, we propose customized solar tracking schemes that vary between standard sun tracking and reverse sun tracking during the day according to the crop requirement. During the early daytime after sunrise and closer to the sunset, PAR is lower than the saturated PAR for the plants. Closer to noon, available PAR can exceed the crop needs. An optimal algorithm ensures that the PAR available to the crops remains closer to its required PAR so that the excess sunlight could be harvested by the PV arrays. The seasonal variation in customized tracking schemes is explored for the two PV orientations.","container-title":"2020 47th IEEE Photovoltaic Specialists Conference (PVSC)","DOI":"10.1109/PVSC45281.2020.9300682","event-title":"2020 IEEE 47th Photovoltaic Specialists Conference (PVSC)","ISBN":"978-1-7281-6115-0","language":"en","license":"https://ieeexplore.ieee.org/Xplorehelp/downloads/license-information/IEEE.html","page":"1353-1356","publisher":"IEEE","publisher-place":"Calgary, AB, Canada","source":"DOI.org (Crossref)","title":"Optimization of Single-Axis Tracking of Photovoltaic Modules for Agrivoltaic Systems","URL":"https://ieeexplore.ieee.org/document/9300682/","author":[{"family":"Imran","given":"Hassan"},{"family":"Riaz","given":"Muhammad Hussnain"},{"family":"Butt","given":"Nauman Zafar"}],"accessed":{"date-parts":[["2026",4,5]]},"issued":{"date-parts":[["2020",6,14]]}}}],"schema":"https://github.com/citation-style-language/schema/raw/master/csl-citation.json"} </w:instrText>
      </w:r>
      <w:r w:rsidR="00D40C06">
        <w:rPr>
          <w:rFonts w:ascii="Times New Roman" w:hAnsi="Times New Roman" w:cs="Times New Roman"/>
          <w:sz w:val="24"/>
          <w:szCs w:val="24"/>
        </w:rPr>
        <w:fldChar w:fldCharType="separate"/>
      </w:r>
      <w:r w:rsidR="00D40C06" w:rsidRPr="00D40C06">
        <w:rPr>
          <w:rFonts w:ascii="Calibri" w:hAnsi="Calibri" w:cs="Calibri"/>
          <w:sz w:val="24"/>
        </w:rPr>
        <w:t>(Imran et al., 2020)</w:t>
      </w:r>
      <w:r w:rsidR="00D40C06">
        <w:rPr>
          <w:rFonts w:ascii="Times New Roman" w:hAnsi="Times New Roman" w:cs="Times New Roman"/>
          <w:sz w:val="24"/>
          <w:szCs w:val="24"/>
        </w:rPr>
        <w:fldChar w:fldCharType="end"/>
      </w:r>
      <w:r w:rsidR="00625A93">
        <w:rPr>
          <w:rFonts w:ascii="Times New Roman" w:hAnsi="Times New Roman" w:cs="Times New Roman"/>
          <w:sz w:val="24"/>
          <w:szCs w:val="24"/>
        </w:rPr>
        <w:t xml:space="preserve"> </w:t>
      </w:r>
      <w:r w:rsidRPr="00DB6DD1">
        <w:rPr>
          <w:rFonts w:ascii="Times New Roman" w:hAnsi="Times New Roman" w:cs="Times New Roman"/>
          <w:sz w:val="24"/>
          <w:szCs w:val="24"/>
        </w:rPr>
        <w:t xml:space="preserve">showed that active shade management through single-axis tracking could increase crop yield by 15–25% relative to fixed-tilt systems while retaining 90% of energy production. A subsequent contribution by Riaz et al. </w:t>
      </w:r>
      <w:r w:rsidR="00625A93">
        <w:rPr>
          <w:rFonts w:ascii="Times New Roman" w:hAnsi="Times New Roman" w:cs="Times New Roman"/>
          <w:sz w:val="24"/>
          <w:szCs w:val="24"/>
        </w:rPr>
        <w:fldChar w:fldCharType="begin"/>
      </w:r>
      <w:r w:rsidR="00625A93">
        <w:rPr>
          <w:rFonts w:ascii="Times New Roman" w:hAnsi="Times New Roman" w:cs="Times New Roman"/>
          <w:sz w:val="24"/>
          <w:szCs w:val="24"/>
        </w:rPr>
        <w:instrText xml:space="preserve"> ADDIN ZOTERO_ITEM CSL_CITATION {"citationID":"cF7HHuLX","properties":{"unsorted":false,"formattedCitation":"(Riaz et al., 2022)","plainCitation":"(Riaz et al., 2022)","noteIndex":0},"citationItems":[{"id":45,"uris":["http://zotero.org/users/local/i6bXxmSk/items/TDSGZE5E"],"itemData":{"id":45,"type":"article-journal","abstract":"Agrivoltaics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00625A93">
        <w:rPr>
          <w:rFonts w:ascii="Times New Roman" w:hAnsi="Times New Roman" w:cs="Times New Roman"/>
          <w:sz w:val="24"/>
          <w:szCs w:val="24"/>
        </w:rPr>
        <w:fldChar w:fldCharType="separate"/>
      </w:r>
      <w:r w:rsidR="00625A93" w:rsidRPr="00625A93">
        <w:rPr>
          <w:rFonts w:ascii="Calibri" w:hAnsi="Calibri" w:cs="Calibri"/>
          <w:sz w:val="24"/>
        </w:rPr>
        <w:t>(Riaz et al., 2022)</w:t>
      </w:r>
      <w:r w:rsidR="00625A93">
        <w:rPr>
          <w:rFonts w:ascii="Times New Roman" w:hAnsi="Times New Roman" w:cs="Times New Roman"/>
          <w:sz w:val="24"/>
          <w:szCs w:val="24"/>
        </w:rPr>
        <w:fldChar w:fldCharType="end"/>
      </w:r>
      <w:r w:rsidR="00467898">
        <w:rPr>
          <w:rFonts w:ascii="Times New Roman" w:hAnsi="Times New Roman" w:cs="Times New Roman"/>
          <w:sz w:val="24"/>
          <w:szCs w:val="24"/>
        </w:rPr>
        <w:t xml:space="preserve"> </w:t>
      </w:r>
      <w:r w:rsidRPr="00DB6DD1">
        <w:rPr>
          <w:rFonts w:ascii="Times New Roman" w:hAnsi="Times New Roman" w:cs="Times New Roman"/>
          <w:sz w:val="24"/>
          <w:szCs w:val="24"/>
        </w:rPr>
        <w:t>introduced the Light Productivity Factor (LPF) as a unified metric for crop-PV co-optimization, demonstrating that bifacial modules with optimized row spacing achieve Land Equivalent Ratio values in the range of 1.2–1.5 for tomato in semi-arid conditions.</w:t>
      </w:r>
    </w:p>
    <w:p w14:paraId="71578614" w14:textId="77777777" w:rsidR="00DB6DD1" w:rsidRPr="00DB6DD1" w:rsidRDefault="00DB6DD1" w:rsidP="00DB6DD1">
      <w:pPr>
        <w:spacing w:line="360" w:lineRule="auto"/>
        <w:jc w:val="both"/>
        <w:rPr>
          <w:rFonts w:ascii="Times New Roman" w:hAnsi="Times New Roman" w:cs="Times New Roman"/>
          <w:sz w:val="24"/>
          <w:szCs w:val="24"/>
        </w:rPr>
      </w:pPr>
    </w:p>
    <w:p w14:paraId="45BFB1AA" w14:textId="479EBBD2"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2.1.3. Microclimate modification and water savings</w:t>
      </w:r>
    </w:p>
    <w:p w14:paraId="005761D8" w14:textId="6B7666D7" w:rsidR="00DB6DD1" w:rsidRP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microclimatic effects of agrivoltaic systems on the underlying crop canopy have been extensively documented, particularly for Mediterranean and semi-arid sites where water stress is a primary yield-limiting factor. Working with lysimeter experiments in southern Italy, Mohammedi et al. </w:t>
      </w:r>
      <w:r w:rsidR="00625A93">
        <w:rPr>
          <w:rFonts w:ascii="Times New Roman" w:hAnsi="Times New Roman" w:cs="Times New Roman"/>
          <w:sz w:val="24"/>
          <w:szCs w:val="24"/>
        </w:rPr>
        <w:fldChar w:fldCharType="begin"/>
      </w:r>
      <w:r w:rsidR="00625A93">
        <w:rPr>
          <w:rFonts w:ascii="Times New Roman" w:hAnsi="Times New Roman" w:cs="Times New Roman"/>
          <w:sz w:val="24"/>
          <w:szCs w:val="24"/>
        </w:rPr>
        <w:instrText xml:space="preserve"> ADDIN ZOTERO_ITEM CSL_CITATION {"citationID":"rlHwcdkd","properties":{"unsorted":false,"formattedCitation":"(Mohammedi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00625A93">
        <w:rPr>
          <w:rFonts w:ascii="Times New Roman" w:hAnsi="Times New Roman" w:cs="Times New Roman"/>
          <w:sz w:val="24"/>
          <w:szCs w:val="24"/>
        </w:rPr>
        <w:fldChar w:fldCharType="separate"/>
      </w:r>
      <w:r w:rsidR="00625A93" w:rsidRPr="00625A93">
        <w:rPr>
          <w:rFonts w:ascii="Calibri" w:hAnsi="Calibri" w:cs="Calibri"/>
          <w:sz w:val="24"/>
        </w:rPr>
        <w:t>(Mohammedi et al., 2023)</w:t>
      </w:r>
      <w:r w:rsidR="00625A93">
        <w:rPr>
          <w:rFonts w:ascii="Times New Roman" w:hAnsi="Times New Roman" w:cs="Times New Roman"/>
          <w:sz w:val="24"/>
          <w:szCs w:val="24"/>
        </w:rPr>
        <w:fldChar w:fldCharType="end"/>
      </w:r>
      <w:r w:rsidR="000923CF">
        <w:rPr>
          <w:rFonts w:ascii="Times New Roman" w:hAnsi="Times New Roman" w:cs="Times New Roman"/>
          <w:sz w:val="24"/>
          <w:szCs w:val="24"/>
        </w:rPr>
        <w:t xml:space="preserve"> </w:t>
      </w:r>
      <w:r w:rsidRPr="00DB6DD1">
        <w:rPr>
          <w:rFonts w:ascii="Times New Roman" w:hAnsi="Times New Roman" w:cs="Times New Roman"/>
          <w:sz w:val="24"/>
          <w:szCs w:val="24"/>
        </w:rPr>
        <w:t>found that tomato crops under AV panels experienced a 16–21% reduction in reference evapotranspiration ET₀, a 2.3°C decrease in maximum daily soil temperature, a 2–4% increase in relative humidity, and a 7–14 day</w:t>
      </w:r>
      <w:r w:rsidR="003C7ED9">
        <w:rPr>
          <w:rFonts w:ascii="Times New Roman" w:hAnsi="Times New Roman" w:cs="Times New Roman"/>
          <w:sz w:val="24"/>
          <w:szCs w:val="24"/>
        </w:rPr>
        <w:t>s</w:t>
      </w:r>
      <w:r w:rsidRPr="00DB6DD1">
        <w:rPr>
          <w:rFonts w:ascii="Times New Roman" w:hAnsi="Times New Roman" w:cs="Times New Roman"/>
          <w:sz w:val="24"/>
          <w:szCs w:val="24"/>
        </w:rPr>
        <w:t xml:space="preserve"> extension of the effective growing season compared to open-field conditions. These results are particularly relevant here because the same study provides the tomato-specific crop parameters used in our model.</w:t>
      </w:r>
    </w:p>
    <w:p w14:paraId="5217A289" w14:textId="46004EEE" w:rsid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Semeraro et al. </w:t>
      </w:r>
      <w:r w:rsidR="000923CF">
        <w:rPr>
          <w:rFonts w:ascii="Times New Roman" w:hAnsi="Times New Roman" w:cs="Times New Roman"/>
          <w:sz w:val="24"/>
          <w:szCs w:val="24"/>
        </w:rPr>
        <w:fldChar w:fldCharType="begin"/>
      </w:r>
      <w:r w:rsidR="000923CF">
        <w:rPr>
          <w:rFonts w:ascii="Times New Roman" w:hAnsi="Times New Roman" w:cs="Times New Roman"/>
          <w:sz w:val="24"/>
          <w:szCs w:val="24"/>
        </w:rPr>
        <w:instrText xml:space="preserve"> ADDIN ZOTERO_ITEM CSL_CITATION {"citationID":"kGvI9WvQ","properties":{"unsorted":false,"formattedCitation":"(Semeraro et al., 2024)","plainCitation":"(Semeraro et al., 2024)","noteIndex":0},"citationItems":[{"id":49,"uris":["http://zotero.org/users/local/i6bXxmSk/items/IWU4GWTD"],"itemData":{"id":49,"type":"article-journal","container-title":"Applied Energy","DOI":"10.1016/j.apenergy.2023.122565","ISSN":"03062619","journalAbbreviation":"Applied Energy","language":"en","page":"122565","source":"DOI.org (Crossref)","title":"Shading effects in agrivoltaic systems can make the difference in boosting food security in climate change","volume":"358","author":[{"family":"Semeraro","given":"Teodoro"},{"family":"Scarano","given":"Aurelia"},{"family":"Curci","given":"Lorenzo Maria"},{"family":"Leggieri","given":"Angelo"},{"family":"Lenucci","given":"Marcello"},{"family":"Basset","given":"Alberto"},{"family":"Santino","given":"Angelo"},{"family":"Piro","given":"Gabriella"},{"family":"De Caroli","given":"Monica"}],"issued":{"date-parts":[["2024",3]]}}}],"schema":"https://github.com/citation-style-language/schema/raw/master/csl-citation.json"} </w:instrText>
      </w:r>
      <w:r w:rsidR="000923CF">
        <w:rPr>
          <w:rFonts w:ascii="Times New Roman" w:hAnsi="Times New Roman" w:cs="Times New Roman"/>
          <w:sz w:val="24"/>
          <w:szCs w:val="24"/>
        </w:rPr>
        <w:fldChar w:fldCharType="separate"/>
      </w:r>
      <w:r w:rsidR="000923CF" w:rsidRPr="000923CF">
        <w:rPr>
          <w:rFonts w:ascii="Calibri" w:hAnsi="Calibri" w:cs="Calibri"/>
          <w:sz w:val="24"/>
        </w:rPr>
        <w:t>(Semeraro et al., 2024)</w:t>
      </w:r>
      <w:r w:rsidR="000923CF">
        <w:rPr>
          <w:rFonts w:ascii="Times New Roman" w:hAnsi="Times New Roman" w:cs="Times New Roman"/>
          <w:sz w:val="24"/>
          <w:szCs w:val="24"/>
        </w:rPr>
        <w:fldChar w:fldCharType="end"/>
      </w:r>
      <w:r w:rsidR="000923CF">
        <w:rPr>
          <w:rFonts w:ascii="Times New Roman" w:hAnsi="Times New Roman" w:cs="Times New Roman"/>
          <w:sz w:val="24"/>
          <w:szCs w:val="24"/>
        </w:rPr>
        <w:t xml:space="preserve"> </w:t>
      </w:r>
      <w:r w:rsidRPr="00DB6DD1">
        <w:rPr>
          <w:rFonts w:ascii="Times New Roman" w:hAnsi="Times New Roman" w:cs="Times New Roman"/>
          <w:sz w:val="24"/>
          <w:szCs w:val="24"/>
        </w:rPr>
        <w:t xml:space="preserve">synthesized evidence from 23 independent AV field studies across semi-arid regions and concluded that shading reduces irrigation requirements by 15–35%, with the reduction depending on panel density and the local aridity index. At higher aridity — precisely the conditions in Konya, Almería, and Ouagadougou — the irrigation savings are larger. In a dedicated field study, </w:t>
      </w:r>
      <w:r w:rsidRPr="000923CF">
        <w:rPr>
          <w:rFonts w:ascii="Times New Roman" w:hAnsi="Times New Roman" w:cs="Times New Roman"/>
          <w:color w:val="FF0000"/>
          <w:sz w:val="24"/>
          <w:szCs w:val="24"/>
        </w:rPr>
        <w:t xml:space="preserve">Tawassulli (2025) </w:t>
      </w:r>
      <w:r w:rsidRPr="00DB6DD1">
        <w:rPr>
          <w:rFonts w:ascii="Times New Roman" w:hAnsi="Times New Roman" w:cs="Times New Roman"/>
          <w:sz w:val="24"/>
          <w:szCs w:val="24"/>
        </w:rPr>
        <w:t xml:space="preserve">developed an empirical ET reduction coefficient </w:t>
      </w:r>
      <w:r w:rsidRPr="00DB6DD1">
        <w:rPr>
          <w:rFonts w:ascii="Times New Roman" w:hAnsi="Times New Roman" w:cs="Times New Roman"/>
          <w:sz w:val="24"/>
          <w:szCs w:val="24"/>
        </w:rPr>
        <w:lastRenderedPageBreak/>
        <w:t xml:space="preserve">relating shading fraction to evapotranspiration reduction. The resulting coefficient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shade</m:t>
            </m:r>
          </m:sub>
        </m:sSub>
        <m:r>
          <w:rPr>
            <w:rFonts w:ascii="Cambria Math" w:hAnsi="Cambria Math" w:cs="Cambria Math"/>
            <w:sz w:val="24"/>
            <w:szCs w:val="24"/>
          </w:rPr>
          <m:t>∈</m:t>
        </m:r>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0.30, 0.50</m:t>
            </m:r>
          </m:e>
        </m:d>
      </m:oMath>
      <w:r w:rsidRPr="00DB6DD1">
        <w:rPr>
          <w:rFonts w:ascii="Times New Roman" w:hAnsi="Times New Roman" w:cs="Times New Roman"/>
          <w:sz w:val="24"/>
          <w:szCs w:val="24"/>
        </w:rPr>
        <w:t xml:space="preserve"> has been adopted in subsequent AV modeling studies; values from the same range are reported by Elamri et al. </w:t>
      </w:r>
      <w:r w:rsidR="000923CF">
        <w:rPr>
          <w:rFonts w:ascii="Times New Roman" w:hAnsi="Times New Roman" w:cs="Times New Roman"/>
          <w:sz w:val="24"/>
          <w:szCs w:val="24"/>
        </w:rPr>
        <w:fldChar w:fldCharType="begin"/>
      </w:r>
      <w:r w:rsidR="000923CF">
        <w:rPr>
          <w:rFonts w:ascii="Times New Roman" w:hAnsi="Times New Roman" w:cs="Times New Roman"/>
          <w:sz w:val="24"/>
          <w:szCs w:val="24"/>
        </w:rPr>
        <w:instrText xml:space="preserve"> ADDIN ZOTERO_ITEM CSL_CITATION {"citationID":"pMq13mah","properties":{"unsorted":false,"formattedCitation":"(Elamri et al., 2018)","plainCitation":"(Elamri et al., 2018)","noteIndex":0},"citationItems":[{"id":20,"uris":["http://zotero.org/users/local/i6bXxmSk/items/HHB3VW5U"],"itemData":{"id":20,"type":"article-journal","abstract":"The installation of tilting-angle solar panels above agricultural plots provides renewable energy and means of action to dampen some of the eﬀects and hazards of climate change. When the panels are properly operated, their drop shadow reduces water consumption by the plants, as a consequence of alternating shade and sun bands with a short-term impact on the stomatal conductance and a global decrease of gas exchanges. This urged the development of a new model for crop growth and water budget, adapted here from existing literature to handle such transient conditions, characterized by short-term (infra-day) ﬂuctuations. The main diﬃculty was to combine short-term ﬂuctuations in the climatic forcings (radiation interception and rain redistribution by the panels) and long-term agronomic evaluation, hence the coexistence of several calculation time steps in model structure. All ﬁeld experiments were conducted on purpose in the agrivoltaic plot of Lavalette (Montpellier, France). Speciﬁc adaptations consisted in describing the stomatal behavior of the plants for ﬂuctuating solar radiations and varied water status, aiming at improving both the piloting of the solar panels and water management, i.e. the choice of irrigation amounts. Model simulations have been able to reproduce the expected beneﬁts from agrivoltaic installations, for example showing that it is possible to improve land use eﬃciency and water productivity at once, by reducing irrigation amounts by 20%, when tolerating a decrease of 10% in yield or, alternatively, a slight extension of the cropping cycle. Agrivoltaism appears a solution for the future when facing climate change and the food and energy challenges, typically in the rural areas and the developing countries and especially if the procedure presented here proves relevant for other crops and contexts.","container-title":"Agricultural Water Management","DOI":"10.1016/j.agwat.2018.07.001","ISSN":"03783774","journalAbbreviation":"Agricultural Water Management","language":"en","page":"440-453","source":"DOI.org (Crossref)","title":"Water budget and crop modelling for agrivoltaic systems: Application to irrigated lettuces","title-short":"Water budget and crop modelling for agrivoltaic systems","volume":"208","author":[{"family":"Elamri","given":"Y."},{"family":"Cheviron","given":"B."},{"family":"Lopez","given":"J.-M."},{"family":"Dejean","given":"C."},{"family":"Belaud","given":"G."}],"issued":{"date-parts":[["2018",9]]}}}],"schema":"https://github.com/citation-style-language/schema/raw/master/csl-citation.json"} </w:instrText>
      </w:r>
      <w:r w:rsidR="000923CF">
        <w:rPr>
          <w:rFonts w:ascii="Times New Roman" w:hAnsi="Times New Roman" w:cs="Times New Roman"/>
          <w:sz w:val="24"/>
          <w:szCs w:val="24"/>
        </w:rPr>
        <w:fldChar w:fldCharType="separate"/>
      </w:r>
      <w:r w:rsidR="000923CF" w:rsidRPr="000923CF">
        <w:rPr>
          <w:rFonts w:ascii="Calibri" w:hAnsi="Calibri" w:cs="Calibri"/>
          <w:sz w:val="24"/>
        </w:rPr>
        <w:t>(Elamri et al., 2018)</w:t>
      </w:r>
      <w:r w:rsidR="000923CF">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and are consistent with the physical interpretation of the Penman-Monteith shading correction applied in this study.</w:t>
      </w:r>
    </w:p>
    <w:p w14:paraId="2B8C927A" w14:textId="77777777" w:rsidR="003C7ED9" w:rsidRPr="00DB6DD1" w:rsidRDefault="003C7ED9" w:rsidP="00DB6DD1">
      <w:pPr>
        <w:spacing w:line="360" w:lineRule="auto"/>
        <w:jc w:val="both"/>
        <w:rPr>
          <w:rFonts w:ascii="Times New Roman" w:hAnsi="Times New Roman" w:cs="Times New Roman"/>
          <w:sz w:val="24"/>
          <w:szCs w:val="24"/>
        </w:rPr>
      </w:pPr>
    </w:p>
    <w:p w14:paraId="2EECABB1" w14:textId="412BBDC2"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2.1.4. The Land Equivalent Ratio as a performance metric</w:t>
      </w:r>
    </w:p>
    <w:p w14:paraId="754FF52A" w14:textId="49EB4C6D" w:rsid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Land Equivalent Ratio was originally developed for intercropping systems by Mead and Willey </w:t>
      </w:r>
      <w:r w:rsidR="00A02E6E">
        <w:rPr>
          <w:rFonts w:ascii="Times New Roman" w:hAnsi="Times New Roman" w:cs="Times New Roman"/>
          <w:sz w:val="24"/>
          <w:szCs w:val="24"/>
        </w:rPr>
        <w:fldChar w:fldCharType="begin"/>
      </w:r>
      <w:r w:rsidR="00A02E6E">
        <w:rPr>
          <w:rFonts w:ascii="Times New Roman" w:hAnsi="Times New Roman" w:cs="Times New Roman"/>
          <w:sz w:val="24"/>
          <w:szCs w:val="24"/>
        </w:rPr>
        <w:instrText xml:space="preserve"> ADDIN ZOTERO_ITEM CSL_CITATION {"citationID":"lYvjRCiD","properties":{"unsorted":false,"formattedCitation":"(Mead &amp; Willey, 1980)","plainCitation":"(Mead &amp; Willey, 1980)","noteIndex":0},"citationItems":[{"id":51,"uris":["http://zotero.org/users/local/i6bXxmSk/items/ZN2KRQLT"],"itemData":{"id":51,"type":"article-journal","abstract":"SUMMARY\n            Criteria for evaluating different intercropping situations are suggested, and the Land Equivalent Ratio (LER) concept is considered for situations where intercropping must be compared with growing each crop sole. The need to use different standardizing sole crop yields in forming LERs is discussed, and a method of calculating an ‘effective LER’ is proposed to evaluate situations where the yield proportions achieved in intercropping are different from those that might be required by a farmer. The possible importance of effective LERs in indicating the proportions of crops likely to give biggest yield advantages is discussed.","container-title":"Experimental Agriculture","DOI":"10.1017/S0014479700010978","ISSN":"0014-4797, 1469-4441","issue":"3","journalAbbreviation":"Ex. Agric.","language":"en","license":"https://www.cambridge.org/core/terms","page":"217-228","source":"DOI.org (Crossref)","title":"The Concept of a ‘Land Equivalent Ratio’ and Advantages in Yields from Intercropping","volume":"16","author":[{"family":"Mead","given":"R."},{"family":"Willey","given":"R. W."}],"issued":{"date-parts":[["1980",7]]}}}],"schema":"https://github.com/citation-style-language/schema/raw/master/csl-citation.json"} </w:instrText>
      </w:r>
      <w:r w:rsidR="00A02E6E">
        <w:rPr>
          <w:rFonts w:ascii="Times New Roman" w:hAnsi="Times New Roman" w:cs="Times New Roman"/>
          <w:sz w:val="24"/>
          <w:szCs w:val="24"/>
        </w:rPr>
        <w:fldChar w:fldCharType="separate"/>
      </w:r>
      <w:r w:rsidR="00A02E6E" w:rsidRPr="00A02E6E">
        <w:rPr>
          <w:rFonts w:ascii="Calibri" w:hAnsi="Calibri" w:cs="Calibri"/>
          <w:sz w:val="24"/>
        </w:rPr>
        <w:t>(Mead &amp; Willey, 1980)</w:t>
      </w:r>
      <w:r w:rsidR="00A02E6E">
        <w:rPr>
          <w:rFonts w:ascii="Times New Roman" w:hAnsi="Times New Roman" w:cs="Times New Roman"/>
          <w:sz w:val="24"/>
          <w:szCs w:val="24"/>
        </w:rPr>
        <w:fldChar w:fldCharType="end"/>
      </w:r>
      <w:r w:rsidR="00A02E6E">
        <w:rPr>
          <w:rFonts w:ascii="Times New Roman" w:hAnsi="Times New Roman" w:cs="Times New Roman"/>
          <w:sz w:val="24"/>
          <w:szCs w:val="24"/>
        </w:rPr>
        <w:t xml:space="preserve"> </w:t>
      </w:r>
      <w:r w:rsidRPr="00DB6DD1">
        <w:rPr>
          <w:rFonts w:ascii="Times New Roman" w:hAnsi="Times New Roman" w:cs="Times New Roman"/>
          <w:sz w:val="24"/>
          <w:szCs w:val="24"/>
        </w:rPr>
        <w:t>to quantify the land-use efficiency gained when two crops share the same area rather than occupying separate plots. For a two-component agrivoltaic system, the LER is defined as:</w:t>
      </w:r>
    </w:p>
    <w:p w14:paraId="0B019E03" w14:textId="77777777" w:rsidR="00F17CA3" w:rsidRPr="00DB6DD1" w:rsidRDefault="00F17CA3" w:rsidP="003C7ED9">
      <w:pPr>
        <w:spacing w:line="360" w:lineRule="auto"/>
        <w:ind w:firstLine="720"/>
        <w:jc w:val="both"/>
        <w:rPr>
          <w:rFonts w:ascii="Times New Roman" w:hAnsi="Times New Roman" w:cs="Times New Roman"/>
          <w:sz w:val="24"/>
          <w:szCs w:val="24"/>
        </w:rPr>
      </w:pPr>
    </w:p>
    <w:p w14:paraId="7DD36BE9" w14:textId="77777777" w:rsidR="00F17CA3" w:rsidRPr="006217F4" w:rsidRDefault="00533732" w:rsidP="00F17CA3">
      <w:pPr>
        <w:spacing w:line="360" w:lineRule="auto"/>
        <w:ind w:firstLine="720"/>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LER=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crop,AV</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crop,open</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PV,AV</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PV,open</m:t>
                      </m:r>
                    </m:sub>
                  </m:sSub>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e>
          </m:eqArr>
        </m:oMath>
      </m:oMathPara>
    </w:p>
    <w:p w14:paraId="4F6F3814" w14:textId="77777777" w:rsidR="00F17CA3" w:rsidRDefault="00F17CA3" w:rsidP="00DB6DD1">
      <w:pPr>
        <w:spacing w:line="360" w:lineRule="auto"/>
        <w:jc w:val="both"/>
        <w:rPr>
          <w:rFonts w:ascii="Times New Roman" w:hAnsi="Times New Roman" w:cs="Times New Roman"/>
          <w:sz w:val="24"/>
          <w:szCs w:val="24"/>
        </w:rPr>
      </w:pPr>
    </w:p>
    <w:p w14:paraId="18861B10" w14:textId="633A522B"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Y represents crop yield and E represents electricity production </w:t>
      </w:r>
      <w:r w:rsidR="0011012D">
        <w:rPr>
          <w:rFonts w:ascii="Times New Roman" w:hAnsi="Times New Roman" w:cs="Times New Roman"/>
          <w:sz w:val="24"/>
          <w:szCs w:val="24"/>
        </w:rPr>
        <w:fldChar w:fldCharType="begin"/>
      </w:r>
      <w:r w:rsidR="0011012D">
        <w:rPr>
          <w:rFonts w:ascii="Times New Roman" w:hAnsi="Times New Roman" w:cs="Times New Roman"/>
          <w:sz w:val="24"/>
          <w:szCs w:val="24"/>
        </w:rPr>
        <w:instrText xml:space="preserve"> ADDIN ZOTERO_ITEM CSL_CITATION {"citationID":"przJJ9g0","properties":{"unsorted":false,"formattedCitation":"(Trommsdorff, n.d.)","plainCitation":"(Trommsdorff, n.d.)","noteIndex":0},"citationItems":[{"id":85,"uris":["http://zotero.org/users/local/i6bXxmSk/items/QAX8VZD9"],"itemData":{"id":85,"type":"article-journal","language":"en","source":"Zotero","title":"Performance Indices for Parallel Agriculture and PV","author":[{"family":"Trommsdorff","given":"Max"}]}}],"schema":"https://github.com/citation-style-language/schema/raw/master/csl-citation.json"} </w:instrText>
      </w:r>
      <w:r w:rsidR="0011012D">
        <w:rPr>
          <w:rFonts w:ascii="Times New Roman" w:hAnsi="Times New Roman" w:cs="Times New Roman"/>
          <w:sz w:val="24"/>
          <w:szCs w:val="24"/>
        </w:rPr>
        <w:fldChar w:fldCharType="separate"/>
      </w:r>
      <w:r w:rsidR="0011012D" w:rsidRPr="0011012D">
        <w:rPr>
          <w:rFonts w:ascii="Calibri" w:hAnsi="Calibri" w:cs="Calibri"/>
          <w:sz w:val="24"/>
        </w:rPr>
        <w:t>(Trommsdorff, n.d.)</w:t>
      </w:r>
      <w:r w:rsidR="0011012D">
        <w:rPr>
          <w:rFonts w:ascii="Times New Roman" w:hAnsi="Times New Roman" w:cs="Times New Roman"/>
          <w:sz w:val="24"/>
          <w:szCs w:val="24"/>
        </w:rPr>
        <w:fldChar w:fldCharType="end"/>
      </w:r>
      <w:r w:rsidR="0011012D">
        <w:rPr>
          <w:rFonts w:ascii="Times New Roman" w:hAnsi="Times New Roman" w:cs="Times New Roman"/>
          <w:sz w:val="24"/>
          <w:szCs w:val="24"/>
        </w:rPr>
        <w:t>.</w:t>
      </w:r>
      <w:r w:rsidRPr="00DB6DD1">
        <w:rPr>
          <w:rFonts w:ascii="Times New Roman" w:hAnsi="Times New Roman" w:cs="Times New Roman"/>
          <w:sz w:val="24"/>
          <w:szCs w:val="24"/>
        </w:rPr>
        <w:t xml:space="preserve"> Values exceeding 1.0 indicate that the combined system produces more total output per unit land than two separate monocultures. Published LER values from experimental and modelling studies range from 0.95 to 1.94 (Table 2). Mazzeo et al. </w:t>
      </w:r>
      <w:r w:rsidR="0011012D">
        <w:rPr>
          <w:rFonts w:ascii="Times New Roman" w:hAnsi="Times New Roman" w:cs="Times New Roman"/>
          <w:sz w:val="24"/>
          <w:szCs w:val="24"/>
        </w:rPr>
        <w:fldChar w:fldCharType="begin"/>
      </w:r>
      <w:r w:rsidR="0011012D">
        <w:rPr>
          <w:rFonts w:ascii="Times New Roman" w:hAnsi="Times New Roman" w:cs="Times New Roman"/>
          <w:sz w:val="24"/>
          <w:szCs w:val="24"/>
        </w:rPr>
        <w:instrText xml:space="preserve"> ADDIN ZOTERO_ITEM CSL_CITATION {"citationID":"BCVXGLBP","properties":{"unsorted":false,"formattedCitation":"(Mazzeo et al., 2025)","plainCitation":"(Mazzeo et al., 2025)","noteIndex":0},"citationItems":[{"id":53,"uris":["http://zotero.org/users/local/i6bXxmSk/items/HVMHVHMR"],"itemData":{"id":53,"type":"article","abstract":"The rapid expansion of photovoltaic (PV) systems is essential for decarbonizing energy systems but raises concerns about competing with agriculture for arable land. Agrivoltaic (APV) systems offer a sustainable solution by integrating PV installations with agriculture on the same land. However, adoption is constrained by a limited understanding of design parameters and their effects on energy and crop productivity. This study presents a simulation framework to evaluate open-field APV systems, focusing on the impacts of ground coverage ratio (GCR), clearance height, and tracking configurations on solar irradiance distribution, crop yield, and solar energy generation. The Land Equivalent Ratio (LER) was employed to assess the combined productivity of agricultural output and solar energy generation. Scenarios are modeled for temperate climates, examining three crops (lettuce, turnip, and maize) alongside bifacial PV systems with fixed and tracking designs. Results showed that design parameters significantly affect shading and light distribution. Higher clearance heights and lower GCRs enhance agricultural productivity, particularly for shade-sensitive crops like maize, though slightly reducing energy yields. LER values ranged from 1.04 to 2.05 for the GCR variable between 0.6 and 0.2, demonstrating that APV systems are more productive than conventional land use. These insights support optimizing APV designs, aiding policymakers and developers in aligning renewable energy goals with agricultural sustainability.","DOI":"10.2139/ssrn.5082169","language":"en","publisher":"SSRN","source":"DOI.org (Crossref)","title":"Optimizing Agrivoltaic Systems: A Comprehensive Analysis of Design, Crop Productivity and Energy Performance in Open-Field Configurations","title-short":"Optimizing Agrivoltaic Systems","URL":"https://www.ssrn.com/abstract=5082169","author":[{"family":"Mazzeo","given":"Domenico"},{"family":"Di Zio","given":"Andrea"},{"family":"Pesenti","given":"Claudio"},{"family":"Leva","given":"Sonia"}],"accessed":{"date-parts":[["2026",4,3]]},"issued":{"date-parts":[["2025"]]}}}],"schema":"https://github.com/citation-style-language/schema/raw/master/csl-citation.json"} </w:instrText>
      </w:r>
      <w:r w:rsidR="0011012D">
        <w:rPr>
          <w:rFonts w:ascii="Times New Roman" w:hAnsi="Times New Roman" w:cs="Times New Roman"/>
          <w:sz w:val="24"/>
          <w:szCs w:val="24"/>
        </w:rPr>
        <w:fldChar w:fldCharType="separate"/>
      </w:r>
      <w:r w:rsidR="0011012D" w:rsidRPr="0011012D">
        <w:rPr>
          <w:rFonts w:ascii="Calibri" w:hAnsi="Calibri" w:cs="Calibri"/>
          <w:sz w:val="24"/>
        </w:rPr>
        <w:t>(Mazzeo et al., 2025)</w:t>
      </w:r>
      <w:r w:rsidR="0011012D">
        <w:rPr>
          <w:rFonts w:ascii="Times New Roman" w:hAnsi="Times New Roman" w:cs="Times New Roman"/>
          <w:sz w:val="24"/>
          <w:szCs w:val="24"/>
        </w:rPr>
        <w:fldChar w:fldCharType="end"/>
      </w:r>
      <w:r w:rsidRPr="00DB6DD1">
        <w:rPr>
          <w:rFonts w:ascii="Times New Roman" w:hAnsi="Times New Roman" w:cs="Times New Roman"/>
          <w:sz w:val="24"/>
          <w:szCs w:val="24"/>
        </w:rPr>
        <w:t xml:space="preserve"> conducted a comprehensive open-field optimization for multiple crop species and achieved a maximum two-component LER of 1.85 for lettuce under optimized bifacial panel spacing. Riaz et al. </w:t>
      </w:r>
      <w:r w:rsidR="00F13BAD">
        <w:rPr>
          <w:rFonts w:ascii="Times New Roman" w:hAnsi="Times New Roman" w:cs="Times New Roman"/>
          <w:sz w:val="24"/>
          <w:szCs w:val="24"/>
        </w:rPr>
        <w:fldChar w:fldCharType="begin"/>
      </w:r>
      <w:r w:rsidR="00F13BAD">
        <w:rPr>
          <w:rFonts w:ascii="Times New Roman" w:hAnsi="Times New Roman" w:cs="Times New Roman"/>
          <w:sz w:val="24"/>
          <w:szCs w:val="24"/>
        </w:rPr>
        <w:instrText xml:space="preserve"> ADDIN ZOTERO_ITEM CSL_CITATION {"citationID":"fgdyC3Kc","properties":{"unsorted":false,"formattedCitation":"(Riaz et al., 2022)","plainCitation":"(Riaz et al., 2022)","noteIndex":0},"citationItems":[{"id":45,"uris":["http://zotero.org/users/local/i6bXxmSk/items/TDSGZE5E"],"itemData":{"id":45,"type":"article-journal","abstract":"Agrivoltaics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00F13BAD">
        <w:rPr>
          <w:rFonts w:ascii="Times New Roman" w:hAnsi="Times New Roman" w:cs="Times New Roman"/>
          <w:sz w:val="24"/>
          <w:szCs w:val="24"/>
        </w:rPr>
        <w:fldChar w:fldCharType="separate"/>
      </w:r>
      <w:r w:rsidR="00F13BAD" w:rsidRPr="00F13BAD">
        <w:rPr>
          <w:rFonts w:ascii="Calibri" w:hAnsi="Calibri" w:cs="Calibri"/>
          <w:sz w:val="24"/>
        </w:rPr>
        <w:t>(Riaz et al., 2022)</w:t>
      </w:r>
      <w:r w:rsidR="00F13BAD">
        <w:rPr>
          <w:rFonts w:ascii="Times New Roman" w:hAnsi="Times New Roman" w:cs="Times New Roman"/>
          <w:sz w:val="24"/>
          <w:szCs w:val="24"/>
        </w:rPr>
        <w:fldChar w:fldCharType="end"/>
      </w:r>
      <w:r w:rsidR="00D44719">
        <w:rPr>
          <w:rFonts w:ascii="Times New Roman" w:hAnsi="Times New Roman" w:cs="Times New Roman"/>
          <w:sz w:val="24"/>
          <w:szCs w:val="24"/>
        </w:rPr>
        <w:t xml:space="preserve"> </w:t>
      </w:r>
      <w:r w:rsidRPr="00DB6DD1">
        <w:rPr>
          <w:rFonts w:ascii="Times New Roman" w:hAnsi="Times New Roman" w:cs="Times New Roman"/>
          <w:sz w:val="24"/>
          <w:szCs w:val="24"/>
        </w:rPr>
        <w:t>reported LER = 1.94 for tomato under optimized bifacial arrays in semi-arid conditions — the highest value published in the AV-only literature.</w:t>
      </w:r>
    </w:p>
    <w:p w14:paraId="244BE209" w14:textId="63620A79" w:rsidR="00DB6DD1" w:rsidRPr="00D44719" w:rsidRDefault="00DB6DD1" w:rsidP="00DB6DD1">
      <w:pPr>
        <w:spacing w:line="360" w:lineRule="auto"/>
        <w:jc w:val="both"/>
        <w:rPr>
          <w:rFonts w:ascii="Times New Roman" w:hAnsi="Times New Roman" w:cs="Times New Roman"/>
          <w:color w:val="FF0000"/>
          <w:sz w:val="24"/>
          <w:szCs w:val="24"/>
        </w:rPr>
      </w:pPr>
    </w:p>
    <w:p w14:paraId="22853F5F" w14:textId="5E8B39D4" w:rsidR="00CF1F78" w:rsidRDefault="00CF1F78" w:rsidP="00CF1F78">
      <w:pPr>
        <w:spacing w:after="0" w:line="360" w:lineRule="auto"/>
        <w:jc w:val="center"/>
      </w:pPr>
      <w:r w:rsidRPr="00CF1F78">
        <w:rPr>
          <w:rFonts w:ascii="Times New Roman" w:hAnsi="Times New Roman" w:cs="Times New Roman"/>
          <w:sz w:val="20"/>
          <w:szCs w:val="20"/>
        </w:rPr>
        <w:t xml:space="preserve">Table </w:t>
      </w:r>
      <w:r w:rsidRPr="00CF1F78">
        <w:rPr>
          <w:rFonts w:ascii="Times New Roman" w:hAnsi="Times New Roman" w:cs="Times New Roman"/>
          <w:sz w:val="20"/>
          <w:szCs w:val="20"/>
        </w:rPr>
        <w:fldChar w:fldCharType="begin"/>
      </w:r>
      <w:r w:rsidRPr="00CF1F78">
        <w:rPr>
          <w:rFonts w:ascii="Times New Roman" w:hAnsi="Times New Roman" w:cs="Times New Roman"/>
          <w:sz w:val="20"/>
          <w:szCs w:val="20"/>
        </w:rPr>
        <w:instrText xml:space="preserve"> SEQ Table \* ARABIC </w:instrText>
      </w:r>
      <w:r w:rsidRPr="00CF1F78">
        <w:rPr>
          <w:rFonts w:ascii="Times New Roman" w:hAnsi="Times New Roman" w:cs="Times New Roman"/>
          <w:sz w:val="20"/>
          <w:szCs w:val="20"/>
        </w:rPr>
        <w:fldChar w:fldCharType="separate"/>
      </w:r>
      <w:r w:rsidR="00346A87">
        <w:rPr>
          <w:rFonts w:ascii="Times New Roman" w:hAnsi="Times New Roman" w:cs="Times New Roman"/>
          <w:noProof/>
          <w:sz w:val="20"/>
          <w:szCs w:val="20"/>
        </w:rPr>
        <w:t>2</w:t>
      </w:r>
      <w:r w:rsidRPr="00CF1F78">
        <w:rPr>
          <w:rFonts w:ascii="Times New Roman" w:hAnsi="Times New Roman" w:cs="Times New Roman"/>
          <w:sz w:val="20"/>
          <w:szCs w:val="20"/>
        </w:rPr>
        <w:fldChar w:fldCharType="end"/>
      </w:r>
      <w:r w:rsidRPr="00CF1F78">
        <w:rPr>
          <w:rFonts w:ascii="Times New Roman" w:hAnsi="Times New Roman" w:cs="Times New Roman"/>
          <w:sz w:val="20"/>
          <w:szCs w:val="20"/>
        </w:rPr>
        <w:t xml:space="preserve"> : Representative two-component LER values from experimental and modelling studies in the agrivoltaic literature.</w:t>
      </w:r>
    </w:p>
    <w:tbl>
      <w:tblPr>
        <w:tblStyle w:val="TableGrid"/>
        <w:tblW w:w="0" w:type="auto"/>
        <w:jc w:val="center"/>
        <w:tblLook w:val="04A0" w:firstRow="1" w:lastRow="0" w:firstColumn="1" w:lastColumn="0" w:noHBand="0" w:noVBand="1"/>
      </w:tblPr>
      <w:tblGrid>
        <w:gridCol w:w="2310"/>
        <w:gridCol w:w="1066"/>
        <w:gridCol w:w="1311"/>
        <w:gridCol w:w="983"/>
        <w:gridCol w:w="2105"/>
      </w:tblGrid>
      <w:tr w:rsidR="005C6492" w:rsidRPr="00324F6F" w14:paraId="21F9593A" w14:textId="77777777" w:rsidTr="003A705B">
        <w:trPr>
          <w:jc w:val="center"/>
        </w:trPr>
        <w:tc>
          <w:tcPr>
            <w:tcW w:w="0" w:type="auto"/>
          </w:tcPr>
          <w:p w14:paraId="0314CBEB"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Study</w:t>
            </w:r>
          </w:p>
        </w:tc>
        <w:tc>
          <w:tcPr>
            <w:tcW w:w="0" w:type="auto"/>
          </w:tcPr>
          <w:p w14:paraId="4FDFB59C"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Location</w:t>
            </w:r>
          </w:p>
        </w:tc>
        <w:tc>
          <w:tcPr>
            <w:tcW w:w="0" w:type="auto"/>
          </w:tcPr>
          <w:p w14:paraId="54470733"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Crop</w:t>
            </w:r>
          </w:p>
        </w:tc>
        <w:tc>
          <w:tcPr>
            <w:tcW w:w="0" w:type="auto"/>
          </w:tcPr>
          <w:p w14:paraId="43EC2517"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LER</w:t>
            </w:r>
          </w:p>
        </w:tc>
        <w:tc>
          <w:tcPr>
            <w:tcW w:w="0" w:type="auto"/>
          </w:tcPr>
          <w:p w14:paraId="5557BCF8"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System Type</w:t>
            </w:r>
          </w:p>
        </w:tc>
      </w:tr>
      <w:tr w:rsidR="005C6492" w:rsidRPr="00324F6F" w14:paraId="2AA269F1" w14:textId="77777777" w:rsidTr="003A705B">
        <w:trPr>
          <w:jc w:val="center"/>
        </w:trPr>
        <w:tc>
          <w:tcPr>
            <w:tcW w:w="0" w:type="auto"/>
          </w:tcPr>
          <w:p w14:paraId="75E0C575"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{"citationID":"v8dXIx6q","properties":{"unsorted":false,"formattedCitation":"(Dupraz et al., 2011)","plainCitation":"(Dupraz et al., 2011)","noteIndex":0},"citationItems":[{"id":21,"uris":["http://zotero.org/users/local/i6bXxmSk/items/LN5ZHBFE"],"itemData":{"id":21,"type":"article-journal","abstract":"The need for new sources of renewable energies and the rising price of fossil fuels have induced the hope that agricultural crops may be a source of renewable energy for the future. We question in this paper the best strategies to convert solar radiation into both energy and food. The intrinsic efﬁciency of the photosynthetic process is quite low (around 3%) while commercially available monocristalline solar photovoltaic (PV) panels have an average yield of 15%. Therefore huge arrays of solar panels are now envisaged. Solar plants using PV panels will therefore compete with agriculture for land. In this paper, we suggest that a combination of solar panels and food crops on the same land unit may maximise the land use. We suggest to call this an agrivoltaic system. We used Land Equivalent Ratios to compare conventional options (separation of agriculture and energy harvesting) and two agrivoltaic systems with different densities of PV panels. We modelled the light transmission at the crop level by an array of solar panels and used a crop model to predict the productivity of the partially shaded crops. These preliminary results indicate that agrivoltaic systems may be very efﬁcient: a 35e73% increase of global land productivity was predicted for the two densities of PV panels. Facilitation mechanisms similar to those evidenced in agroforestry systems may explain the advantage of such mixed systems. New solar plants may therefore combine electricity production with food production, especially in countries where cropping land is scarce. There is a need to validate the hypotheses included in our models and provide a proof of the concept by monitoring prototypes of agrivoltaic systems.","container-title":"Renewable Energy","DOI":"10.1016/j.renene.2011.03.005","ISSN":"09601481","issue":"10","journalAbbreviation":"Renewable Energy","language":"en","license":"https://www.elsevier.com/tdm/userlicense/1.0/","page":"2725-2732","source":"DOI.org (Crossref)","title":"Combining solar photovoltaic panels and food crops for optimising land use: Towards new agrivoltaic schemes","title-short":"Combining solar photovoltaic panels and food crops for optimising land use","volume":"36","author":[{"family":"Dupraz","given":"C."},{"family":"Marrou","given":"H."},{"family":"Talbot","given":"G."},{"family":"Dufour","given":"L."},{"family":"Nogier","given":"A."},{"family":"Ferard","given":"Y."}],"issued":{"date-parts":[["2011",10]]}}}],"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(Dupraz et al., 2011)</w:t>
            </w:r>
            <w:r w:rsidRPr="00324F6F">
              <w:rPr>
                <w:rFonts w:ascii="Times New Roman" w:hAnsi="Times New Roman" w:cs="Times New Roman"/>
                <w:sz w:val="20"/>
                <w:szCs w:val="20"/>
              </w:rPr>
              <w:fldChar w:fldCharType="end"/>
            </w:r>
          </w:p>
        </w:tc>
        <w:tc>
          <w:tcPr>
            <w:tcW w:w="0" w:type="auto"/>
          </w:tcPr>
          <w:p w14:paraId="4B040CF8"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France</w:t>
            </w:r>
          </w:p>
        </w:tc>
        <w:tc>
          <w:tcPr>
            <w:tcW w:w="0" w:type="auto"/>
          </w:tcPr>
          <w:p w14:paraId="75725C7C"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Durum wheat</w:t>
            </w:r>
          </w:p>
        </w:tc>
        <w:tc>
          <w:tcPr>
            <w:tcW w:w="0" w:type="auto"/>
          </w:tcPr>
          <w:p w14:paraId="3F52EB72"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1.35</w:t>
            </w:r>
          </w:p>
        </w:tc>
        <w:tc>
          <w:tcPr>
            <w:tcW w:w="0" w:type="auto"/>
          </w:tcPr>
          <w:p w14:paraId="6B1F4B8E" w14:textId="57A60122"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Fixed-tilt</w:t>
            </w:r>
            <w:r w:rsidR="00A874B6">
              <w:rPr>
                <w:rFonts w:ascii="Times New Roman" w:hAnsi="Times New Roman" w:cs="Times New Roman"/>
                <w:sz w:val="20"/>
                <w:szCs w:val="20"/>
              </w:rPr>
              <w:t>, modelled</w:t>
            </w:r>
          </w:p>
        </w:tc>
      </w:tr>
      <w:tr w:rsidR="005C6492" w:rsidRPr="00324F6F" w14:paraId="47064636" w14:textId="77777777" w:rsidTr="003A705B">
        <w:trPr>
          <w:jc w:val="center"/>
        </w:trPr>
        <w:tc>
          <w:tcPr>
            <w:tcW w:w="0" w:type="auto"/>
          </w:tcPr>
          <w:p w14:paraId="33C716FF"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{"citationID":"PiXXslJH","properties":{"unsorted":false,"formattedCitation":"(Amaducci et al., 2018)","plainCitation":"(Amaducci et al., 2018)","noteIndex":0},"citationItems":[{"id":55,"uris":["http://zotero.org/users/local/i6bXxmSk/items/M3FQHATE"],"itemData":{"id":55,"type":"article-journal","abstract":"A system combining soil grown crops with photovoltaic panels (PV) installed several meters above the ground is referred to as agrivoltaic systems. In this work a patented agrivoltaic solar tracking system named Agrovoltaico®, was examined in combination with a maize crop in a simulation study. To this purpose a software platform was developed coupling a radiation and shading model to the generic crop growth simulator GECROS. The simulation was conducted using a 40-year climate dataset from a location in North Italy, rainfed maize and diﬀerent Agrovoltaico conﬁgurations (that diﬀer according to panel density and sun-tracking set up). Control simulations for an irrigated maize crop under full light were added to results.","container-title":"Applied Energy","DOI":"10.1016/j.apenergy.2018.03.081","ISSN":"03062619","journalAbbreviation":"Applied Energy","language":"en","page":"545-561","source":"DOI.org (Crossref)","title":"Agrivoltaic systems to optimise land use for electric energy production","volume":"220","author":[{"family":"Amaducci","given":"Stefano"},{"family":"Yin","given":"Xinyou"},{"family":"Colauzzi","given":"Michele"}],"issued":{"date-parts":[["2018",6]]}}}],"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(Amaducci et al., 2018)</w:t>
            </w:r>
            <w:r w:rsidRPr="00324F6F">
              <w:rPr>
                <w:rFonts w:ascii="Times New Roman" w:hAnsi="Times New Roman" w:cs="Times New Roman"/>
                <w:sz w:val="20"/>
                <w:szCs w:val="20"/>
              </w:rPr>
              <w:fldChar w:fldCharType="end"/>
            </w:r>
          </w:p>
        </w:tc>
        <w:tc>
          <w:tcPr>
            <w:tcW w:w="0" w:type="auto"/>
          </w:tcPr>
          <w:p w14:paraId="77CA034F"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Italy</w:t>
            </w:r>
          </w:p>
        </w:tc>
        <w:tc>
          <w:tcPr>
            <w:tcW w:w="0" w:type="auto"/>
          </w:tcPr>
          <w:p w14:paraId="1BEDE344"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Maize</w:t>
            </w:r>
          </w:p>
        </w:tc>
        <w:tc>
          <w:tcPr>
            <w:tcW w:w="0" w:type="auto"/>
          </w:tcPr>
          <w:p w14:paraId="10345B08" w14:textId="77777777"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1.28</w:t>
            </w:r>
          </w:p>
        </w:tc>
        <w:tc>
          <w:tcPr>
            <w:tcW w:w="0" w:type="auto"/>
          </w:tcPr>
          <w:p w14:paraId="439505A4" w14:textId="0CEEEB9D" w:rsidR="005C6492" w:rsidRPr="00324F6F" w:rsidRDefault="005C6492"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Fixed-tilt</w:t>
            </w:r>
            <w:r w:rsidR="009603AB">
              <w:rPr>
                <w:rFonts w:ascii="Times New Roman" w:hAnsi="Times New Roman" w:cs="Times New Roman"/>
                <w:sz w:val="20"/>
                <w:szCs w:val="20"/>
              </w:rPr>
              <w:t>, experimental</w:t>
            </w:r>
          </w:p>
        </w:tc>
      </w:tr>
      <w:tr w:rsidR="00F31C16" w:rsidRPr="00324F6F" w14:paraId="2653F004" w14:textId="77777777" w:rsidTr="003A705B">
        <w:trPr>
          <w:jc w:val="center"/>
        </w:trPr>
        <w:tc>
          <w:tcPr>
            <w:tcW w:w="0" w:type="auto"/>
          </w:tcPr>
          <w:p w14:paraId="14D5BDF5" w14:textId="2FAE96EA"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lastRenderedPageBreak/>
              <w:fldChar w:fldCharType="begin"/>
            </w:r>
            <w:r w:rsidRPr="00324F6F">
              <w:rPr>
                <w:rFonts w:ascii="Times New Roman" w:hAnsi="Times New Roman" w:cs="Times New Roman"/>
                <w:sz w:val="20"/>
                <w:szCs w:val="20"/>
              </w:rPr>
              <w:instrText xml:space="preserve"> ADDIN ZOTERO_ITEM CSL_CITATION {"citationID":"ua3Smh6X","properties":{"unsorted":false,"formattedCitation":"(Mohammedi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(Mohammedi et al., 2023)</w:t>
            </w:r>
            <w:r w:rsidRPr="00324F6F">
              <w:rPr>
                <w:rFonts w:ascii="Times New Roman" w:hAnsi="Times New Roman" w:cs="Times New Roman"/>
                <w:sz w:val="20"/>
                <w:szCs w:val="20"/>
              </w:rPr>
              <w:fldChar w:fldCharType="end"/>
            </w:r>
          </w:p>
        </w:tc>
        <w:tc>
          <w:tcPr>
            <w:tcW w:w="0" w:type="auto"/>
          </w:tcPr>
          <w:p w14:paraId="66E51101" w14:textId="57E059EF"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Italy</w:t>
            </w:r>
          </w:p>
        </w:tc>
        <w:tc>
          <w:tcPr>
            <w:tcW w:w="0" w:type="auto"/>
          </w:tcPr>
          <w:p w14:paraId="7CCA4B9F" w14:textId="54E7183D"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Tomato</w:t>
            </w:r>
          </w:p>
        </w:tc>
        <w:tc>
          <w:tcPr>
            <w:tcW w:w="0" w:type="auto"/>
          </w:tcPr>
          <w:p w14:paraId="77C4010E" w14:textId="4099C403"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1.42</w:t>
            </w:r>
          </w:p>
        </w:tc>
        <w:tc>
          <w:tcPr>
            <w:tcW w:w="0" w:type="auto"/>
          </w:tcPr>
          <w:p w14:paraId="35695E50" w14:textId="6601777C"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Fixed-tilt</w:t>
            </w:r>
            <w:r>
              <w:rPr>
                <w:rFonts w:ascii="Times New Roman" w:hAnsi="Times New Roman" w:cs="Times New Roman"/>
                <w:sz w:val="20"/>
                <w:szCs w:val="20"/>
              </w:rPr>
              <w:t>, experimental</w:t>
            </w:r>
          </w:p>
        </w:tc>
      </w:tr>
      <w:tr w:rsidR="00F31C16" w:rsidRPr="00324F6F" w14:paraId="602B20C2" w14:textId="77777777" w:rsidTr="003A705B">
        <w:trPr>
          <w:jc w:val="center"/>
        </w:trPr>
        <w:tc>
          <w:tcPr>
            <w:tcW w:w="0" w:type="auto"/>
          </w:tcPr>
          <w:p w14:paraId="56C05318"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{"citationID":"iiMFAhwG","properties":{"unsorted":false,"formattedCitation":"(Riaz et al., 2022)","plainCitation":"(Riaz et al., 2022)","noteIndex":0},"citationItems":[{"id":45,"uris":["http://zotero.org/users/local/i6bXxmSk/items/TDSGZE5E"],"itemData":{"id":45,"type":"article-journal","abstract":"Agrivoltaics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(Riaz et al., 2022)</w:t>
            </w:r>
            <w:r w:rsidRPr="00324F6F">
              <w:rPr>
                <w:rFonts w:ascii="Times New Roman" w:hAnsi="Times New Roman" w:cs="Times New Roman"/>
                <w:sz w:val="20"/>
                <w:szCs w:val="20"/>
              </w:rPr>
              <w:fldChar w:fldCharType="end"/>
            </w:r>
          </w:p>
        </w:tc>
        <w:tc>
          <w:tcPr>
            <w:tcW w:w="0" w:type="auto"/>
          </w:tcPr>
          <w:p w14:paraId="2B409284"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USA (AZ)</w:t>
            </w:r>
          </w:p>
        </w:tc>
        <w:tc>
          <w:tcPr>
            <w:tcW w:w="0" w:type="auto"/>
          </w:tcPr>
          <w:p w14:paraId="6741A0C7"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Tomato</w:t>
            </w:r>
          </w:p>
        </w:tc>
        <w:tc>
          <w:tcPr>
            <w:tcW w:w="0" w:type="auto"/>
          </w:tcPr>
          <w:p w14:paraId="5BC1CF6D"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1.94</w:t>
            </w:r>
          </w:p>
        </w:tc>
        <w:tc>
          <w:tcPr>
            <w:tcW w:w="0" w:type="auto"/>
          </w:tcPr>
          <w:p w14:paraId="353F8056"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Bifacial, optimized</w:t>
            </w:r>
          </w:p>
        </w:tc>
      </w:tr>
      <w:tr w:rsidR="00F31C16" w:rsidRPr="00324F6F" w14:paraId="5E87EEE0" w14:textId="77777777" w:rsidTr="003A705B">
        <w:trPr>
          <w:jc w:val="center"/>
        </w:trPr>
        <w:tc>
          <w:tcPr>
            <w:tcW w:w="0" w:type="auto"/>
          </w:tcPr>
          <w:p w14:paraId="7194912F"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{"citationID":"leZWddy3","properties":{"unsorted":false,"formattedCitation":"(Mazzeo et al., 2025)","plainCitation":"(Mazzeo et al., 2025)","noteIndex":0},"citationItems":[{"id":53,"uris":["http://zotero.org/users/local/i6bXxmSk/items/HVMHVHMR"],"itemData":{"id":53,"type":"article","abstract":"The rapid expansion of photovoltaic (PV) systems is essential for decarbonizing energy systems but raises concerns about competing with agriculture for arable land. Agrivoltaic (APV) systems offer a sustainable solution by integrating PV installations with agriculture on the same land. However, adoption is constrained by a limited understanding of design parameters and their effects on energy and crop productivity. This study presents a simulation framework to evaluate open-field APV systems, focusing on the impacts of ground coverage ratio (GCR), clearance height, and tracking configurations on solar irradiance distribution, crop yield, and solar energy generation. The Land Equivalent Ratio (LER) was employed to assess the combined productivity of agricultural output and solar energy generation. Scenarios are modeled for temperate climates, examining three crops (lettuce, turnip, and maize) alongside bifacial PV systems with fixed and tracking designs. Results showed that design parameters significantly affect shading and light distribution. Higher clearance heights and lower GCRs enhance agricultural productivity, particularly for shade-sensitive crops like maize, though slightly reducing energy yields. LER values ranged from 1.04 to 2.05 for the GCR variable between 0.6 and 0.2, demonstrating that APV systems are more productive than conventional land use. These insights support optimizing APV designs, aiding policymakers and developers in aligning renewable energy goals with agricultural sustainability.","DOI":"10.2139/ssrn.5082169","language":"en","publisher":"SSRN","source":"DOI.org (Crossref)","title":"Optimizing Agrivoltaic Systems: A Comprehensive Analysis of Design, Crop Productivity and Energy Performance in Open-Field Configurations","title-short":"Optimizing Agrivoltaic Systems","URL":"https://www.ssrn.com/abstract=5082169","author":[{"family":"Mazzeo","given":"Domenico"},{"family":"Di Zio","given":"Andrea"},{"family":"Pesenti","given":"Claudio"},{"family":"Leva","given":"Sonia"}],"accessed":{"date-parts":[["2026",4,3]]},"issued":{"date-parts":[["2025"]]}}}],"schema":"https://github.com/citation-style-language/schema/raw/master/csl-citation.json"}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(Mazzeo et al., 2025)</w:t>
            </w:r>
            <w:r w:rsidRPr="00324F6F">
              <w:rPr>
                <w:rFonts w:ascii="Times New Roman" w:hAnsi="Times New Roman" w:cs="Times New Roman"/>
                <w:sz w:val="20"/>
                <w:szCs w:val="20"/>
              </w:rPr>
              <w:fldChar w:fldCharType="end"/>
            </w:r>
          </w:p>
        </w:tc>
        <w:tc>
          <w:tcPr>
            <w:tcW w:w="0" w:type="auto"/>
          </w:tcPr>
          <w:p w14:paraId="6B92A8B0"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Italy</w:t>
            </w:r>
          </w:p>
        </w:tc>
        <w:tc>
          <w:tcPr>
            <w:tcW w:w="0" w:type="auto"/>
          </w:tcPr>
          <w:p w14:paraId="745E6870"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Lettuce</w:t>
            </w:r>
          </w:p>
        </w:tc>
        <w:tc>
          <w:tcPr>
            <w:tcW w:w="0" w:type="auto"/>
          </w:tcPr>
          <w:p w14:paraId="64D97E4E"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1.85</w:t>
            </w:r>
          </w:p>
        </w:tc>
        <w:tc>
          <w:tcPr>
            <w:tcW w:w="0" w:type="auto"/>
          </w:tcPr>
          <w:p w14:paraId="06CF6CA7" w14:textId="3505356F"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Open-field</w:t>
            </w:r>
            <w:r>
              <w:rPr>
                <w:rFonts w:ascii="Times New Roman" w:hAnsi="Times New Roman" w:cs="Times New Roman"/>
                <w:sz w:val="20"/>
                <w:szCs w:val="20"/>
              </w:rPr>
              <w:t>, optimized</w:t>
            </w:r>
          </w:p>
        </w:tc>
      </w:tr>
      <w:tr w:rsidR="00F31C16" w:rsidRPr="00324F6F" w14:paraId="6A014079" w14:textId="77777777" w:rsidTr="003A705B">
        <w:trPr>
          <w:jc w:val="center"/>
        </w:trPr>
        <w:tc>
          <w:tcPr>
            <w:tcW w:w="0" w:type="auto"/>
          </w:tcPr>
          <w:p w14:paraId="1E9C43E7"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{"citationID":"R2WuChgr","properties":{"unsorted":false,"formattedCitation":"(Semeraro et al., 2024)","plainCitation":"(Semeraro et al., 2024)","noteIndex":0},"citationItems":[{"id":49,"uris":["http://zotero.org/users/local/i6bXxmSk/items/IWU4GWTD"],"itemData":{"id":49,"type":"article-journal","container-title":"Applied Energy","DOI":"10.1016/j.apenergy.2023.122565","ISSN":"03062619","journalAbbreviation":"Applied Energy","language":"en","page":"122565","source":"DOI.org (Crossref)","title":"Shading effects in agrivoltaic systems can make the difference in boosting food security in climate change","volume":"358","author":[{"family":"Semeraro","given":"Teodoro"},{"family":"Scarano","given":"Aurelia"},{"family":"Curci","given":"Lorenzo Maria"},{"family":"Leggieri","given":"Angelo"},{"family":"Lenucci","given":"Marcello"},{"family":"Basset","given":"Alberto"},{"family":"Santino","given":"Angelo"},{"family":"Piro","given":"Gabriella"},{"family":"De Caroli","given":"Monica"}],"issued":{"date-parts":[["2024",3]]}}}],"schema":"https://github.com/citation-style-language/schema/raw/master/csl-citation.json"}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(Semeraro et al., 2024)</w:t>
            </w:r>
            <w:r w:rsidRPr="00324F6F">
              <w:rPr>
                <w:rFonts w:ascii="Times New Roman" w:hAnsi="Times New Roman" w:cs="Times New Roman"/>
                <w:sz w:val="20"/>
                <w:szCs w:val="20"/>
              </w:rPr>
              <w:fldChar w:fldCharType="end"/>
            </w:r>
          </w:p>
        </w:tc>
        <w:tc>
          <w:tcPr>
            <w:tcW w:w="0" w:type="auto"/>
          </w:tcPr>
          <w:p w14:paraId="6BE5B74D"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Multi-site</w:t>
            </w:r>
          </w:p>
        </w:tc>
        <w:tc>
          <w:tcPr>
            <w:tcW w:w="0" w:type="auto"/>
          </w:tcPr>
          <w:p w14:paraId="66B602A0"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Various</w:t>
            </w:r>
          </w:p>
        </w:tc>
        <w:tc>
          <w:tcPr>
            <w:tcW w:w="0" w:type="auto"/>
          </w:tcPr>
          <w:p w14:paraId="6F8FA57D"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1.20-1.60</w:t>
            </w:r>
          </w:p>
        </w:tc>
        <w:tc>
          <w:tcPr>
            <w:tcW w:w="0" w:type="auto"/>
          </w:tcPr>
          <w:p w14:paraId="74CCA5CB" w14:textId="77777777" w:rsidR="00F31C16" w:rsidRPr="00324F6F" w:rsidRDefault="00F31C16" w:rsidP="00F31C16">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Meta-analysis</w:t>
            </w:r>
          </w:p>
        </w:tc>
      </w:tr>
    </w:tbl>
    <w:p w14:paraId="2E201A74" w14:textId="77777777" w:rsidR="003C7ED9" w:rsidRDefault="003C7ED9" w:rsidP="00DB6DD1">
      <w:pPr>
        <w:spacing w:line="360" w:lineRule="auto"/>
        <w:jc w:val="both"/>
        <w:rPr>
          <w:rFonts w:ascii="Times New Roman" w:hAnsi="Times New Roman" w:cs="Times New Roman"/>
          <w:sz w:val="24"/>
          <w:szCs w:val="24"/>
        </w:rPr>
      </w:pPr>
    </w:p>
    <w:p w14:paraId="60DC6B7F" w14:textId="77777777" w:rsidR="005C6492" w:rsidRDefault="005C6492" w:rsidP="00DB6DD1">
      <w:pPr>
        <w:spacing w:line="360" w:lineRule="auto"/>
        <w:jc w:val="both"/>
        <w:rPr>
          <w:rFonts w:ascii="Times New Roman" w:hAnsi="Times New Roman" w:cs="Times New Roman"/>
          <w:sz w:val="24"/>
          <w:szCs w:val="24"/>
        </w:rPr>
      </w:pPr>
    </w:p>
    <w:p w14:paraId="43921EBF" w14:textId="44220516"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2.2. Anaerobic Digestion of Agricultural Residues</w:t>
      </w:r>
    </w:p>
    <w:p w14:paraId="6FCE3352" w14:textId="2F3008FC" w:rsidR="00DB6DD1" w:rsidRP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Anaerobic digestion is a well-established biological process for converting organic waste into two co-products: biogas — primarily methane and carbon dioxide — and digestate, a nutrient-rich slurry that can serve as a biofertilizer </w:t>
      </w:r>
      <w:r w:rsidR="00D44719">
        <w:rPr>
          <w:rFonts w:ascii="Times New Roman" w:hAnsi="Times New Roman" w:cs="Times New Roman"/>
          <w:sz w:val="24"/>
          <w:szCs w:val="24"/>
        </w:rPr>
        <w:fldChar w:fldCharType="begin"/>
      </w:r>
      <w:r w:rsidR="00D44719">
        <w:rPr>
          <w:rFonts w:ascii="Times New Roman" w:hAnsi="Times New Roman" w:cs="Times New Roman"/>
          <w:sz w:val="24"/>
          <w:szCs w:val="24"/>
        </w:rPr>
        <w:instrText xml:space="preserve"> ADDIN ZOTERO_ITEM CSL_CITATION {"citationID":"W2lElmng","properties":{"unsorted":false,"formattedCitation":"(Angelidaki et al., 2009)","plainCitation":"(Angelidaki et al., 2009)","noteIndex":0},"citationItems":[{"id":57,"uris":["http://zotero.org/users/local/i6bXxmSk/items/AVDVQ6RJ"],"itemData":{"id":57,"type":"article-journal","abstract":"The application of anaerobic digestion technology is growing worldwide because of its economic and environmental benefits. As a consequence, a number of studies and research activities dealing with the determination of the biogas potential of solid organic substrates have been carrying out in the recent years. Therefore, it is of particular importance to define a protocol for the determination of the ultimate methane potential for a given solid substrates. In fact, this parameter determines, to a certain extent, both design and economic details of a biogas plant. Furthermore, the definition of common units to be used in anaerobic assays is increasingly requested from the scientific and engineering community. This paper presents some guidelines for biomethane potential assays prepared by the Task Group for the Anaerobic Biodegradation, Activity and Inhibition Assays of the Anaerobic Digestion Specialist Group of the International Water Association. This is the first step for the definition of a standard protocol.","container-title":"Water Science and Technology","DOI":"10.2166/wst.2009.040","ISSN":"0273-1223, 1996-9732","issue":"5","language":"en","page":"927-934","source":"DOI.org (Crossref)","title":"Defining the biomethane potential (BMP) of solid organic wastes and energy crops: a proposed protocol for batch assays","title-short":"Defining the biomethane potential (BMP) of solid organic wastes and energy crops","volume":"59","author":[{"family":"Angelidaki","given":"I."},{"family":"Alves","given":"M."},{"family":"Bolzonella","given":"D."},{"family":"Borzacconi","given":"L."},{"family":"Campos","given":"J. L."},{"family":"Guwy","given":"A. J."},{"family":"Kalyuzhnyi","given":"S."},{"family":"Jenicek","given":"P."},{"family":"Van Lier","given":"J. B."}],"issued":{"date-parts":[["2009",3,1]]}}}],"schema":"https://github.com/citation-style-language/schema/raw/master/csl-citation.json"} </w:instrText>
      </w:r>
      <w:r w:rsidR="00D44719">
        <w:rPr>
          <w:rFonts w:ascii="Times New Roman" w:hAnsi="Times New Roman" w:cs="Times New Roman"/>
          <w:sz w:val="24"/>
          <w:szCs w:val="24"/>
        </w:rPr>
        <w:fldChar w:fldCharType="separate"/>
      </w:r>
      <w:r w:rsidR="00D44719" w:rsidRPr="00D44719">
        <w:rPr>
          <w:rFonts w:ascii="Calibri" w:hAnsi="Calibri" w:cs="Calibri"/>
          <w:sz w:val="24"/>
        </w:rPr>
        <w:t>(Angelidaki et al., 2009)</w:t>
      </w:r>
      <w:r w:rsidR="00D44719">
        <w:rPr>
          <w:rFonts w:ascii="Times New Roman" w:hAnsi="Times New Roman" w:cs="Times New Roman"/>
          <w:sz w:val="24"/>
          <w:szCs w:val="24"/>
        </w:rPr>
        <w:fldChar w:fldCharType="end"/>
      </w:r>
      <w:r w:rsidRPr="00DB6DD1">
        <w:rPr>
          <w:rFonts w:ascii="Times New Roman" w:hAnsi="Times New Roman" w:cs="Times New Roman"/>
          <w:sz w:val="24"/>
          <w:szCs w:val="24"/>
        </w:rPr>
        <w:t>. In agricultural contexts, AD serves the dual function of managing residues that would otherwise represent a disposal burden and generating renewable energy that can be stored and dispatched on demand. This dispatchability is what makes AD particularly attractive as a complement to the intermittent output of photovoltaic systems.</w:t>
      </w:r>
    </w:p>
    <w:p w14:paraId="76E51708" w14:textId="77777777" w:rsidR="003C7ED9" w:rsidRDefault="003C7ED9" w:rsidP="00DB6DD1">
      <w:pPr>
        <w:spacing w:line="360" w:lineRule="auto"/>
        <w:jc w:val="both"/>
        <w:rPr>
          <w:rFonts w:ascii="Times New Roman" w:hAnsi="Times New Roman" w:cs="Times New Roman"/>
          <w:sz w:val="24"/>
          <w:szCs w:val="24"/>
        </w:rPr>
      </w:pPr>
    </w:p>
    <w:p w14:paraId="398C0D4E" w14:textId="7425D687"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2.2.1. Feedstock characterization and methane potential</w:t>
      </w:r>
    </w:p>
    <w:p w14:paraId="2EBCC416" w14:textId="43A8B223" w:rsidR="003C7ED9" w:rsidRPr="00F01607" w:rsidRDefault="00DB6DD1" w:rsidP="00F0160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biochemical methane potential (BMP) quantifies the maximum volumetric methane yield per unit of volatile solids in a substrate under controlled conditions, and it is the central parameter linking feedstock composition to energy output </w:t>
      </w:r>
      <w:r w:rsidR="00237624">
        <w:rPr>
          <w:rFonts w:ascii="Times New Roman" w:hAnsi="Times New Roman" w:cs="Times New Roman"/>
          <w:sz w:val="24"/>
          <w:szCs w:val="24"/>
        </w:rPr>
        <w:fldChar w:fldCharType="begin"/>
      </w:r>
      <w:r w:rsidR="00237624">
        <w:rPr>
          <w:rFonts w:ascii="Times New Roman" w:hAnsi="Times New Roman" w:cs="Times New Roman"/>
          <w:sz w:val="24"/>
          <w:szCs w:val="24"/>
        </w:rPr>
        <w:instrText xml:space="preserve"> ADDIN ZOTERO_ITEM CSL_CITATION {"citationID":"vRZctlag","properties":{"unsorted":false,"formattedCitation":"(Angelidaki et al., 2009)","plainCitation":"(Angelidaki et al., 2009)","noteIndex":0},"citationItems":[{"id":57,"uris":["http://zotero.org/users/local/i6bXxmSk/items/AVDVQ6RJ"],"itemData":{"id":57,"type":"article-journal","abstract":"The application of anaerobic digestion technology is growing worldwide because of its economic and environmental benefits. As a consequence, a number of studies and research activities dealing with the determination of the biogas potential of solid organic substrates have been carrying out in the recent years. Therefore, it is of particular importance to define a protocol for the determination of the ultimate methane potential for a given solid substrates. In fact, this parameter determines, to a certain extent, both design and economic details of a biogas plant. Furthermore, the definition of common units to be used in anaerobic assays is increasingly requested from the scientific and engineering community. This paper presents some guidelines for biomethane potential assays prepared by the Task Group for the Anaerobic Biodegradation, Activity and Inhibition Assays of the Anaerobic Digestion Specialist Group of the International Water Association. This is the first step for the definition of a standard protocol.","container-title":"Water Science and Technology","DOI":"10.2166/wst.2009.040","ISSN":"0273-1223, 1996-9732","issue":"5","language":"en","page":"927-934","source":"DOI.org (Crossref)","title":"Defining the biomethane potential (BMP) of solid organic wastes and energy crops: a proposed protocol for batch assays","title-short":"Defining the biomethane potential (BMP) of solid organic wastes and energy crops","volume":"59","author":[{"family":"Angelidaki","given":"I."},{"family":"Alves","given":"M."},{"family":"Bolzonella","given":"D."},{"family":"Borzacconi","given":"L."},{"family":"Campos","given":"J. L."},{"family":"Guwy","given":"A. J."},{"family":"Kalyuzhnyi","given":"S."},{"family":"Jenicek","given":"P."},{"family":"Van Lier","given":"J. B."}],"issued":{"date-parts":[["2009",3,1]]}}}],"schema":"https://github.com/citation-style-language/schema/raw/master/csl-citation.json"} </w:instrText>
      </w:r>
      <w:r w:rsidR="00237624">
        <w:rPr>
          <w:rFonts w:ascii="Times New Roman" w:hAnsi="Times New Roman" w:cs="Times New Roman"/>
          <w:sz w:val="24"/>
          <w:szCs w:val="24"/>
        </w:rPr>
        <w:fldChar w:fldCharType="separate"/>
      </w:r>
      <w:r w:rsidR="00237624" w:rsidRPr="00237624">
        <w:rPr>
          <w:rFonts w:ascii="Calibri" w:hAnsi="Calibri" w:cs="Calibri"/>
          <w:sz w:val="24"/>
        </w:rPr>
        <w:t>(Angelidaki et al., 2009)</w:t>
      </w:r>
      <w:r w:rsidR="00237624">
        <w:rPr>
          <w:rFonts w:ascii="Times New Roman" w:hAnsi="Times New Roman" w:cs="Times New Roman"/>
          <w:sz w:val="24"/>
          <w:szCs w:val="24"/>
        </w:rPr>
        <w:fldChar w:fldCharType="end"/>
      </w:r>
      <w:r w:rsidRPr="00DB6DD1">
        <w:rPr>
          <w:rFonts w:ascii="Times New Roman" w:hAnsi="Times New Roman" w:cs="Times New Roman"/>
          <w:sz w:val="24"/>
          <w:szCs w:val="24"/>
        </w:rPr>
        <w:t xml:space="preserve">. </w:t>
      </w:r>
      <w:r w:rsidR="004A0471">
        <w:rPr>
          <w:rFonts w:ascii="Times New Roman" w:hAnsi="Times New Roman" w:cs="Times New Roman"/>
          <w:sz w:val="24"/>
          <w:szCs w:val="24"/>
        </w:rPr>
        <w:fldChar w:fldCharType="begin"/>
      </w:r>
      <w:r w:rsidR="004A0471">
        <w:rPr>
          <w:rFonts w:ascii="Times New Roman" w:hAnsi="Times New Roman" w:cs="Times New Roman"/>
          <w:sz w:val="24"/>
          <w:szCs w:val="24"/>
        </w:rPr>
        <w:instrText xml:space="preserve"> REF _Ref226714527 \h  \* MERGEFORMAT </w:instrText>
      </w:r>
      <w:r w:rsidR="004A0471">
        <w:rPr>
          <w:rFonts w:ascii="Times New Roman" w:hAnsi="Times New Roman" w:cs="Times New Roman"/>
          <w:sz w:val="24"/>
          <w:szCs w:val="24"/>
        </w:rPr>
      </w:r>
      <w:r w:rsidR="004A0471">
        <w:rPr>
          <w:rFonts w:ascii="Times New Roman" w:hAnsi="Times New Roman" w:cs="Times New Roman"/>
          <w:sz w:val="24"/>
          <w:szCs w:val="24"/>
        </w:rPr>
        <w:fldChar w:fldCharType="separate"/>
      </w:r>
      <w:r w:rsidR="004A0471" w:rsidRPr="004A0471">
        <w:rPr>
          <w:rFonts w:ascii="Times New Roman" w:hAnsi="Times New Roman" w:cs="Times New Roman"/>
          <w:sz w:val="24"/>
          <w:szCs w:val="24"/>
        </w:rPr>
        <w:t>Table 3</w:t>
      </w:r>
      <w:r w:rsidR="004A0471">
        <w:rPr>
          <w:rFonts w:ascii="Times New Roman" w:hAnsi="Times New Roman" w:cs="Times New Roman"/>
          <w:sz w:val="24"/>
          <w:szCs w:val="24"/>
        </w:rPr>
        <w:fldChar w:fldCharType="end"/>
      </w:r>
      <w:r w:rsidR="004A0471">
        <w:rPr>
          <w:rFonts w:ascii="Times New Roman" w:hAnsi="Times New Roman" w:cs="Times New Roman"/>
          <w:sz w:val="24"/>
          <w:szCs w:val="24"/>
        </w:rPr>
        <w:t xml:space="preserve"> </w:t>
      </w:r>
      <w:r w:rsidRPr="00DB6DD1">
        <w:rPr>
          <w:rFonts w:ascii="Times New Roman" w:hAnsi="Times New Roman" w:cs="Times New Roman"/>
          <w:sz w:val="24"/>
          <w:szCs w:val="24"/>
        </w:rPr>
        <w:t>presents representative BMP values for the agricultural substrates most relevant to agrivoltaic systems.</w:t>
      </w:r>
    </w:p>
    <w:p w14:paraId="071AF907" w14:textId="4B3B1EA3" w:rsidR="00F01607" w:rsidRPr="00F01607" w:rsidRDefault="00F01607" w:rsidP="00F01607">
      <w:pPr>
        <w:spacing w:after="0" w:line="360" w:lineRule="auto"/>
        <w:jc w:val="center"/>
        <w:rPr>
          <w:rFonts w:ascii="Times New Roman" w:hAnsi="Times New Roman" w:cs="Times New Roman"/>
          <w:sz w:val="20"/>
          <w:szCs w:val="20"/>
        </w:rPr>
      </w:pPr>
      <w:bookmarkStart w:id="0" w:name="_Ref226714527"/>
      <w:r w:rsidRPr="00F01607">
        <w:rPr>
          <w:rFonts w:ascii="Times New Roman" w:hAnsi="Times New Roman" w:cs="Times New Roman"/>
          <w:sz w:val="20"/>
          <w:szCs w:val="20"/>
        </w:rPr>
        <w:t xml:space="preserve">Table </w:t>
      </w:r>
      <w:r w:rsidRPr="00F01607">
        <w:rPr>
          <w:rFonts w:ascii="Times New Roman" w:hAnsi="Times New Roman" w:cs="Times New Roman"/>
          <w:sz w:val="20"/>
          <w:szCs w:val="20"/>
        </w:rPr>
        <w:fldChar w:fldCharType="begin"/>
      </w:r>
      <w:r w:rsidRPr="00F01607">
        <w:rPr>
          <w:rFonts w:ascii="Times New Roman" w:hAnsi="Times New Roman" w:cs="Times New Roman"/>
          <w:sz w:val="20"/>
          <w:szCs w:val="20"/>
        </w:rPr>
        <w:instrText xml:space="preserve"> SEQ Table \* ARABIC </w:instrText>
      </w:r>
      <w:r w:rsidRPr="00F01607">
        <w:rPr>
          <w:rFonts w:ascii="Times New Roman" w:hAnsi="Times New Roman" w:cs="Times New Roman"/>
          <w:sz w:val="20"/>
          <w:szCs w:val="20"/>
        </w:rPr>
        <w:fldChar w:fldCharType="separate"/>
      </w:r>
      <w:r w:rsidR="00346A87">
        <w:rPr>
          <w:rFonts w:ascii="Times New Roman" w:hAnsi="Times New Roman" w:cs="Times New Roman"/>
          <w:noProof/>
          <w:sz w:val="20"/>
          <w:szCs w:val="20"/>
        </w:rPr>
        <w:t>3</w:t>
      </w:r>
      <w:r w:rsidRPr="00F01607">
        <w:rPr>
          <w:rFonts w:ascii="Times New Roman" w:hAnsi="Times New Roman" w:cs="Times New Roman"/>
          <w:sz w:val="20"/>
          <w:szCs w:val="20"/>
        </w:rPr>
        <w:fldChar w:fldCharType="end"/>
      </w:r>
      <w:bookmarkEnd w:id="0"/>
      <w:r w:rsidRPr="00F01607">
        <w:rPr>
          <w:rFonts w:ascii="Times New Roman" w:hAnsi="Times New Roman" w:cs="Times New Roman"/>
          <w:sz w:val="20"/>
          <w:szCs w:val="20"/>
        </w:rPr>
        <w:t xml:space="preserve"> : Biochemical methane potential of agricultural residues</w:t>
      </w:r>
    </w:p>
    <w:tbl>
      <w:tblPr>
        <w:tblStyle w:val="TableGrid"/>
        <w:tblW w:w="0" w:type="auto"/>
        <w:jc w:val="center"/>
        <w:tblLook w:val="04A0" w:firstRow="1" w:lastRow="0" w:firstColumn="1" w:lastColumn="0" w:noHBand="0" w:noVBand="1"/>
      </w:tblPr>
      <w:tblGrid>
        <w:gridCol w:w="1777"/>
        <w:gridCol w:w="1621"/>
        <w:gridCol w:w="1405"/>
        <w:gridCol w:w="2361"/>
      </w:tblGrid>
      <w:tr w:rsidR="00741E8B" w:rsidRPr="00324F6F" w14:paraId="4D98754C" w14:textId="77777777" w:rsidTr="00184755">
        <w:trPr>
          <w:jc w:val="center"/>
        </w:trPr>
        <w:tc>
          <w:tcPr>
            <w:tcW w:w="0" w:type="auto"/>
            <w:vAlign w:val="center"/>
          </w:tcPr>
          <w:p w14:paraId="39FEE864" w14:textId="77777777" w:rsidR="00741E8B" w:rsidRPr="00324F6F" w:rsidRDefault="00741E8B" w:rsidP="00184755">
            <w:pPr>
              <w:spacing w:line="360" w:lineRule="auto"/>
              <w:jc w:val="center"/>
              <w:rPr>
                <w:rFonts w:ascii="Times New Roman" w:hAnsi="Times New Roman" w:cs="Times New Roman"/>
                <w:sz w:val="20"/>
                <w:szCs w:val="20"/>
              </w:rPr>
            </w:pPr>
            <w:r w:rsidRPr="00324F6F">
              <w:rPr>
                <w:rFonts w:ascii="Times New Roman" w:hAnsi="Times New Roman" w:cs="Times New Roman"/>
                <w:sz w:val="20"/>
                <w:szCs w:val="20"/>
              </w:rPr>
              <w:t>Substrate</w:t>
            </w:r>
          </w:p>
        </w:tc>
        <w:tc>
          <w:tcPr>
            <w:tcW w:w="0" w:type="auto"/>
            <w:vAlign w:val="center"/>
          </w:tcPr>
          <w:p w14:paraId="23069F9E" w14:textId="3320290B" w:rsidR="003A705B" w:rsidRDefault="00741E8B" w:rsidP="00184755">
            <w:pPr>
              <w:spacing w:line="360" w:lineRule="auto"/>
              <w:jc w:val="center"/>
              <w:rPr>
                <w:rFonts w:ascii="Times New Roman" w:hAnsi="Times New Roman" w:cs="Times New Roman"/>
                <w:sz w:val="20"/>
                <w:szCs w:val="20"/>
              </w:rPr>
            </w:pPr>
            <w:r w:rsidRPr="00324F6F">
              <w:rPr>
                <w:rFonts w:ascii="Times New Roman" w:hAnsi="Times New Roman" w:cs="Times New Roman"/>
                <w:sz w:val="20"/>
                <w:szCs w:val="20"/>
              </w:rPr>
              <w:t>BMP</w:t>
            </w:r>
          </w:p>
          <w:p w14:paraId="03261F98" w14:textId="345B061F" w:rsidR="00741E8B" w:rsidRPr="00324F6F" w:rsidRDefault="00741E8B" w:rsidP="00184755">
            <w:pPr>
              <w:spacing w:line="360" w:lineRule="auto"/>
              <w:jc w:val="center"/>
              <w:rPr>
                <w:rFonts w:ascii="Times New Roman" w:hAnsi="Times New Roman" w:cs="Times New Roman"/>
                <w:sz w:val="20"/>
                <w:szCs w:val="20"/>
              </w:rPr>
            </w:pPr>
            <w:r w:rsidRPr="00324F6F">
              <w:rPr>
                <w:rFonts w:ascii="Times New Roman" w:hAnsi="Times New Roman" w:cs="Times New Roman"/>
                <w:sz w:val="20"/>
                <w:szCs w:val="20"/>
              </w:rPr>
              <w:t>(NmL CH₄/g VS)</w:t>
            </w:r>
          </w:p>
        </w:tc>
        <w:tc>
          <w:tcPr>
            <w:tcW w:w="0" w:type="auto"/>
            <w:vAlign w:val="center"/>
          </w:tcPr>
          <w:p w14:paraId="08976591" w14:textId="73D35BC4" w:rsidR="00184755" w:rsidRDefault="00741E8B" w:rsidP="00184755">
            <w:pPr>
              <w:spacing w:line="360" w:lineRule="auto"/>
              <w:jc w:val="center"/>
              <w:rPr>
                <w:rFonts w:ascii="Times New Roman" w:hAnsi="Times New Roman" w:cs="Times New Roman"/>
                <w:sz w:val="20"/>
                <w:szCs w:val="20"/>
              </w:rPr>
            </w:pPr>
            <w:r w:rsidRPr="00324F6F">
              <w:rPr>
                <w:rFonts w:ascii="Times New Roman" w:hAnsi="Times New Roman" w:cs="Times New Roman"/>
                <w:sz w:val="20"/>
                <w:szCs w:val="20"/>
              </w:rPr>
              <w:t>Lignocellulose</w:t>
            </w:r>
          </w:p>
          <w:p w14:paraId="6896C6D5" w14:textId="534B3E07" w:rsidR="00741E8B" w:rsidRPr="00324F6F" w:rsidRDefault="00741E8B" w:rsidP="00184755">
            <w:pPr>
              <w:spacing w:line="360" w:lineRule="auto"/>
              <w:jc w:val="center"/>
              <w:rPr>
                <w:rFonts w:ascii="Times New Roman" w:hAnsi="Times New Roman" w:cs="Times New Roman"/>
                <w:sz w:val="20"/>
                <w:szCs w:val="20"/>
              </w:rPr>
            </w:pPr>
            <w:r w:rsidRPr="00324F6F">
              <w:rPr>
                <w:rFonts w:ascii="Times New Roman" w:hAnsi="Times New Roman" w:cs="Times New Roman"/>
                <w:sz w:val="20"/>
                <w:szCs w:val="20"/>
              </w:rPr>
              <w:t>content</w:t>
            </w:r>
          </w:p>
        </w:tc>
        <w:tc>
          <w:tcPr>
            <w:tcW w:w="0" w:type="auto"/>
            <w:vAlign w:val="center"/>
          </w:tcPr>
          <w:p w14:paraId="7B56D78F" w14:textId="77777777" w:rsidR="00741E8B" w:rsidRPr="00324F6F" w:rsidRDefault="00741E8B" w:rsidP="00184755">
            <w:pPr>
              <w:spacing w:line="360" w:lineRule="auto"/>
              <w:jc w:val="center"/>
              <w:rPr>
                <w:rFonts w:ascii="Times New Roman" w:hAnsi="Times New Roman" w:cs="Times New Roman"/>
                <w:sz w:val="20"/>
                <w:szCs w:val="20"/>
              </w:rPr>
            </w:pPr>
            <w:r w:rsidRPr="00324F6F">
              <w:rPr>
                <w:rFonts w:ascii="Times New Roman" w:hAnsi="Times New Roman" w:cs="Times New Roman"/>
                <w:sz w:val="20"/>
                <w:szCs w:val="20"/>
              </w:rPr>
              <w:t>Reference</w:t>
            </w:r>
          </w:p>
        </w:tc>
      </w:tr>
      <w:tr w:rsidR="00741E8B" w:rsidRPr="00324F6F" w14:paraId="4FC0D26C" w14:textId="77777777" w:rsidTr="00184755">
        <w:trPr>
          <w:jc w:val="center"/>
        </w:trPr>
        <w:tc>
          <w:tcPr>
            <w:tcW w:w="0" w:type="auto"/>
          </w:tcPr>
          <w:p w14:paraId="6CD8B142"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Cattle manure</w:t>
            </w:r>
          </w:p>
        </w:tc>
        <w:tc>
          <w:tcPr>
            <w:tcW w:w="0" w:type="auto"/>
          </w:tcPr>
          <w:p w14:paraId="50152A36"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200-280</w:t>
            </w:r>
          </w:p>
        </w:tc>
        <w:tc>
          <w:tcPr>
            <w:tcW w:w="0" w:type="auto"/>
          </w:tcPr>
          <w:p w14:paraId="57012F8F"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Low</w:t>
            </w:r>
          </w:p>
        </w:tc>
        <w:tc>
          <w:tcPr>
            <w:tcW w:w="0" w:type="auto"/>
          </w:tcPr>
          <w:p w14:paraId="638A67E6"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{"citationID":"hUTChqfL","properties":{"unsorted":false,"formattedCitation":"(Lallement et al., 2023)","plainCitation":"(Lallement et al., 2023)","noteIndex":0},"citationItems":[{"id":59,"uris":["http://zotero.org/users/local/i6bXxmSk/items/3UG9JA7V"],"itemData":{"id":59,"type":"article-journal","abstract":"Agricultural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(Lallement et al., 2023)</w:t>
            </w:r>
            <w:r w:rsidRPr="00324F6F">
              <w:rPr>
                <w:rFonts w:ascii="Times New Roman" w:hAnsi="Times New Roman" w:cs="Times New Roman"/>
                <w:sz w:val="20"/>
                <w:szCs w:val="20"/>
              </w:rPr>
              <w:fldChar w:fldCharType="end"/>
            </w:r>
          </w:p>
        </w:tc>
      </w:tr>
      <w:tr w:rsidR="00741E8B" w:rsidRPr="00324F6F" w14:paraId="144120BF" w14:textId="77777777" w:rsidTr="00184755">
        <w:trPr>
          <w:jc w:val="center"/>
        </w:trPr>
        <w:tc>
          <w:tcPr>
            <w:tcW w:w="0" w:type="auto"/>
          </w:tcPr>
          <w:p w14:paraId="33555A58"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Tomato residues</w:t>
            </w:r>
          </w:p>
        </w:tc>
        <w:tc>
          <w:tcPr>
            <w:tcW w:w="0" w:type="auto"/>
          </w:tcPr>
          <w:p w14:paraId="6C77A507"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250-350</w:t>
            </w:r>
          </w:p>
        </w:tc>
        <w:tc>
          <w:tcPr>
            <w:tcW w:w="0" w:type="auto"/>
          </w:tcPr>
          <w:p w14:paraId="4502ED30"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Medium-high</w:t>
            </w:r>
          </w:p>
        </w:tc>
        <w:tc>
          <w:tcPr>
            <w:tcW w:w="0" w:type="auto"/>
          </w:tcPr>
          <w:p w14:paraId="1C5216CB" w14:textId="440B2FF6" w:rsidR="00741E8B" w:rsidRPr="00324F6F" w:rsidRDefault="00117C13" w:rsidP="00B91600">
            <w:pPr>
              <w:spacing w:line="360" w:lineRule="auto"/>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{"citationID":"JHTEqtDS","properties":{"unsorted":false,"formattedCitation":"(Lallement et al., 2023)","plainCitation":"(Lallement et al., 2023)","noteIndex":0},"citationItems":[{"id":59,"uris":["http://zotero.org/users/local/i6bXxmSk/items/3UG9JA7V"],"itemData":{"id":59,"type":"article-journal","abstract":"Agricultural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Pr>
                <w:rFonts w:ascii="Times New Roman" w:hAnsi="Times New Roman" w:cs="Times New Roman"/>
                <w:sz w:val="20"/>
                <w:szCs w:val="20"/>
              </w:rPr>
              <w:fldChar w:fldCharType="separate"/>
            </w:r>
            <w:r w:rsidRPr="00117C13">
              <w:rPr>
                <w:rFonts w:ascii="Calibri" w:hAnsi="Calibri" w:cs="Calibri"/>
                <w:sz w:val="20"/>
              </w:rPr>
              <w:t>(Lallement et al., 2023)</w:t>
            </w:r>
            <w:r>
              <w:rPr>
                <w:rFonts w:ascii="Times New Roman" w:hAnsi="Times New Roman" w:cs="Times New Roman"/>
                <w:sz w:val="20"/>
                <w:szCs w:val="20"/>
              </w:rPr>
              <w:fldChar w:fldCharType="end"/>
            </w:r>
          </w:p>
        </w:tc>
      </w:tr>
      <w:tr w:rsidR="00741E8B" w:rsidRPr="00324F6F" w14:paraId="0FA10753" w14:textId="77777777" w:rsidTr="00184755">
        <w:trPr>
          <w:jc w:val="center"/>
        </w:trPr>
        <w:tc>
          <w:tcPr>
            <w:tcW w:w="0" w:type="auto"/>
          </w:tcPr>
          <w:p w14:paraId="2191FF4E"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Cereal straw</w:t>
            </w:r>
          </w:p>
        </w:tc>
        <w:tc>
          <w:tcPr>
            <w:tcW w:w="0" w:type="auto"/>
          </w:tcPr>
          <w:p w14:paraId="78FC047C"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230-320</w:t>
            </w:r>
          </w:p>
        </w:tc>
        <w:tc>
          <w:tcPr>
            <w:tcW w:w="0" w:type="auto"/>
          </w:tcPr>
          <w:p w14:paraId="77450F3E"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High</w:t>
            </w:r>
          </w:p>
        </w:tc>
        <w:tc>
          <w:tcPr>
            <w:tcW w:w="0" w:type="auto"/>
          </w:tcPr>
          <w:p w14:paraId="2F66A3A7"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fldChar w:fldCharType="begin"/>
            </w:r>
            <w:r w:rsidRPr="00324F6F">
              <w:rPr>
                <w:rFonts w:ascii="Times New Roman" w:hAnsi="Times New Roman" w:cs="Times New Roman"/>
                <w:sz w:val="20"/>
                <w:szCs w:val="20"/>
              </w:rPr>
              <w:instrText xml:space="preserve"> ADDIN ZOTERO_ITEM CSL_CITATION {"citationID":"PRmxkO1h","properties":{"unsorted":false,"formattedCitation":"(Pilarski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00324F6F">
              <w:rPr>
                <w:rFonts w:ascii="Times New Roman" w:hAnsi="Times New Roman" w:cs="Times New Roman"/>
                <w:sz w:val="20"/>
                <w:szCs w:val="20"/>
              </w:rPr>
              <w:fldChar w:fldCharType="separate"/>
            </w:r>
            <w:r w:rsidRPr="00324F6F">
              <w:rPr>
                <w:rFonts w:ascii="Times New Roman" w:hAnsi="Times New Roman" w:cs="Times New Roman"/>
                <w:sz w:val="20"/>
                <w:szCs w:val="20"/>
              </w:rPr>
              <w:t>(Pilarski &amp; Pilarska, 2025)</w:t>
            </w:r>
            <w:r w:rsidRPr="00324F6F">
              <w:rPr>
                <w:rFonts w:ascii="Times New Roman" w:hAnsi="Times New Roman" w:cs="Times New Roman"/>
                <w:sz w:val="20"/>
                <w:szCs w:val="20"/>
              </w:rPr>
              <w:fldChar w:fldCharType="end"/>
            </w:r>
          </w:p>
        </w:tc>
      </w:tr>
      <w:tr w:rsidR="00741E8B" w:rsidRPr="00324F6F" w14:paraId="08D5BC92" w14:textId="77777777" w:rsidTr="00184755">
        <w:trPr>
          <w:jc w:val="center"/>
        </w:trPr>
        <w:tc>
          <w:tcPr>
            <w:tcW w:w="0" w:type="auto"/>
          </w:tcPr>
          <w:p w14:paraId="2FA2C3D6"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Vegetable mixtures</w:t>
            </w:r>
          </w:p>
        </w:tc>
        <w:tc>
          <w:tcPr>
            <w:tcW w:w="0" w:type="auto"/>
          </w:tcPr>
          <w:p w14:paraId="123FA390"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200-400</w:t>
            </w:r>
          </w:p>
        </w:tc>
        <w:tc>
          <w:tcPr>
            <w:tcW w:w="0" w:type="auto"/>
          </w:tcPr>
          <w:p w14:paraId="2E729558"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Variable</w:t>
            </w:r>
          </w:p>
        </w:tc>
        <w:tc>
          <w:tcPr>
            <w:tcW w:w="0" w:type="auto"/>
          </w:tcPr>
          <w:p w14:paraId="7CD81620" w14:textId="4C5176F5" w:rsidR="00741E8B" w:rsidRPr="00324F6F" w:rsidRDefault="00A26BFC" w:rsidP="00B91600">
            <w:pPr>
              <w:spacing w:line="360" w:lineRule="auto"/>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{"citationID":"iHR6MY3I","properties":{"unsorted":false,"formattedCitation":"(Pilarski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Pr>
                <w:rFonts w:ascii="Times New Roman" w:hAnsi="Times New Roman" w:cs="Times New Roman"/>
                <w:sz w:val="20"/>
                <w:szCs w:val="20"/>
              </w:rPr>
              <w:fldChar w:fldCharType="separate"/>
            </w:r>
            <w:r w:rsidRPr="00A26BFC">
              <w:rPr>
                <w:rFonts w:ascii="Calibri" w:hAnsi="Calibri" w:cs="Calibri"/>
                <w:sz w:val="20"/>
              </w:rPr>
              <w:t>(Pilarski &amp; Pilarska, 2025)</w:t>
            </w:r>
            <w:r>
              <w:rPr>
                <w:rFonts w:ascii="Times New Roman" w:hAnsi="Times New Roman" w:cs="Times New Roman"/>
                <w:sz w:val="20"/>
                <w:szCs w:val="20"/>
              </w:rPr>
              <w:fldChar w:fldCharType="end"/>
            </w:r>
          </w:p>
        </w:tc>
      </w:tr>
      <w:tr w:rsidR="00741E8B" w:rsidRPr="00AC50D2" w14:paraId="0C24EA92" w14:textId="77777777" w:rsidTr="00184755">
        <w:trPr>
          <w:jc w:val="center"/>
        </w:trPr>
        <w:tc>
          <w:tcPr>
            <w:tcW w:w="0" w:type="auto"/>
          </w:tcPr>
          <w:p w14:paraId="0AAFD2BB"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Poultry manure</w:t>
            </w:r>
          </w:p>
        </w:tc>
        <w:tc>
          <w:tcPr>
            <w:tcW w:w="0" w:type="auto"/>
          </w:tcPr>
          <w:p w14:paraId="1634116C"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210-289</w:t>
            </w:r>
          </w:p>
        </w:tc>
        <w:tc>
          <w:tcPr>
            <w:tcW w:w="0" w:type="auto"/>
          </w:tcPr>
          <w:p w14:paraId="668D2CA1" w14:textId="77777777" w:rsidR="00741E8B" w:rsidRPr="00324F6F" w:rsidRDefault="00741E8B" w:rsidP="00B91600">
            <w:pPr>
              <w:spacing w:line="360" w:lineRule="auto"/>
              <w:jc w:val="both"/>
              <w:rPr>
                <w:rFonts w:ascii="Times New Roman" w:hAnsi="Times New Roman" w:cs="Times New Roman"/>
                <w:sz w:val="20"/>
                <w:szCs w:val="20"/>
              </w:rPr>
            </w:pPr>
            <w:r w:rsidRPr="00324F6F">
              <w:rPr>
                <w:rFonts w:ascii="Times New Roman" w:hAnsi="Times New Roman" w:cs="Times New Roman"/>
                <w:sz w:val="20"/>
                <w:szCs w:val="20"/>
              </w:rPr>
              <w:t>Low</w:t>
            </w:r>
          </w:p>
        </w:tc>
        <w:tc>
          <w:tcPr>
            <w:tcW w:w="0" w:type="auto"/>
          </w:tcPr>
          <w:p w14:paraId="50F618DE" w14:textId="6A3FF5BF" w:rsidR="00741E8B" w:rsidRPr="00324F6F" w:rsidRDefault="00A26BFC" w:rsidP="00B91600">
            <w:pPr>
              <w:spacing w:line="360" w:lineRule="auto"/>
              <w:jc w:val="both"/>
              <w:rPr>
                <w:rFonts w:ascii="Times New Roman" w:hAnsi="Times New Roman" w:cs="Times New Roman"/>
                <w:sz w:val="20"/>
                <w:szCs w:val="20"/>
                <w:lang w:val="fr-FR"/>
              </w:rPr>
            </w:pPr>
            <w:r>
              <w:rPr>
                <w:rFonts w:ascii="Times New Roman" w:hAnsi="Times New Roman" w:cs="Times New Roman"/>
                <w:sz w:val="20"/>
                <w:szCs w:val="20"/>
                <w:lang w:val="fr-FR"/>
              </w:rPr>
              <w:fldChar w:fldCharType="begin"/>
            </w:r>
            <w:r>
              <w:rPr>
                <w:rFonts w:ascii="Times New Roman" w:hAnsi="Times New Roman" w:cs="Times New Roman"/>
                <w:sz w:val="20"/>
                <w:szCs w:val="20"/>
                <w:lang w:val="fr-FR"/>
              </w:rPr>
              <w:instrText xml:space="preserve"> ADDIN ZOTERO_ITEM CSL_CITATION {"citationID":"J06NmBSp","properties":{"unsorted":false,"formattedCitation":"(M\\uc0\\u246{}ller &amp; M\\uc0\\u252{}ller, 2012)","plainCitation":"(Möller &amp; Müller, 2012)","noteIndex":0},"citationItems":[{"id":81,"uris":["http://zotero.org/users/local/i6bXxmSk/items/5LF74XV7"],"itemData":{"id":81,"type":"article-journal","abstract":"Anaerobic digestion (\n              AD\n              ) for biogas production leads to several changes in the composition of the resulting digestates compared to the original feedstock (ammonia content, p\n              H\n              , carbon to nitrogen ratio, etc.), which are relevant for the plant availability of macro‐ and micronutrients after field application. Increased\n              NH\n              4\n              +\n              ‐\n              N\n              content in digested slurries compared to undigested slurries does not guarantee improved uptake efficiency of slurry nitrogen and increased savings in fertilizer nitrogen.\n              AD\n              of crop residues and cover crops leads to an increase in the total amounts of mobile organic manures within the farming system, resulting in a higher nitrogen use efficiency and an increased scope for target‐oriented nitrogen application in time and space, when needed by the crop, as an alternative to the site‐bound soil incorporation as green manures.\n              AD\n              of dairy manure appears to reduce the fraction of immediate plant available phosphorus and micronutrients. This does, however, not affect short‐term crop availability under field conditions. More studies are needed to improve current knowledge on sulfur losses during\n              AD\n              and fertilizer value of digestates.","container-title":"Engineering in Life Sciences","DOI":"10.1002/elsc.201100085","ISSN":"1618-0240, 1618-2863","issue":"3","journalAbbreviation":"Engineering in Life Sciences","language":"en","license":"http://onlinelibrary.wiley.com/termsAndConditions#vor","page":"242-257","source":"DOI.org (Crossref)","title":"Effects of anaerobic digestion on digestate nutrient availability and crop growth: A review","title-short":"Effects of anaerobic digestion on digestate nutrient availability and crop growth","volume":"12","author":[{"family":"Möller","given":"Kurt"},{"family":"Müller","given":"Torsten"}],"issued":{"date-parts":[["2012",6]]}}}],"schema":"https://github.com/citation-style-language/schema/raw/master/csl-citation.json"} </w:instrText>
            </w:r>
            <w:r>
              <w:rPr>
                <w:rFonts w:ascii="Times New Roman" w:hAnsi="Times New Roman" w:cs="Times New Roman"/>
                <w:sz w:val="20"/>
                <w:szCs w:val="20"/>
                <w:lang w:val="fr-FR"/>
              </w:rPr>
              <w:fldChar w:fldCharType="separate"/>
            </w:r>
            <w:r w:rsidRPr="00A26BFC">
              <w:rPr>
                <w:rFonts w:ascii="Calibri" w:hAnsi="Calibri" w:cs="Calibri"/>
                <w:sz w:val="20"/>
                <w:szCs w:val="24"/>
              </w:rPr>
              <w:t>(Möller &amp; Müller, 2012)</w:t>
            </w:r>
            <w:r>
              <w:rPr>
                <w:rFonts w:ascii="Times New Roman" w:hAnsi="Times New Roman" w:cs="Times New Roman"/>
                <w:sz w:val="20"/>
                <w:szCs w:val="20"/>
                <w:lang w:val="fr-FR"/>
              </w:rPr>
              <w:fldChar w:fldCharType="end"/>
            </w:r>
          </w:p>
        </w:tc>
      </w:tr>
    </w:tbl>
    <w:p w14:paraId="64CF538C" w14:textId="77777777" w:rsidR="00DB6DD1" w:rsidRPr="00741E8B" w:rsidRDefault="00DB6DD1" w:rsidP="00DB6DD1">
      <w:pPr>
        <w:spacing w:line="360" w:lineRule="auto"/>
        <w:jc w:val="both"/>
        <w:rPr>
          <w:rFonts w:ascii="Times New Roman" w:hAnsi="Times New Roman" w:cs="Times New Roman"/>
          <w:sz w:val="24"/>
          <w:szCs w:val="24"/>
          <w:lang w:val="fr-FR"/>
        </w:rPr>
      </w:pPr>
    </w:p>
    <w:p w14:paraId="00C50AFD" w14:textId="663FA85B"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lastRenderedPageBreak/>
        <w:t xml:space="preserve">For tomato residues specifically, Feng et al. </w:t>
      </w:r>
      <w:r w:rsidR="00D565F8">
        <w:rPr>
          <w:rFonts w:ascii="Times New Roman" w:hAnsi="Times New Roman" w:cs="Times New Roman"/>
          <w:sz w:val="24"/>
          <w:szCs w:val="24"/>
        </w:rPr>
        <w:fldChar w:fldCharType="begin"/>
      </w:r>
      <w:r w:rsidR="00D565F8">
        <w:rPr>
          <w:rFonts w:ascii="Times New Roman" w:hAnsi="Times New Roman" w:cs="Times New Roman"/>
          <w:sz w:val="24"/>
          <w:szCs w:val="24"/>
        </w:rPr>
        <w:instrText xml:space="preserve"> ADDIN ZOTERO_ITEM CSL_CITATION {"citationID":"QCeqm6Xd","properties":{"unsorted":false,"formattedCitation":"(Feng et al., 2013)","plainCitation":"(Feng et al., 2013)","noteIndex":0},"citationItems":[{"id":61,"uris":["http://zotero.org/users/local/i6bXxmSk/items/I62IGWZC"],"itemData":{"id":61,"type":"article-journal","container-title":"BioResources","DOI":"10.15376/biores.8.2.2487-2498","ISSN":"1930-2126","issue":"2","language":"en","page":"2487-2498","source":"DOI.org (Crossref)","title":"Biochemical Methane Potential (BMP) of Vinegar Residue and the Influence of Feed to Inoculum Ratios on Biogas Production","volume":"8","author":[{"family":"Feng","given":"Lu"},{"family":"Li","given":"Yeqing"},{"family":"Chen","given":"Chang"},{"family":"Liu","given":"Xiaoying"},{"family":"Xiao","given":"Xiao"},{"family":"Ma","given":"Xinxin"},{"family":"Zhang","given":"Ruihong"},{"family":"He","given":"Yanfeng"},{"family":"Liu","given":"Guangqing"}],"issued":{"date-parts":[["2013",3,29]]}}}],"schema":"https://github.com/citation-style-language/schema/raw/master/csl-citation.json"} </w:instrText>
      </w:r>
      <w:r w:rsidR="00D565F8">
        <w:rPr>
          <w:rFonts w:ascii="Times New Roman" w:hAnsi="Times New Roman" w:cs="Times New Roman"/>
          <w:sz w:val="24"/>
          <w:szCs w:val="24"/>
        </w:rPr>
        <w:fldChar w:fldCharType="separate"/>
      </w:r>
      <w:r w:rsidR="00D565F8" w:rsidRPr="00D565F8">
        <w:rPr>
          <w:rFonts w:ascii="Calibri" w:hAnsi="Calibri" w:cs="Calibri"/>
          <w:sz w:val="24"/>
        </w:rPr>
        <w:t>(Feng et al., 2013)</w:t>
      </w:r>
      <w:r w:rsidR="00D565F8">
        <w:rPr>
          <w:rFonts w:ascii="Times New Roman" w:hAnsi="Times New Roman" w:cs="Times New Roman"/>
          <w:sz w:val="24"/>
          <w:szCs w:val="24"/>
        </w:rPr>
        <w:fldChar w:fldCharType="end"/>
      </w:r>
      <w:r w:rsidRPr="00DB6DD1">
        <w:rPr>
          <w:rFonts w:ascii="Times New Roman" w:hAnsi="Times New Roman" w:cs="Times New Roman"/>
          <w:sz w:val="24"/>
          <w:szCs w:val="24"/>
        </w:rPr>
        <w:t xml:space="preserve"> reported BMP values of 250–350 NmL CH₄/g VS from batch assay experiments, with the lower end corresponding to mixtures containing more than 20% lignified branches. This finding was corroborated by Lallement et al. </w:t>
      </w:r>
      <w:r w:rsidR="00C61812">
        <w:rPr>
          <w:rFonts w:ascii="Times New Roman" w:hAnsi="Times New Roman" w:cs="Times New Roman"/>
          <w:sz w:val="24"/>
          <w:szCs w:val="24"/>
        </w:rPr>
        <w:fldChar w:fldCharType="begin"/>
      </w:r>
      <w:r w:rsidR="00C61812">
        <w:rPr>
          <w:rFonts w:ascii="Times New Roman" w:hAnsi="Times New Roman" w:cs="Times New Roman"/>
          <w:sz w:val="24"/>
          <w:szCs w:val="24"/>
        </w:rPr>
        <w:instrText xml:space="preserve"> ADDIN ZOTERO_ITEM CSL_CITATION {"citationID":"AkiU6bVT","properties":{"unsorted":false,"formattedCitation":"(Lallement et al., 2023)","plainCitation":"(Lallement et al., 2023)","noteIndex":0},"citationItems":[{"id":59,"uris":["http://zotero.org/users/local/i6bXxmSk/items/3UG9JA7V"],"itemData":{"id":59,"type":"article-journal","abstract":"Agricultural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00C61812">
        <w:rPr>
          <w:rFonts w:ascii="Times New Roman" w:hAnsi="Times New Roman" w:cs="Times New Roman"/>
          <w:sz w:val="24"/>
          <w:szCs w:val="24"/>
        </w:rPr>
        <w:fldChar w:fldCharType="separate"/>
      </w:r>
      <w:r w:rsidR="00C61812" w:rsidRPr="00C61812">
        <w:rPr>
          <w:rFonts w:ascii="Calibri" w:hAnsi="Calibri" w:cs="Calibri"/>
          <w:sz w:val="24"/>
        </w:rPr>
        <w:t>(Lallement et al., 2023)</w:t>
      </w:r>
      <w:r w:rsidR="00C61812">
        <w:rPr>
          <w:rFonts w:ascii="Times New Roman" w:hAnsi="Times New Roman" w:cs="Times New Roman"/>
          <w:sz w:val="24"/>
          <w:szCs w:val="24"/>
        </w:rPr>
        <w:fldChar w:fldCharType="end"/>
      </w:r>
      <w:r w:rsidR="00AB2E64">
        <w:rPr>
          <w:rFonts w:ascii="Times New Roman" w:hAnsi="Times New Roman" w:cs="Times New Roman"/>
          <w:sz w:val="24"/>
          <w:szCs w:val="24"/>
        </w:rPr>
        <w:t xml:space="preserve"> </w:t>
      </w:r>
      <w:r w:rsidRPr="00DB6DD1">
        <w:rPr>
          <w:rFonts w:ascii="Times New Roman" w:hAnsi="Times New Roman" w:cs="Times New Roman"/>
          <w:sz w:val="24"/>
          <w:szCs w:val="24"/>
        </w:rPr>
        <w:t>in a systematic database of 45 agricultural feedstocks, which established 300 NmL/g VS as a representative central value for tomato residue mixtures with branches below 20% — the condition assumed in this study.</w:t>
      </w:r>
    </w:p>
    <w:p w14:paraId="22433952" w14:textId="77777777" w:rsidR="00DB6DD1" w:rsidRPr="00DB6DD1" w:rsidRDefault="00DB6DD1" w:rsidP="00DB6DD1">
      <w:pPr>
        <w:spacing w:line="360" w:lineRule="auto"/>
        <w:jc w:val="both"/>
        <w:rPr>
          <w:rFonts w:ascii="Times New Roman" w:hAnsi="Times New Roman" w:cs="Times New Roman"/>
          <w:sz w:val="24"/>
          <w:szCs w:val="24"/>
        </w:rPr>
      </w:pPr>
    </w:p>
    <w:p w14:paraId="07FAB51E" w14:textId="1C371973"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2.2.2. Temperature effects and process kinetics</w:t>
      </w:r>
    </w:p>
    <w:p w14:paraId="642FAC42" w14:textId="77D56F0B" w:rsidR="00DB6DD1" w:rsidRPr="00DB6DD1" w:rsidRDefault="00DB6DD1" w:rsidP="003C7ED9">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Methanogenic microorganisms are among the most temperature-sensitive components of the AD microbial community. Mesophilic operation (35–40°C) is the most common choice for farm-scale digesters in temperate and semi-arid climates, offering a practical balance between methane yield and heating energy requirement </w:t>
      </w:r>
      <w:r w:rsidR="00BA1718">
        <w:rPr>
          <w:rFonts w:ascii="Times New Roman" w:hAnsi="Times New Roman" w:cs="Times New Roman"/>
          <w:sz w:val="24"/>
          <w:szCs w:val="24"/>
        </w:rPr>
        <w:fldChar w:fldCharType="begin"/>
      </w:r>
      <w:r w:rsidR="00BA1718">
        <w:rPr>
          <w:rFonts w:ascii="Times New Roman" w:hAnsi="Times New Roman" w:cs="Times New Roman"/>
          <w:sz w:val="24"/>
          <w:szCs w:val="24"/>
        </w:rPr>
        <w:instrText xml:space="preserve"> ADDIN ZOTERO_ITEM CSL_CITATION {"citationID":"OrwnfmZF","properties":{"unsorted":false,"formattedCitation":"(Pilarski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00BA1718">
        <w:rPr>
          <w:rFonts w:ascii="Times New Roman" w:hAnsi="Times New Roman" w:cs="Times New Roman"/>
          <w:sz w:val="24"/>
          <w:szCs w:val="24"/>
        </w:rPr>
        <w:fldChar w:fldCharType="separate"/>
      </w:r>
      <w:r w:rsidR="00BA1718" w:rsidRPr="00BA1718">
        <w:rPr>
          <w:rFonts w:ascii="Calibri" w:hAnsi="Calibri" w:cs="Calibri"/>
          <w:sz w:val="24"/>
        </w:rPr>
        <w:t>(Pilarski &amp; Pilarska, 2025)</w:t>
      </w:r>
      <w:r w:rsidR="00BA1718">
        <w:rPr>
          <w:rFonts w:ascii="Times New Roman" w:hAnsi="Times New Roman" w:cs="Times New Roman"/>
          <w:sz w:val="24"/>
          <w:szCs w:val="24"/>
        </w:rPr>
        <w:fldChar w:fldCharType="end"/>
      </w:r>
      <w:r w:rsidRPr="00DB6DD1">
        <w:rPr>
          <w:rFonts w:ascii="Times New Roman" w:hAnsi="Times New Roman" w:cs="Times New Roman"/>
          <w:sz w:val="24"/>
          <w:szCs w:val="24"/>
        </w:rPr>
        <w:t xml:space="preserve">. The temperature dependence of BMP follows an Arrhenius-type relationship </w:t>
      </w:r>
      <w:r w:rsidR="00735E86">
        <w:rPr>
          <w:rFonts w:ascii="Times New Roman" w:hAnsi="Times New Roman" w:cs="Times New Roman"/>
          <w:sz w:val="24"/>
          <w:szCs w:val="24"/>
        </w:rPr>
        <w:fldChar w:fldCharType="begin"/>
      </w:r>
      <w:r w:rsidR="00735E86">
        <w:rPr>
          <w:rFonts w:ascii="Times New Roman" w:hAnsi="Times New Roman" w:cs="Times New Roman"/>
          <w:sz w:val="24"/>
          <w:szCs w:val="24"/>
        </w:rPr>
        <w:instrText xml:space="preserve"> ADDIN ZOTERO_ITEM CSL_CITATION {"citationID":"HXK0pKn4","properties":{"unsorted":false,"formattedCitation":"(Lindorfer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rsidR="00735E86">
        <w:rPr>
          <w:rFonts w:ascii="Times New Roman" w:hAnsi="Times New Roman" w:cs="Times New Roman"/>
          <w:sz w:val="24"/>
          <w:szCs w:val="24"/>
        </w:rPr>
        <w:fldChar w:fldCharType="separate"/>
      </w:r>
      <w:r w:rsidR="00735E86" w:rsidRPr="00735E86">
        <w:rPr>
          <w:rFonts w:ascii="Calibri" w:hAnsi="Calibri" w:cs="Calibri"/>
          <w:sz w:val="24"/>
        </w:rPr>
        <w:t>(Lindorfer et al., 2008)</w:t>
      </w:r>
      <w:r w:rsidR="00735E86">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13F03CE4" w14:textId="77777777" w:rsidR="00DB6DD1" w:rsidRPr="00DB6DD1" w:rsidRDefault="00DB6DD1" w:rsidP="00DB6DD1">
      <w:pPr>
        <w:spacing w:line="360" w:lineRule="auto"/>
        <w:jc w:val="both"/>
        <w:rPr>
          <w:rFonts w:ascii="Times New Roman" w:hAnsi="Times New Roman" w:cs="Times New Roman"/>
          <w:sz w:val="24"/>
          <w:szCs w:val="24"/>
        </w:rPr>
      </w:pPr>
    </w:p>
    <w:p w14:paraId="5A3EB422" w14:textId="77777777" w:rsidR="00893F60" w:rsidRPr="00E6057D" w:rsidRDefault="00533732" w:rsidP="00893F60">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lang w:val="fr-FR"/>
                </w:rPr>
              </m:ctrlPr>
            </m:eqArrPr>
            <m:e>
              <m:r>
                <w:rPr>
                  <w:rFonts w:ascii="Cambria Math" w:hAnsi="Cambria Math" w:cs="Times New Roman"/>
                  <w:sz w:val="24"/>
                  <w:szCs w:val="24"/>
                  <w:lang w:val="fr-FR"/>
                </w:rPr>
                <m:t>BMP</m:t>
              </m:r>
              <m:d>
                <m:dPr>
                  <m:ctrlPr>
                    <w:rPr>
                      <w:rFonts w:ascii="Cambria Math" w:hAnsi="Cambria Math" w:cs="Times New Roman"/>
                      <w:i/>
                      <w:sz w:val="24"/>
                      <w:szCs w:val="24"/>
                      <w:lang w:val="fr-FR"/>
                    </w:rPr>
                  </m:ctrlPr>
                </m:dPr>
                <m:e>
                  <m:r>
                    <w:rPr>
                      <w:rFonts w:ascii="Cambria Math" w:hAnsi="Cambria Math" w:cs="Times New Roman"/>
                      <w:sz w:val="24"/>
                      <w:szCs w:val="24"/>
                      <w:lang w:val="fr-FR"/>
                    </w:rPr>
                    <m:t>T</m:t>
                  </m:r>
                </m:e>
              </m:d>
              <m:r>
                <w:rPr>
                  <w:rFonts w:ascii="Cambria Math" w:hAnsi="Cambria Math" w:cs="Times New Roman"/>
                  <w:sz w:val="24"/>
                  <w:szCs w:val="24"/>
                </w:rPr>
                <m:t xml:space="preserve">= </m:t>
              </m:r>
              <m:r>
                <w:rPr>
                  <w:rFonts w:ascii="Cambria Math" w:hAnsi="Cambria Math" w:cs="Times New Roman"/>
                  <w:sz w:val="24"/>
                  <w:szCs w:val="24"/>
                  <w:lang w:val="fr-FR"/>
                </w:rPr>
                <m:t>BM</m:t>
              </m:r>
              <m:sSub>
                <m:sSubPr>
                  <m:ctrlPr>
                    <w:rPr>
                      <w:rFonts w:ascii="Cambria Math" w:hAnsi="Cambria Math" w:cs="Times New Roman"/>
                      <w:i/>
                      <w:sz w:val="24"/>
                      <w:szCs w:val="24"/>
                      <w:lang w:val="fr-FR"/>
                    </w:rPr>
                  </m:ctrlPr>
                </m:sSubPr>
                <m:e>
                  <m:r>
                    <w:rPr>
                      <w:rFonts w:ascii="Cambria Math" w:hAnsi="Cambria Math" w:cs="Times New Roman"/>
                      <w:sz w:val="24"/>
                      <w:szCs w:val="24"/>
                      <w:lang w:val="fr-FR"/>
                    </w:rPr>
                    <m:t>P</m:t>
                  </m:r>
                </m:e>
                <m:sub>
                  <m:r>
                    <w:rPr>
                      <w:rFonts w:ascii="Cambria Math" w:hAnsi="Cambria Math" w:cs="Times New Roman"/>
                      <w:sz w:val="24"/>
                      <w:szCs w:val="24"/>
                      <w:lang w:val="fr-FR"/>
                    </w:rPr>
                    <m:t>ref</m:t>
                  </m:r>
                </m:sub>
              </m:sSub>
              <m:func>
                <m:funcPr>
                  <m:ctrlPr>
                    <w:rPr>
                      <w:rFonts w:ascii="Cambria Math" w:hAnsi="Cambria Math" w:cs="Times New Roman"/>
                      <w:sz w:val="24"/>
                      <w:szCs w:val="24"/>
                      <w:lang w:val="fr-FR"/>
                    </w:rPr>
                  </m:ctrlPr>
                </m:funcPr>
                <m:fName>
                  <m:r>
                    <m:rPr>
                      <m:sty m:val="p"/>
                    </m:rPr>
                    <w:rPr>
                      <w:rFonts w:ascii="Cambria Math" w:hAnsi="Cambria Math" w:cs="Times New Roman"/>
                      <w:sz w:val="24"/>
                      <w:szCs w:val="24"/>
                    </w:rPr>
                    <m:t>∙exp</m:t>
                  </m:r>
                  <m:ctrlPr>
                    <w:rPr>
                      <w:rFonts w:ascii="Cambria Math" w:hAnsi="Cambria Math" w:cs="Times New Roman"/>
                      <w:i/>
                      <w:sz w:val="24"/>
                      <w:szCs w:val="24"/>
                      <w:lang w:val="fr-FR"/>
                    </w:rPr>
                  </m:ctrlPr>
                </m:fName>
                <m:e>
                  <m:d>
                    <m:dPr>
                      <m:begChr m:val="["/>
                      <m:endChr m:val="]"/>
                      <m:ctrlPr>
                        <w:rPr>
                          <w:rFonts w:ascii="Cambria Math" w:hAnsi="Cambria Math" w:cs="Times New Roman"/>
                          <w:i/>
                          <w:sz w:val="24"/>
                          <w:szCs w:val="24"/>
                          <w:lang w:val="fr-FR"/>
                        </w:rPr>
                      </m:ctrlPr>
                    </m:dPr>
                    <m:e>
                      <m:r>
                        <w:rPr>
                          <w:rFonts w:ascii="Cambria Math" w:hAnsi="Cambria Math" w:cs="Times New Roman"/>
                          <w:sz w:val="24"/>
                          <w:szCs w:val="24"/>
                          <w:lang w:val="fr-FR"/>
                        </w:rPr>
                        <m:t>θ</m:t>
                      </m:r>
                      <m:r>
                        <w:rPr>
                          <w:rFonts w:ascii="Cambria Math" w:hAnsi="Cambria Math" w:cs="Times New Roman"/>
                          <w:sz w:val="24"/>
                          <w:szCs w:val="24"/>
                        </w:rPr>
                        <m:t xml:space="preserve">∙ </m:t>
                      </m:r>
                      <m:d>
                        <m:dPr>
                          <m:ctrlPr>
                            <w:rPr>
                              <w:rFonts w:ascii="Cambria Math" w:hAnsi="Cambria Math" w:cs="Times New Roman"/>
                              <w:i/>
                              <w:sz w:val="24"/>
                              <w:szCs w:val="24"/>
                              <w:lang w:val="fr-FR"/>
                            </w:rPr>
                          </m:ctrlPr>
                        </m:dPr>
                        <m:e>
                          <m:r>
                            <w:rPr>
                              <w:rFonts w:ascii="Cambria Math" w:hAnsi="Cambria Math" w:cs="Times New Roman"/>
                              <w:sz w:val="24"/>
                              <w:szCs w:val="24"/>
                              <w:lang w:val="fr-FR"/>
                            </w:rPr>
                            <m:t>T</m:t>
                          </m:r>
                          <m:r>
                            <w:rPr>
                              <w:rFonts w:ascii="Cambria Math" w:hAnsi="Cambria Math" w:cs="Times New Roman"/>
                              <w:sz w:val="24"/>
                              <w:szCs w:val="24"/>
                            </w:rPr>
                            <m:t xml:space="preserve"> - </m:t>
                          </m:r>
                          <m:sSub>
                            <m:sSubPr>
                              <m:ctrlPr>
                                <w:rPr>
                                  <w:rFonts w:ascii="Cambria Math" w:hAnsi="Cambria Math" w:cs="Times New Roman"/>
                                  <w:i/>
                                  <w:sz w:val="24"/>
                                  <w:szCs w:val="24"/>
                                  <w:lang w:val="fr-FR"/>
                                </w:rPr>
                              </m:ctrlPr>
                            </m:sSubPr>
                            <m:e>
                              <m:r>
                                <w:rPr>
                                  <w:rFonts w:ascii="Cambria Math" w:hAnsi="Cambria Math" w:cs="Times New Roman"/>
                                  <w:sz w:val="24"/>
                                  <w:szCs w:val="24"/>
                                  <w:lang w:val="fr-FR"/>
                                </w:rPr>
                                <m:t>T</m:t>
                              </m:r>
                            </m:e>
                            <m:sub>
                              <m:r>
                                <w:rPr>
                                  <w:rFonts w:ascii="Cambria Math" w:hAnsi="Cambria Math" w:cs="Times New Roman"/>
                                  <w:sz w:val="24"/>
                                  <w:szCs w:val="24"/>
                                  <w:lang w:val="fr-FR"/>
                                </w:rPr>
                                <m:t>ref</m:t>
                              </m:r>
                            </m:sub>
                          </m:sSub>
                        </m:e>
                      </m:d>
                    </m:e>
                  </m:d>
                </m:e>
              </m:func>
              <m:r>
                <w:rPr>
                  <w:rFonts w:ascii="Cambria Math" w:hAnsi="Cambria Math" w:cs="Times New Roman"/>
                  <w:sz w:val="24"/>
                  <w:szCs w:val="24"/>
                </w:rPr>
                <m:t>#</m:t>
              </m:r>
              <m:d>
                <m:dPr>
                  <m:ctrlPr>
                    <w:rPr>
                      <w:rFonts w:ascii="Cambria Math" w:hAnsi="Cambria Math" w:cs="Times New Roman"/>
                      <w:i/>
                      <w:sz w:val="24"/>
                      <w:szCs w:val="24"/>
                      <w:lang w:val="fr-FR"/>
                    </w:rPr>
                  </m:ctrlPr>
                </m:dPr>
                <m:e>
                  <m:r>
                    <w:rPr>
                      <w:rFonts w:ascii="Cambria Math" w:hAnsi="Cambria Math" w:cs="Times New Roman"/>
                      <w:sz w:val="24"/>
                      <w:szCs w:val="24"/>
                    </w:rPr>
                    <m:t>2</m:t>
                  </m:r>
                </m:e>
              </m:d>
            </m:e>
          </m:eqArr>
        </m:oMath>
      </m:oMathPara>
    </w:p>
    <w:p w14:paraId="3957347D" w14:textId="77777777" w:rsidR="00DB6DD1" w:rsidRPr="00735E86" w:rsidRDefault="00DB6DD1" w:rsidP="00DB6DD1">
      <w:pPr>
        <w:spacing w:line="360" w:lineRule="auto"/>
        <w:jc w:val="both"/>
        <w:rPr>
          <w:rFonts w:ascii="Times New Roman" w:hAnsi="Times New Roman" w:cs="Times New Roman"/>
          <w:sz w:val="24"/>
          <w:szCs w:val="24"/>
        </w:rPr>
      </w:pPr>
    </w:p>
    <w:p w14:paraId="61857CFF" w14:textId="684E7640"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θ is the temperature sensitivity coefficient. Pilarski and Pilarska </w:t>
      </w:r>
      <w:r w:rsidR="00D71727">
        <w:rPr>
          <w:rFonts w:ascii="Times New Roman" w:hAnsi="Times New Roman" w:cs="Times New Roman"/>
          <w:sz w:val="24"/>
          <w:szCs w:val="24"/>
        </w:rPr>
        <w:fldChar w:fldCharType="begin"/>
      </w:r>
      <w:r w:rsidR="00D71727">
        <w:rPr>
          <w:rFonts w:ascii="Times New Roman" w:hAnsi="Times New Roman" w:cs="Times New Roman"/>
          <w:sz w:val="24"/>
          <w:szCs w:val="24"/>
        </w:rPr>
        <w:instrText xml:space="preserve"> ADDIN ZOTERO_ITEM CSL_CITATION {"citationID":"wJOJOkZX","properties":{"unsorted":false,"formattedCitation":"(Pilarski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00D71727">
        <w:rPr>
          <w:rFonts w:ascii="Times New Roman" w:hAnsi="Times New Roman" w:cs="Times New Roman"/>
          <w:sz w:val="24"/>
          <w:szCs w:val="24"/>
        </w:rPr>
        <w:fldChar w:fldCharType="separate"/>
      </w:r>
      <w:r w:rsidR="00D71727" w:rsidRPr="00D71727">
        <w:rPr>
          <w:rFonts w:ascii="Calibri" w:hAnsi="Calibri" w:cs="Calibri"/>
          <w:sz w:val="24"/>
        </w:rPr>
        <w:t>(Pilarski &amp; Pilarska, 2025)</w:t>
      </w:r>
      <w:r w:rsidR="00D71727">
        <w:rPr>
          <w:rFonts w:ascii="Times New Roman" w:hAnsi="Times New Roman" w:cs="Times New Roman"/>
          <w:sz w:val="24"/>
          <w:szCs w:val="24"/>
        </w:rPr>
        <w:fldChar w:fldCharType="end"/>
      </w:r>
      <w:r w:rsidRPr="00DB6DD1">
        <w:rPr>
          <w:rFonts w:ascii="Times New Roman" w:hAnsi="Times New Roman" w:cs="Times New Roman"/>
          <w:sz w:val="24"/>
          <w:szCs w:val="24"/>
        </w:rPr>
        <w:t xml:space="preserve"> determined θ = 0.069 °C⁻¹ for mesophilic digestion of agricultural residues, consistent with values reported by Lindorfer et al. </w:t>
      </w:r>
      <w:r w:rsidR="00A74742">
        <w:rPr>
          <w:rFonts w:ascii="Times New Roman" w:hAnsi="Times New Roman" w:cs="Times New Roman"/>
          <w:sz w:val="24"/>
          <w:szCs w:val="24"/>
        </w:rPr>
        <w:fldChar w:fldCharType="begin"/>
      </w:r>
      <w:r w:rsidR="00A74742">
        <w:rPr>
          <w:rFonts w:ascii="Times New Roman" w:hAnsi="Times New Roman" w:cs="Times New Roman"/>
          <w:sz w:val="24"/>
          <w:szCs w:val="24"/>
        </w:rPr>
        <w:instrText xml:space="preserve"> ADDIN ZOTERO_ITEM CSL_CITATION {"citationID":"2bFWLU7G","properties":{"unsorted":false,"formattedCitation":"(Lindorfer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rsidR="00A74742">
        <w:rPr>
          <w:rFonts w:ascii="Times New Roman" w:hAnsi="Times New Roman" w:cs="Times New Roman"/>
          <w:sz w:val="24"/>
          <w:szCs w:val="24"/>
        </w:rPr>
        <w:fldChar w:fldCharType="separate"/>
      </w:r>
      <w:r w:rsidR="00A74742" w:rsidRPr="00A74742">
        <w:rPr>
          <w:rFonts w:ascii="Calibri" w:hAnsi="Calibri" w:cs="Calibri"/>
          <w:sz w:val="24"/>
        </w:rPr>
        <w:t>(Lindorfer et al., 2008)</w:t>
      </w:r>
      <w:r w:rsidR="00A74742">
        <w:rPr>
          <w:rFonts w:ascii="Times New Roman" w:hAnsi="Times New Roman" w:cs="Times New Roman"/>
          <w:sz w:val="24"/>
          <w:szCs w:val="24"/>
        </w:rPr>
        <w:fldChar w:fldCharType="end"/>
      </w:r>
      <w:r w:rsidRPr="00DB6DD1">
        <w:rPr>
          <w:rFonts w:ascii="Times New Roman" w:hAnsi="Times New Roman" w:cs="Times New Roman"/>
          <w:sz w:val="24"/>
          <w:szCs w:val="24"/>
        </w:rPr>
        <w:t xml:space="preserve"> for farm-scale digesters operating between 20°C and 42°C. This relationship is central to the present model, because it directly links the ambient temperature climate of each study site to the achievable biogas yield.</w:t>
      </w:r>
    </w:p>
    <w:p w14:paraId="361826F4" w14:textId="04878A43"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The Modified Gompertz model, introduced to describe bacterial growth curves</w:t>
      </w:r>
      <w:r w:rsidR="00A74742">
        <w:rPr>
          <w:rFonts w:ascii="Times New Roman" w:hAnsi="Times New Roman" w:cs="Times New Roman"/>
          <w:sz w:val="24"/>
          <w:szCs w:val="24"/>
        </w:rPr>
        <w:t xml:space="preserve"> </w:t>
      </w:r>
      <w:r w:rsidR="00A74742">
        <w:rPr>
          <w:rFonts w:ascii="Times New Roman" w:hAnsi="Times New Roman" w:cs="Times New Roman"/>
          <w:sz w:val="24"/>
          <w:szCs w:val="24"/>
        </w:rPr>
        <w:fldChar w:fldCharType="begin"/>
      </w:r>
      <w:r w:rsidR="00A74742">
        <w:rPr>
          <w:rFonts w:ascii="Times New Roman" w:hAnsi="Times New Roman" w:cs="Times New Roman"/>
          <w:sz w:val="24"/>
          <w:szCs w:val="24"/>
        </w:rPr>
        <w:instrText xml:space="preserve"> ADDIN ZOTERO_ITEM CSL_CITATION {"citationID":"B3XEnYXo","properties":{"unsorted":false,"formattedCitation":"(Zwietering et al., 1990)","plainCitation":"(Zwietering et al., 1990)","noteIndex":0},"citationItems":[{"id":69,"uris":["http://zotero.org/users/local/i6bXxmSk/items/WKRS3TDM"],"itemData":{"id":69,"type":"article-journal","abstract":"Several sigmoidal functions (logistic, Gompertz, Richards, Schnute, and Stannard) were compared to describe a bacterial growth curve. They were compared statistically by using the model of Schnute, which is a comprehensive model, encompassing all other models. The\n              t\n              test and the\n              F\n              test were used. With the\n              t\n              test, confidence intervals for parameters can be calculated and can be used to distinguish between models. In the\n              F\n              test, the lack of fit of the models is compared with the measuring error. Moreover, the models were compared with respect to their ease of use. All sigmoidal functions were modified so that they contained biologically relevant parameters. The models of Richards, Schnute, and Stannard appeared to be basically the same equation. In the cases tested, the modified Gompertz equation was statistically sufficient to describe the growth data of\n              Lactobacillus plantarum\n              and was easy to use.","container-title":"Applied and Environmental Microbiology","DOI":"10.1128/aem.56.6.1875-1881.1990","ISSN":"0099-2240, 1098-5336","issue":"6","journalAbbreviation":"Appl Environ Microbiol","language":"en","page":"1875-1881","source":"DOI.org (Crossref)","title":"Modeling of the Bacterial Growth Curve","volume":"56","author":[{"family":"Zwietering","given":"M. H."},{"family":"Jongenburger","given":"I."},{"family":"Rombouts","given":"F. M."},{"family":"Van 'T Riet","given":"K."}],"issued":{"date-parts":[["1990",6]]}}}],"schema":"https://github.com/citation-style-language/schema/raw/master/csl-citation.json"} </w:instrText>
      </w:r>
      <w:r w:rsidR="00A74742">
        <w:rPr>
          <w:rFonts w:ascii="Times New Roman" w:hAnsi="Times New Roman" w:cs="Times New Roman"/>
          <w:sz w:val="24"/>
          <w:szCs w:val="24"/>
        </w:rPr>
        <w:fldChar w:fldCharType="separate"/>
      </w:r>
      <w:r w:rsidR="00A74742" w:rsidRPr="00A74742">
        <w:rPr>
          <w:rFonts w:ascii="Calibri" w:hAnsi="Calibri" w:cs="Calibri"/>
          <w:sz w:val="24"/>
        </w:rPr>
        <w:t>(Zwietering et al., 1990)</w:t>
      </w:r>
      <w:r w:rsidR="00A74742">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and subsequently widely applied to describe cumulative methane production kinetics, takes the form:</w:t>
      </w:r>
    </w:p>
    <w:p w14:paraId="579B406C" w14:textId="77777777" w:rsidR="00DB6DD1" w:rsidRPr="00DB6DD1" w:rsidRDefault="00DB6DD1" w:rsidP="00DB6DD1">
      <w:pPr>
        <w:spacing w:line="360" w:lineRule="auto"/>
        <w:jc w:val="both"/>
        <w:rPr>
          <w:rFonts w:ascii="Times New Roman" w:hAnsi="Times New Roman" w:cs="Times New Roman"/>
          <w:sz w:val="24"/>
          <w:szCs w:val="24"/>
        </w:rPr>
      </w:pPr>
    </w:p>
    <w:p w14:paraId="55B321AB" w14:textId="77777777" w:rsidR="001C59C2" w:rsidRPr="006217F4" w:rsidRDefault="00533732" w:rsidP="001C59C2">
      <w:pPr>
        <w:spacing w:line="360" w:lineRule="auto"/>
        <w:jc w:val="both"/>
        <w:rPr>
          <w:rFonts w:ascii="Times New Roman" w:eastAsiaTheme="minorEastAsia" w:hAnsi="Times New Roman" w:cs="Times New Roman"/>
          <w:sz w:val="24"/>
          <w:szCs w:val="24"/>
          <w:lang w:val="fr-FR"/>
        </w:rPr>
      </w:pPr>
      <m:oMathPara>
        <m:oMath>
          <m:eqArr>
            <m:eqArrPr>
              <m:maxDist m:val="1"/>
              <m:ctrlPr>
                <w:rPr>
                  <w:rFonts w:ascii="Cambria Math" w:hAnsi="Cambria Math" w:cs="Times New Roman"/>
                  <w:sz w:val="24"/>
                  <w:szCs w:val="24"/>
                  <w:lang w:val="fr-FR"/>
                </w:rPr>
              </m:ctrlPr>
            </m:eqArrPr>
            <m:e>
              <m:r>
                <w:rPr>
                  <w:rFonts w:ascii="Cambria Math" w:hAnsi="Cambria Math" w:cs="Times New Roman"/>
                  <w:sz w:val="24"/>
                  <w:szCs w:val="24"/>
                  <w:lang w:val="fr-FR"/>
                </w:rPr>
                <m:t>M</m:t>
              </m:r>
              <m:d>
                <m:dPr>
                  <m:ctrlPr>
                    <w:rPr>
                      <w:rFonts w:ascii="Cambria Math" w:hAnsi="Cambria Math" w:cs="Times New Roman"/>
                      <w:i/>
                      <w:sz w:val="24"/>
                      <w:szCs w:val="24"/>
                      <w:lang w:val="fr-FR"/>
                    </w:rPr>
                  </m:ctrlPr>
                </m:dPr>
                <m:e>
                  <m:r>
                    <w:rPr>
                      <w:rFonts w:ascii="Cambria Math" w:hAnsi="Cambria Math" w:cs="Times New Roman"/>
                      <w:sz w:val="24"/>
                      <w:szCs w:val="24"/>
                      <w:lang w:val="fr-FR"/>
                    </w:rPr>
                    <m:t>t</m:t>
                  </m:r>
                </m:e>
              </m:d>
              <m:r>
                <w:rPr>
                  <w:rFonts w:ascii="Cambria Math" w:hAnsi="Cambria Math" w:cs="Times New Roman"/>
                  <w:sz w:val="24"/>
                  <w:szCs w:val="24"/>
                  <w:lang w:val="fr-FR"/>
                </w:rPr>
                <m:t>= P ∙</m:t>
              </m:r>
              <m:r>
                <m:rPr>
                  <m:sty m:val="p"/>
                </m:rPr>
                <w:rPr>
                  <w:rFonts w:ascii="Cambria Math" w:hAnsi="Cambria Math" w:cs="Times New Roman"/>
                  <w:sz w:val="24"/>
                  <w:szCs w:val="24"/>
                  <w:lang w:val="fr-FR"/>
                </w:rPr>
                <m:t>exp</m:t>
              </m:r>
              <m:d>
                <m:dPr>
                  <m:begChr m:val="{"/>
                  <m:endChr m:val="}"/>
                  <m:ctrlPr>
                    <w:rPr>
                      <w:rFonts w:ascii="Cambria Math" w:hAnsi="Cambria Math" w:cs="Times New Roman"/>
                      <w:sz w:val="24"/>
                      <w:szCs w:val="24"/>
                      <w:lang w:val="fr-FR"/>
                    </w:rPr>
                  </m:ctrlPr>
                </m:dPr>
                <m:e>
                  <m:r>
                    <w:rPr>
                      <w:rFonts w:ascii="Cambria Math" w:hAnsi="Cambria Math" w:cs="Times New Roman"/>
                      <w:sz w:val="24"/>
                      <w:szCs w:val="24"/>
                      <w:lang w:val="fr-FR"/>
                    </w:rPr>
                    <m:t>-exp</m:t>
                  </m:r>
                  <m:d>
                    <m:dPr>
                      <m:begChr m:val="["/>
                      <m:endChr m:val="]"/>
                      <m:ctrlPr>
                        <w:rPr>
                          <w:rFonts w:ascii="Cambria Math" w:hAnsi="Cambria Math" w:cs="Times New Roman"/>
                          <w:i/>
                          <w:sz w:val="24"/>
                          <w:szCs w:val="24"/>
                          <w:lang w:val="fr-FR"/>
                        </w:rPr>
                      </m:ctrlPr>
                    </m:dPr>
                    <m:e>
                      <m:f>
                        <m:fPr>
                          <m:ctrlPr>
                            <w:rPr>
                              <w:rFonts w:ascii="Cambria Math" w:hAnsi="Cambria Math" w:cs="Times New Roman"/>
                              <w:i/>
                              <w:sz w:val="24"/>
                              <w:szCs w:val="24"/>
                              <w:lang w:val="fr-FR"/>
                            </w:rPr>
                          </m:ctrlPr>
                        </m:fPr>
                        <m:num>
                          <m:sSub>
                            <m:sSubPr>
                              <m:ctrlPr>
                                <w:rPr>
                                  <w:rFonts w:ascii="Cambria Math" w:hAnsi="Cambria Math" w:cs="Times New Roman"/>
                                  <w:i/>
                                  <w:sz w:val="24"/>
                                  <w:szCs w:val="24"/>
                                  <w:lang w:val="fr-FR"/>
                                </w:rPr>
                              </m:ctrlPr>
                            </m:sSubPr>
                            <m:e>
                              <m:r>
                                <w:rPr>
                                  <w:rFonts w:ascii="Cambria Math" w:hAnsi="Cambria Math" w:cs="Times New Roman"/>
                                  <w:sz w:val="24"/>
                                  <w:szCs w:val="24"/>
                                  <w:lang w:val="fr-FR"/>
                                </w:rPr>
                                <m:t>R</m:t>
                              </m:r>
                            </m:e>
                            <m:sub>
                              <m:r>
                                <w:rPr>
                                  <w:rFonts w:ascii="Cambria Math" w:hAnsi="Cambria Math" w:cs="Times New Roman"/>
                                  <w:sz w:val="24"/>
                                  <w:szCs w:val="24"/>
                                  <w:lang w:val="fr-FR"/>
                                </w:rPr>
                                <m:t>max</m:t>
                              </m:r>
                            </m:sub>
                          </m:sSub>
                          <m:r>
                            <w:rPr>
                              <w:rFonts w:ascii="Cambria Math" w:hAnsi="Cambria Math" w:cs="Times New Roman"/>
                              <w:sz w:val="24"/>
                              <w:szCs w:val="24"/>
                              <w:lang w:val="fr-FR"/>
                            </w:rPr>
                            <m:t>∙e</m:t>
                          </m:r>
                        </m:num>
                        <m:den>
                          <m:r>
                            <w:rPr>
                              <w:rFonts w:ascii="Cambria Math" w:hAnsi="Cambria Math" w:cs="Times New Roman"/>
                              <w:sz w:val="24"/>
                              <w:szCs w:val="24"/>
                              <w:lang w:val="fr-FR"/>
                            </w:rPr>
                            <m:t>P</m:t>
                          </m:r>
                        </m:den>
                      </m:f>
                      <m:r>
                        <w:rPr>
                          <w:rFonts w:ascii="Cambria Math" w:hAnsi="Cambria Math" w:cs="Times New Roman"/>
                          <w:sz w:val="24"/>
                          <w:szCs w:val="24"/>
                          <w:lang w:val="fr-FR"/>
                        </w:rPr>
                        <m:t>(λ- t) + 1</m:t>
                      </m:r>
                    </m:e>
                  </m:d>
                </m:e>
              </m:d>
              <m:r>
                <w:rPr>
                  <w:rFonts w:ascii="Cambria Math" w:hAnsi="Cambria Math" w:cs="Times New Roman"/>
                  <w:sz w:val="24"/>
                  <w:szCs w:val="24"/>
                  <w:lang w:val="fr-FR"/>
                </w:rPr>
                <m:t>#</m:t>
              </m:r>
              <m:d>
                <m:dPr>
                  <m:ctrlPr>
                    <w:rPr>
                      <w:rFonts w:ascii="Cambria Math" w:hAnsi="Cambria Math" w:cs="Times New Roman"/>
                      <w:sz w:val="24"/>
                      <w:szCs w:val="24"/>
                      <w:lang w:val="fr-FR"/>
                    </w:rPr>
                  </m:ctrlPr>
                </m:dPr>
                <m:e>
                  <m:r>
                    <m:rPr>
                      <m:sty m:val="p"/>
                    </m:rPr>
                    <w:rPr>
                      <w:rFonts w:ascii="Cambria Math" w:hAnsi="Cambria Math" w:cs="Times New Roman"/>
                      <w:sz w:val="24"/>
                      <w:szCs w:val="24"/>
                      <w:lang w:val="fr-FR"/>
                    </w:rPr>
                    <m:t>3</m:t>
                  </m:r>
                </m:e>
              </m:d>
              <m:ctrlPr>
                <w:rPr>
                  <w:rFonts w:ascii="Cambria Math" w:hAnsi="Cambria Math" w:cs="Times New Roman"/>
                  <w:i/>
                  <w:sz w:val="24"/>
                  <w:szCs w:val="24"/>
                  <w:lang w:val="fr-FR"/>
                </w:rPr>
              </m:ctrlPr>
            </m:e>
          </m:eqArr>
        </m:oMath>
      </m:oMathPara>
    </w:p>
    <w:p w14:paraId="6B538CDB" w14:textId="77777777" w:rsidR="00DB6DD1" w:rsidRPr="00735E86" w:rsidRDefault="00DB6DD1" w:rsidP="00DB6DD1">
      <w:pPr>
        <w:spacing w:line="360" w:lineRule="auto"/>
        <w:jc w:val="both"/>
        <w:rPr>
          <w:rFonts w:ascii="Times New Roman" w:hAnsi="Times New Roman" w:cs="Times New Roman"/>
          <w:sz w:val="24"/>
          <w:szCs w:val="24"/>
        </w:rPr>
      </w:pPr>
    </w:p>
    <w:p w14:paraId="7F4FA391" w14:textId="0413E3EE" w:rsid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r>
          <w:rPr>
            <w:rFonts w:ascii="Cambria Math" w:hAnsi="Cambria Math" w:cs="Times New Roman"/>
            <w:sz w:val="24"/>
            <w:szCs w:val="24"/>
          </w:rPr>
          <m:t>M(t)</m:t>
        </m:r>
      </m:oMath>
      <w:r w:rsidRPr="00DB6DD1">
        <w:rPr>
          <w:rFonts w:ascii="Times New Roman" w:hAnsi="Times New Roman" w:cs="Times New Roman"/>
          <w:sz w:val="24"/>
          <w:szCs w:val="24"/>
        </w:rPr>
        <w:t xml:space="preserve"> is cumulative methane production at time t, </w:t>
      </w:r>
      <m:oMath>
        <m:r>
          <w:rPr>
            <w:rFonts w:ascii="Cambria Math" w:hAnsi="Cambria Math" w:cs="Times New Roman"/>
            <w:sz w:val="24"/>
            <w:szCs w:val="24"/>
          </w:rPr>
          <m:t>P</m:t>
        </m:r>
      </m:oMath>
      <w:r w:rsidRPr="00DB6DD1">
        <w:rPr>
          <w:rFonts w:ascii="Times New Roman" w:hAnsi="Times New Roman" w:cs="Times New Roman"/>
          <w:sz w:val="24"/>
          <w:szCs w:val="24"/>
        </w:rPr>
        <w:t xml:space="preserve"> is the ultimate methane potential,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oMath>
      <w:r w:rsidRPr="00DB6DD1">
        <w:rPr>
          <w:rFonts w:ascii="Times New Roman" w:hAnsi="Times New Roman" w:cs="Times New Roman"/>
          <w:sz w:val="24"/>
          <w:szCs w:val="24"/>
        </w:rPr>
        <w:t xml:space="preserve"> the maximum production rate, and </w:t>
      </w:r>
      <m:oMath>
        <m:r>
          <w:rPr>
            <w:rFonts w:ascii="Cambria Math" w:hAnsi="Cambria Math" w:cs="Times New Roman"/>
            <w:sz w:val="24"/>
            <w:szCs w:val="24"/>
          </w:rPr>
          <m:t>λ</m:t>
        </m:r>
      </m:oMath>
      <w:r w:rsidRPr="00DB6DD1">
        <w:rPr>
          <w:rFonts w:ascii="Times New Roman" w:hAnsi="Times New Roman" w:cs="Times New Roman"/>
          <w:sz w:val="24"/>
          <w:szCs w:val="24"/>
        </w:rPr>
        <w:t xml:space="preserve"> is the lag phase duration. While the Modified Gompertz model is not implemented in the present study (which uses steady-state annual biogas yields), it provides the theoretical kinetic foundation for the BMP values and HRT constraints used here.</w:t>
      </w:r>
    </w:p>
    <w:p w14:paraId="2708D0C0" w14:textId="77777777" w:rsidR="00173DF1" w:rsidRPr="00DB6DD1" w:rsidRDefault="00173DF1" w:rsidP="00DB6DD1">
      <w:pPr>
        <w:spacing w:line="360" w:lineRule="auto"/>
        <w:jc w:val="both"/>
        <w:rPr>
          <w:rFonts w:ascii="Times New Roman" w:hAnsi="Times New Roman" w:cs="Times New Roman"/>
          <w:sz w:val="24"/>
          <w:szCs w:val="24"/>
        </w:rPr>
      </w:pPr>
    </w:p>
    <w:p w14:paraId="7CC490CB" w14:textId="4647AC13"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2.2.3. Co-digestion and process stability</w:t>
      </w:r>
    </w:p>
    <w:p w14:paraId="6D4AEFF4" w14:textId="7A055524" w:rsidR="00DB6DD1" w:rsidRDefault="00DB6DD1" w:rsidP="00FE628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Tomato residues present a specific kinetic challenge: a high C/N ratio and significant lignocellulosic content that resists hydrolysis and can slow the overall digestion process</w:t>
      </w:r>
      <w:r w:rsidR="00B13AAB">
        <w:rPr>
          <w:rFonts w:ascii="Times New Roman" w:hAnsi="Times New Roman" w:cs="Times New Roman"/>
          <w:sz w:val="24"/>
          <w:szCs w:val="24"/>
        </w:rPr>
        <w:t xml:space="preserve"> </w:t>
      </w:r>
      <w:r w:rsidRPr="00230411">
        <w:rPr>
          <w:rFonts w:ascii="Times New Roman" w:hAnsi="Times New Roman" w:cs="Times New Roman"/>
          <w:color w:val="FF0000"/>
          <w:sz w:val="24"/>
          <w:szCs w:val="24"/>
        </w:rPr>
        <w:t>(Wang et al., 2018)</w:t>
      </w:r>
      <w:r w:rsidRPr="00DB6DD1">
        <w:rPr>
          <w:rFonts w:ascii="Times New Roman" w:hAnsi="Times New Roman" w:cs="Times New Roman"/>
          <w:sz w:val="24"/>
          <w:szCs w:val="24"/>
        </w:rPr>
        <w:t xml:space="preserve">. Anaerobic co-digestion — mixing the carbon-rich crop residues with nitrogen-rich substrates such as cattle manure or food waste — is an effective mitigation strategy because it balances the C/N ratio, dilutes potential inhibitors, and can increase methane yield by 20% or more (Wang et al., 2018). Pilarski and Pilarska </w:t>
      </w:r>
      <w:r w:rsidR="00230411">
        <w:rPr>
          <w:rFonts w:ascii="Times New Roman" w:hAnsi="Times New Roman" w:cs="Times New Roman"/>
          <w:sz w:val="24"/>
          <w:szCs w:val="24"/>
        </w:rPr>
        <w:fldChar w:fldCharType="begin"/>
      </w:r>
      <w:r w:rsidR="00230411">
        <w:rPr>
          <w:rFonts w:ascii="Times New Roman" w:hAnsi="Times New Roman" w:cs="Times New Roman"/>
          <w:sz w:val="24"/>
          <w:szCs w:val="24"/>
        </w:rPr>
        <w:instrText xml:space="preserve"> ADDIN ZOTERO_ITEM CSL_CITATION {"citationID":"C5w67pHJ","properties":{"unsorted":false,"formattedCitation":"(Pilarski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00230411">
        <w:rPr>
          <w:rFonts w:ascii="Times New Roman" w:hAnsi="Times New Roman" w:cs="Times New Roman"/>
          <w:sz w:val="24"/>
          <w:szCs w:val="24"/>
        </w:rPr>
        <w:fldChar w:fldCharType="separate"/>
      </w:r>
      <w:r w:rsidR="00230411" w:rsidRPr="00230411">
        <w:rPr>
          <w:rFonts w:ascii="Calibri" w:hAnsi="Calibri" w:cs="Calibri"/>
          <w:sz w:val="24"/>
        </w:rPr>
        <w:t>(Pilarski &amp; Pilarska, 2025)</w:t>
      </w:r>
      <w:r w:rsidR="00230411">
        <w:rPr>
          <w:rFonts w:ascii="Times New Roman" w:hAnsi="Times New Roman" w:cs="Times New Roman"/>
          <w:sz w:val="24"/>
          <w:szCs w:val="24"/>
        </w:rPr>
        <w:fldChar w:fldCharType="end"/>
      </w:r>
      <w:r w:rsidRPr="00DB6DD1">
        <w:rPr>
          <w:rFonts w:ascii="Times New Roman" w:hAnsi="Times New Roman" w:cs="Times New Roman"/>
          <w:sz w:val="24"/>
          <w:szCs w:val="24"/>
        </w:rPr>
        <w:t xml:space="preserve"> specifically demonstrated this yield improvement for a tomato residue and cattle manure mixture at a 1:1 ratio on a volatile solids basis. Process stability is routinely monitored through the volatile fatty acids to alkalinity ratio (VFA/Alk), with stable mesophilic operation generally associated with VFA/Alk below 0.3 </w:t>
      </w:r>
      <w:r w:rsidR="00230411">
        <w:rPr>
          <w:rFonts w:ascii="Times New Roman" w:hAnsi="Times New Roman" w:cs="Times New Roman"/>
          <w:sz w:val="24"/>
          <w:szCs w:val="24"/>
        </w:rPr>
        <w:fldChar w:fldCharType="begin"/>
      </w:r>
      <w:r w:rsidR="00230411">
        <w:rPr>
          <w:rFonts w:ascii="Times New Roman" w:hAnsi="Times New Roman" w:cs="Times New Roman"/>
          <w:sz w:val="24"/>
          <w:szCs w:val="24"/>
        </w:rPr>
        <w:instrText xml:space="preserve"> ADDIN ZOTERO_ITEM CSL_CITATION {"citationID":"MzK1mGcy","properties":{"unsorted":false,"formattedCitation":"(Marchaim, 1992)","plainCitation":"(Marchaim, 1992)","noteIndex":0},"citationItems":[{"id":75,"uris":["http://zotero.org/users/local/i6bXxmSk/items/ZYIKW6Y7"],"itemData":{"id":75,"type":"book","call-number":"TP762 .M35 1992","collection-number":"95","collection-title":"FAO agricultural services bulletin","ISBN":"978-92-5-103126-1","language":"en","number-of-pages":"232","publisher":"Food and Agriculture Organization of the United Nations","publisher-place":"Rome","source":"Library of Congress ISBN","title":"Biogas processes for sustainable development","author":[{"family":"Marchaim","given":"Uri"}],"issued":{"date-parts":[["1992"]]}}}],"schema":"https://github.com/citation-style-language/schema/raw/master/csl-citation.json"} </w:instrText>
      </w:r>
      <w:r w:rsidR="00230411">
        <w:rPr>
          <w:rFonts w:ascii="Times New Roman" w:hAnsi="Times New Roman" w:cs="Times New Roman"/>
          <w:sz w:val="24"/>
          <w:szCs w:val="24"/>
        </w:rPr>
        <w:fldChar w:fldCharType="separate"/>
      </w:r>
      <w:r w:rsidR="00230411" w:rsidRPr="00230411">
        <w:rPr>
          <w:rFonts w:ascii="Calibri" w:hAnsi="Calibri" w:cs="Calibri"/>
          <w:sz w:val="24"/>
        </w:rPr>
        <w:t>(Marchaim, 1992)</w:t>
      </w:r>
      <w:r w:rsidR="00230411">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79B17B11" w14:textId="77777777" w:rsidR="00173DF1" w:rsidRPr="00DB6DD1" w:rsidRDefault="00173DF1" w:rsidP="00FE6287">
      <w:pPr>
        <w:spacing w:line="360" w:lineRule="auto"/>
        <w:ind w:firstLine="720"/>
        <w:jc w:val="both"/>
        <w:rPr>
          <w:rFonts w:ascii="Times New Roman" w:hAnsi="Times New Roman" w:cs="Times New Roman"/>
          <w:sz w:val="24"/>
          <w:szCs w:val="24"/>
        </w:rPr>
      </w:pPr>
    </w:p>
    <w:p w14:paraId="4AA6497D" w14:textId="628E5C02"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2.3. Integrated Agrivoltaic-Biogas Systems</w:t>
      </w:r>
    </w:p>
    <w:p w14:paraId="7E2A4F05" w14:textId="6FDF1032" w:rsidR="00DB6DD1" w:rsidRPr="00E6057D" w:rsidRDefault="00DB6DD1" w:rsidP="00FE628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 integration of agrivoltaics and anaerobic digestion is an emerging research frontier that has so far received only fragmented attention. Rather than treating the two subsystems as independent, integration exploits a set of natural synergies: the PV system provides electricity for AD thermal management, the AD unit processes crop residues into biogas, and the resulting digestate returns nutrients to the soil beneath the panels</w:t>
      </w:r>
      <w:r w:rsidR="00E34C58">
        <w:rPr>
          <w:rFonts w:ascii="Times New Roman" w:hAnsi="Times New Roman" w:cs="Times New Roman"/>
          <w:sz w:val="24"/>
          <w:szCs w:val="24"/>
        </w:rPr>
        <w:t xml:space="preserve"> </w:t>
      </w:r>
      <w:r w:rsidR="00E34C58">
        <w:rPr>
          <w:rFonts w:ascii="Times New Roman" w:hAnsi="Times New Roman" w:cs="Times New Roman"/>
          <w:sz w:val="24"/>
          <w:szCs w:val="24"/>
        </w:rPr>
        <w:fldChar w:fldCharType="begin"/>
      </w:r>
      <w:r w:rsidR="00E34C58">
        <w:rPr>
          <w:rFonts w:ascii="Times New Roman" w:hAnsi="Times New Roman" w:cs="Times New Roman"/>
          <w:sz w:val="24"/>
          <w:szCs w:val="24"/>
        </w:rPr>
        <w:instrText xml:space="preserve"> ADDIN ZOTERO_ITEM CSL_CITATION {"citationID":"vC7Cncvm","properties":{"unsorted":false,"formattedCitation":"(Pal &amp; Ilango, 2024; Temiz et al., n.d.)","plainCitation":"(Pal &amp; Ilango, 2024; Temiz et al., n.d.)","noteIndex":0},"citationItems":[{"id":77,"uris":["http://zotero.org/users/local/i6bXxmSk/items/KSXUPFKN"],"itemData":{"id":77,"type":"article-journal","abstract":"This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Saravana"}],"issued":{"date-parts":[["2024",1]]}}},{"id":79,"uris":["http://zotero.org/users/local/i6bXxmSk/items/FWRZR77B"],"itemData":{"id":79,"type":"article-journal","abstract":"In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w:instrText>
      </w:r>
      <w:r w:rsidR="00E34C58" w:rsidRPr="00E6057D">
        <w:rPr>
          <w:rFonts w:ascii="Times New Roman" w:hAnsi="Times New Roman" w:cs="Times New Roman"/>
          <w:sz w:val="24"/>
          <w:szCs w:val="24"/>
        </w:rPr>
        <w:instrText xml:space="preserve">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requirements.","language":"en","source":"Zotero","title":"Development and assessment of a new agrivoltaic‐biogas energy system for sustainable communities","author":[{"family":"Temiz","given":"Mert"},{"family":"Sinbuathong","given":"Nusara"},{"family":"Dincer","given":"Ibrahim"}]}}],"schema":"https://github.com/citation-style-language/schema/raw/master/csl-citation.json"} </w:instrText>
      </w:r>
      <w:r w:rsidR="00E34C58">
        <w:rPr>
          <w:rFonts w:ascii="Times New Roman" w:hAnsi="Times New Roman" w:cs="Times New Roman"/>
          <w:sz w:val="24"/>
          <w:szCs w:val="24"/>
        </w:rPr>
        <w:fldChar w:fldCharType="separate"/>
      </w:r>
      <w:r w:rsidR="00E34C58" w:rsidRPr="00E6057D">
        <w:rPr>
          <w:rFonts w:ascii="Calibri" w:hAnsi="Calibri" w:cs="Calibri"/>
          <w:sz w:val="24"/>
        </w:rPr>
        <w:t>(Pal &amp; Ilango, 2024; Temiz et al., n.d.)</w:t>
      </w:r>
      <w:r w:rsidR="00E34C58">
        <w:rPr>
          <w:rFonts w:ascii="Times New Roman" w:hAnsi="Times New Roman" w:cs="Times New Roman"/>
          <w:sz w:val="24"/>
          <w:szCs w:val="24"/>
        </w:rPr>
        <w:fldChar w:fldCharType="end"/>
      </w:r>
      <w:r w:rsidR="005F2BB5" w:rsidRPr="00E6057D">
        <w:rPr>
          <w:rFonts w:ascii="Times New Roman" w:hAnsi="Times New Roman" w:cs="Times New Roman"/>
          <w:sz w:val="24"/>
          <w:szCs w:val="24"/>
        </w:rPr>
        <w:t>.</w:t>
      </w:r>
    </w:p>
    <w:p w14:paraId="0C2ED7F8" w14:textId="77777777" w:rsidR="00FE6287" w:rsidRPr="00E6057D" w:rsidRDefault="00FE6287" w:rsidP="00DB6DD1">
      <w:pPr>
        <w:spacing w:line="360" w:lineRule="auto"/>
        <w:jc w:val="both"/>
        <w:rPr>
          <w:rFonts w:ascii="Times New Roman" w:hAnsi="Times New Roman" w:cs="Times New Roman"/>
          <w:sz w:val="24"/>
          <w:szCs w:val="24"/>
        </w:rPr>
      </w:pPr>
    </w:p>
    <w:p w14:paraId="36B29195" w14:textId="1DAE9021"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2.3.1. Thermal coupling of PV and AD</w:t>
      </w:r>
    </w:p>
    <w:p w14:paraId="2247B78A" w14:textId="6FCEDEBD" w:rsidR="00DB6DD1" w:rsidRPr="00DB6DD1" w:rsidRDefault="00DB6DD1" w:rsidP="00FE628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lastRenderedPageBreak/>
        <w:t>The most direct synergy between PV and AD lies in using PV-generated electricity to maintain the digester temperature, thereby reducing or eliminating the need to combust biogas for self-heating. Pal and Ilango</w:t>
      </w:r>
      <w:r w:rsidR="00CD0808">
        <w:rPr>
          <w:rFonts w:ascii="Times New Roman" w:hAnsi="Times New Roman" w:cs="Times New Roman"/>
          <w:sz w:val="24"/>
          <w:szCs w:val="24"/>
        </w:rPr>
        <w:t xml:space="preserve"> </w:t>
      </w:r>
      <w:r w:rsidR="005F2BB5">
        <w:rPr>
          <w:rFonts w:ascii="Times New Roman" w:hAnsi="Times New Roman" w:cs="Times New Roman"/>
          <w:sz w:val="24"/>
          <w:szCs w:val="24"/>
        </w:rPr>
        <w:fldChar w:fldCharType="begin"/>
      </w:r>
      <w:r w:rsidR="005F2BB5">
        <w:rPr>
          <w:rFonts w:ascii="Times New Roman" w:hAnsi="Times New Roman" w:cs="Times New Roman"/>
          <w:sz w:val="24"/>
          <w:szCs w:val="24"/>
        </w:rPr>
        <w:instrText xml:space="preserve"> ADDIN ZOTERO_ITEM CSL_CITATION {"citationID":"xJl0aQoW","properties":{"unsorted":false,"formattedCitation":"(Pal &amp; Ilango, 2024)","plainCitation":"(Pal &amp; Ilango, 2024)","noteIndex":0},"citationItems":[{"id":77,"uris":["http://zotero.org/users/local/i6bXxmSk/items/KSXUPFKN"],"itemData":{"id":77,"type":"article-journal","abstract":"This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005F2BB5">
        <w:rPr>
          <w:rFonts w:ascii="Times New Roman" w:hAnsi="Times New Roman" w:cs="Times New Roman"/>
          <w:sz w:val="24"/>
          <w:szCs w:val="24"/>
        </w:rPr>
        <w:fldChar w:fldCharType="separate"/>
      </w:r>
      <w:r w:rsidR="005F2BB5" w:rsidRPr="005F2BB5">
        <w:rPr>
          <w:rFonts w:ascii="Calibri" w:hAnsi="Calibri" w:cs="Calibri"/>
          <w:sz w:val="24"/>
        </w:rPr>
        <w:t>(Pal &amp; Ilango, 2024)</w:t>
      </w:r>
      <w:r w:rsidR="005F2BB5">
        <w:rPr>
          <w:rFonts w:ascii="Times New Roman" w:hAnsi="Times New Roman" w:cs="Times New Roman"/>
          <w:sz w:val="24"/>
          <w:szCs w:val="24"/>
        </w:rPr>
        <w:fldChar w:fldCharType="end"/>
      </w:r>
      <w:r w:rsidR="005F2BB5">
        <w:rPr>
          <w:rFonts w:ascii="Times New Roman" w:hAnsi="Times New Roman" w:cs="Times New Roman"/>
          <w:sz w:val="24"/>
          <w:szCs w:val="24"/>
        </w:rPr>
        <w:t xml:space="preserve"> </w:t>
      </w:r>
      <w:r w:rsidRPr="00DB6DD1">
        <w:rPr>
          <w:rFonts w:ascii="Times New Roman" w:hAnsi="Times New Roman" w:cs="Times New Roman"/>
          <w:sz w:val="24"/>
          <w:szCs w:val="24"/>
        </w:rPr>
        <w:t xml:space="preserve">modelled an off-grid PV-biogas system with a constant-temperature digester maintained at 39°C and found that integrated PV heating reduced the required PV capacity by 65% and battery storage capacity by 52%, compared to a non-heated reference system — a striking illustration of the efficiency gain from thermal coupling. Temiz et al. </w:t>
      </w:r>
      <w:r w:rsidR="00CD0808" w:rsidRPr="00645F86">
        <w:rPr>
          <w:rFonts w:ascii="Times New Roman" w:hAnsi="Times New Roman" w:cs="Times New Roman"/>
          <w:color w:val="FF0000"/>
          <w:sz w:val="24"/>
          <w:szCs w:val="24"/>
        </w:rPr>
        <w:fldChar w:fldCharType="begin"/>
      </w:r>
      <w:r w:rsidR="00CD0808" w:rsidRPr="00645F86">
        <w:rPr>
          <w:rFonts w:ascii="Times New Roman" w:hAnsi="Times New Roman" w:cs="Times New Roman"/>
          <w:color w:val="FF0000"/>
          <w:sz w:val="24"/>
          <w:szCs w:val="24"/>
        </w:rPr>
        <w:instrText xml:space="preserve"> ADDIN ZOTERO_ITEM CSL_CITATION {"citationID":"I9CKJuMv","properties":{"unsorted":false,"formattedCitation":"(Temiz et al., n.d.)","plainCitation":"(Temiz et al., n.d.)","noteIndex":0},"citationItems":[{"id":79,"uris":["http://zotero.org/users/local/i6bXxmSk/items/FWRZR77B"],"itemData":{"id":79,"type":"article-journal","abstract":"In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requirements.","language":"en","source":"Zotero","title":"Development and assessment of a new agrivoltaic‐biogas energy system for sustainable communities","author":[{"family":"Temiz","given":"Mert"},{"family":"Sinbuathong","given":"Nusara"},{"family":"Dincer","given":"Ibrahim"}]}}],"schema":"https://github.com/citation-style-language/schema/raw/master/csl-citation.json"} </w:instrText>
      </w:r>
      <w:r w:rsidR="00CD0808" w:rsidRPr="00645F86">
        <w:rPr>
          <w:rFonts w:ascii="Times New Roman" w:hAnsi="Times New Roman" w:cs="Times New Roman"/>
          <w:color w:val="FF0000"/>
          <w:sz w:val="24"/>
          <w:szCs w:val="24"/>
        </w:rPr>
        <w:fldChar w:fldCharType="separate"/>
      </w:r>
      <w:r w:rsidR="00CD0808" w:rsidRPr="00645F86">
        <w:rPr>
          <w:rFonts w:ascii="Calibri" w:hAnsi="Calibri" w:cs="Calibri"/>
          <w:color w:val="FF0000"/>
          <w:sz w:val="24"/>
        </w:rPr>
        <w:t>(Temiz et al., n.d.)</w:t>
      </w:r>
      <w:r w:rsidR="00CD0808" w:rsidRPr="00645F86">
        <w:rPr>
          <w:rFonts w:ascii="Times New Roman" w:hAnsi="Times New Roman" w:cs="Times New Roman"/>
          <w:color w:val="FF0000"/>
          <w:sz w:val="24"/>
          <w:szCs w:val="24"/>
        </w:rPr>
        <w:fldChar w:fldCharType="end"/>
      </w:r>
      <w:r w:rsidRPr="00DB6DD1">
        <w:rPr>
          <w:rFonts w:ascii="Times New Roman" w:hAnsi="Times New Roman" w:cs="Times New Roman"/>
          <w:sz w:val="24"/>
          <w:szCs w:val="24"/>
        </w:rPr>
        <w:t xml:space="preserve"> extended this analysis to include the agrivoltaic crop component, demonstrating that solar thermal integration can save 30–40% of the biogas otherwise consumed for digester self-heating. In warm, sunny climates with low winter heating demand, this saving translates directly into additional biomethane available for export, improving the system's net economic value.</w:t>
      </w:r>
    </w:p>
    <w:p w14:paraId="5407F0D2" w14:textId="71FB0E0D" w:rsidR="00DB6DD1" w:rsidRPr="00DB6DD1" w:rsidRDefault="00DB6DD1" w:rsidP="00FE628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These studies represent meaningful progress, but they share an important limitation: both treat AV and AD as subsystems with essentially unidirectional energy flow. Neither considers the full circular economy loop in which crop residues from the agrivoltaic field feed the digester, and the digestate from the digester fertilizes the crops growing beneath the panels.</w:t>
      </w:r>
    </w:p>
    <w:p w14:paraId="4FAE88DF" w14:textId="77777777" w:rsidR="00DB6DD1" w:rsidRPr="00DB6DD1" w:rsidRDefault="00DB6DD1" w:rsidP="00DB6DD1">
      <w:pPr>
        <w:spacing w:line="360" w:lineRule="auto"/>
        <w:jc w:val="both"/>
        <w:rPr>
          <w:rFonts w:ascii="Times New Roman" w:hAnsi="Times New Roman" w:cs="Times New Roman"/>
          <w:sz w:val="24"/>
          <w:szCs w:val="24"/>
        </w:rPr>
      </w:pPr>
    </w:p>
    <w:p w14:paraId="75C5B205" w14:textId="5044617F" w:rsidR="00DB6DD1" w:rsidRPr="003964BE" w:rsidRDefault="00DB6DD1" w:rsidP="00DB6DD1">
      <w:pPr>
        <w:spacing w:line="360" w:lineRule="auto"/>
        <w:jc w:val="both"/>
        <w:rPr>
          <w:rFonts w:ascii="Times New Roman" w:hAnsi="Times New Roman" w:cs="Times New Roman"/>
          <w:b/>
          <w:bCs/>
          <w:sz w:val="24"/>
          <w:szCs w:val="24"/>
        </w:rPr>
      </w:pPr>
      <w:r w:rsidRPr="003964BE">
        <w:rPr>
          <w:rFonts w:ascii="Times New Roman" w:hAnsi="Times New Roman" w:cs="Times New Roman"/>
          <w:b/>
          <w:bCs/>
          <w:sz w:val="24"/>
          <w:szCs w:val="24"/>
        </w:rPr>
        <w:t>2.3.2. Circular economy and nutrient loops</w:t>
      </w:r>
    </w:p>
    <w:p w14:paraId="255669B9" w14:textId="673C3110" w:rsidR="00DB6DD1" w:rsidRPr="00DB6DD1" w:rsidRDefault="00DB6DD1" w:rsidP="004C6312">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digestate produced by AD is far more than a disposal challenge. It is a concentrated biofertilizer containing nitrogen, phosphorus, potassium, and a range of micronutrients, along with organic matter that improves soil structure </w:t>
      </w:r>
      <w:r w:rsidR="002608AD">
        <w:rPr>
          <w:rFonts w:ascii="Times New Roman" w:hAnsi="Times New Roman" w:cs="Times New Roman"/>
          <w:sz w:val="24"/>
          <w:szCs w:val="24"/>
        </w:rPr>
        <w:fldChar w:fldCharType="begin"/>
      </w:r>
      <w:r w:rsidR="002608AD">
        <w:rPr>
          <w:rFonts w:ascii="Times New Roman" w:hAnsi="Times New Roman" w:cs="Times New Roman"/>
          <w:sz w:val="24"/>
          <w:szCs w:val="24"/>
        </w:rPr>
        <w:instrText xml:space="preserve"> ADDIN ZOTERO_ITEM CSL_CITATION {"citationID":"XexY8Qkj","properties":{"unsorted":false,"formattedCitation":"(M\\uc0\\u246{}ller &amp; M\\uc0\\u252{}ller, 2012)","plainCitation":"(Möller &amp; Müller, 2012)","noteIndex":0},"citationItems":[{"id":81,"uris":["http://zotero.org/users/local/i6bXxmSk/items/5LF74XV7"],"itemData":{"id":81,"type":"article-journal","abstract":"Anaerobic digestion (\n              AD\n              ) for biogas production leads to several changes in the composition of the resulting digestates compared to the original feedstock (ammonia content, p\n              H\n              , carbon to nitrogen ratio, etc.), which are relevant for the plant availability of macro‐ and micronutrients after field application. Increased\n              NH\n              4\n              +\n              ‐\n              N\n              content in digested slurries compared to undigested slurries does not guarantee improved uptake efficiency of slurry nitrogen and increased savings in fertilizer nitrogen.\n              AD\n              of crop residues and cover crops leads to an increase in the total amounts of mobile organic manures within the farming system, resulting in a higher nitrogen use efficiency and an increased scope for target‐oriented nitrogen application in time and space, when needed by the crop, as an alternative to the site‐bound soil incorporation as green manures.\n              AD\n              of dairy manure appears to reduce the fraction of immediate plant available phosphorus and micronutrients. This does, however, not affect short‐term crop availability under field conditions. More studies are needed to improve current knowledge on sulfur losses during\n              AD\n              and fertilizer value of digestates.","container-title":"Engineering in Life Sciences","DOI":"10.1002/elsc.201100085","ISSN":"1618-0240, 1618-2863","issue":"3","journalAbbreviation":"Engineering in Life Sciences","language":"en","license":"http://onlinelibrary.wiley.com/termsAndConditions#vor","page":"242-257","source":"DOI.org (Crossref)","title":"Effects of anaerobic digestion on digestate nutrient availability and crop growth: A review","title-short":"Effects of anaerobic digestion on digestate nutrient availability and crop growth","volume":"12","author":[{"family":"Möller","given":"Kurt"},{"family":"Müller","given":"Torsten"}],"issued":{"date-parts":[["2012",6]]}}}],"schema":"https://github.com/citation-style-language/schema/raw/master/csl-citation.json"} </w:instrText>
      </w:r>
      <w:r w:rsidR="002608AD">
        <w:rPr>
          <w:rFonts w:ascii="Times New Roman" w:hAnsi="Times New Roman" w:cs="Times New Roman"/>
          <w:sz w:val="24"/>
          <w:szCs w:val="24"/>
        </w:rPr>
        <w:fldChar w:fldCharType="separate"/>
      </w:r>
      <w:r w:rsidR="002608AD" w:rsidRPr="002608AD">
        <w:rPr>
          <w:rFonts w:ascii="Calibri" w:hAnsi="Calibri" w:cs="Calibri"/>
          <w:sz w:val="24"/>
          <w:szCs w:val="24"/>
        </w:rPr>
        <w:t>(Möller &amp; Müller, 2012)</w:t>
      </w:r>
      <w:r w:rsidR="002608AD">
        <w:rPr>
          <w:rFonts w:ascii="Times New Roman" w:hAnsi="Times New Roman" w:cs="Times New Roman"/>
          <w:sz w:val="24"/>
          <w:szCs w:val="24"/>
        </w:rPr>
        <w:fldChar w:fldCharType="end"/>
      </w:r>
      <w:r w:rsidRPr="00DB6DD1">
        <w:rPr>
          <w:rFonts w:ascii="Times New Roman" w:hAnsi="Times New Roman" w:cs="Times New Roman"/>
          <w:sz w:val="24"/>
          <w:szCs w:val="24"/>
        </w:rPr>
        <w:t xml:space="preserve">. In the semi-arid soils typical of the study sites, where soil organic matter is chronically depleted and synthetic fertilizer costs are significant, digestate application has been shown to reduce soil bulk density, improve macroporosity, and enhance both water infiltration rate and soil water retention capacity </w:t>
      </w:r>
      <w:r w:rsidR="002C21D3">
        <w:rPr>
          <w:rFonts w:ascii="Times New Roman" w:hAnsi="Times New Roman" w:cs="Times New Roman"/>
          <w:sz w:val="24"/>
          <w:szCs w:val="24"/>
        </w:rPr>
        <w:fldChar w:fldCharType="begin"/>
      </w:r>
      <w:r w:rsidR="002C21D3">
        <w:rPr>
          <w:rFonts w:ascii="Times New Roman" w:hAnsi="Times New Roman" w:cs="Times New Roman"/>
          <w:sz w:val="24"/>
          <w:szCs w:val="24"/>
        </w:rPr>
        <w:instrText xml:space="preserve"> ADDIN ZOTERO_ITEM CSL_CITATION {"citationID":"kOobhI62","properties":{"unsorted":false,"formattedCitation":"(M\\uc0\\u246{}ller &amp; M\\uc0\\u252{}ller, 2012)","plainCitation":"(Möller &amp; Müller, 2012)","noteIndex":0},"citationItems":[{"id":81,"uris":["http://zotero.org/users/local/i6bXxmSk/items/5LF74XV7"],"itemData":{"id":81,"type":"article-journal","abstract":"Anaerobic digestion (\n              AD\n              ) for biogas production leads to several changes in the composition of the resulting digestates compared to the original feedstock (ammonia content, p\n              H\n              , carbon to nitrogen ratio, etc.), which are relevant for the plant availability of macro‐ and micronutrients after field application. Increased\n              NH\n              4\n              +\n              ‐\n              N\n              content in digested slurries compared to undigested slurries does not guarantee improved uptake efficiency of slurry nitrogen and increased savings in fertilizer nitrogen.\n              AD\n              of crop residues and cover crops leads to an increase in the total amounts of mobile organic manures within the farming system, resulting in a higher nitrogen use efficiency and an increased scope for target‐oriented nitrogen application in time and space, when needed by the crop, as an alternative to the site‐bound soil incorporation as green manures.\n              AD\n              of dairy manure appears to reduce the fraction of immediate plant available phosphorus and micronutrients. This does, however, not affect short‐term crop availability under field conditions. More studies are needed to improve current knowledge on sulfur losses during\n              AD\n              and fertilizer value of digestates.","container-title":"Engineering in Life Sciences","DOI":"10.1002/elsc.201100085","ISSN":"1618-0240, 1618-2863","issue":"3","journalAbbreviation":"Engineering in Life Sciences","language":"en","license":"http://onlinelibrary.wiley.com/termsAndConditions#vor","page":"242-257","source":"DOI.org (Crossref)","title":"Effects of anaerobic digestion on digestate nutrient availability and crop growth: A review","title-short":"Effects of anaerobic digestion on digestate nutrient availability and crop growth","volume":"12","author":[{"family":"Möller","given":"Kurt"},{"family":"Müller","given":"Torsten"}],"issued":{"date-parts":[["2012",6]]}}}],"schema":"https://github.com/citation-style-language/schema/raw/master/csl-citation.json"} </w:instrText>
      </w:r>
      <w:r w:rsidR="002C21D3">
        <w:rPr>
          <w:rFonts w:ascii="Times New Roman" w:hAnsi="Times New Roman" w:cs="Times New Roman"/>
          <w:sz w:val="24"/>
          <w:szCs w:val="24"/>
        </w:rPr>
        <w:fldChar w:fldCharType="separate"/>
      </w:r>
      <w:r w:rsidR="002C21D3" w:rsidRPr="002C21D3">
        <w:rPr>
          <w:rFonts w:ascii="Calibri" w:hAnsi="Calibri" w:cs="Calibri"/>
          <w:sz w:val="24"/>
          <w:szCs w:val="24"/>
        </w:rPr>
        <w:t>(Möller &amp; Müller, 2012)</w:t>
      </w:r>
      <w:r w:rsidR="002C21D3">
        <w:rPr>
          <w:rFonts w:ascii="Times New Roman" w:hAnsi="Times New Roman" w:cs="Times New Roman"/>
          <w:sz w:val="24"/>
          <w:szCs w:val="24"/>
        </w:rPr>
        <w:fldChar w:fldCharType="end"/>
      </w:r>
      <w:r w:rsidRPr="00DB6DD1">
        <w:rPr>
          <w:rFonts w:ascii="Times New Roman" w:hAnsi="Times New Roman" w:cs="Times New Roman"/>
          <w:sz w:val="24"/>
          <w:szCs w:val="24"/>
        </w:rPr>
        <w:t>. These effects reinforce and extend the water savings generated by the panels: while shading reduces evaporative demand from the top, digestate amendment improves the soil's capacity to hold the water that does infiltrate.</w:t>
      </w:r>
    </w:p>
    <w:p w14:paraId="7F229906" w14:textId="50BD14E2"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Mohammedi et al. </w:t>
      </w:r>
      <w:r w:rsidR="00591139">
        <w:rPr>
          <w:rFonts w:ascii="Times New Roman" w:hAnsi="Times New Roman" w:cs="Times New Roman"/>
          <w:sz w:val="24"/>
          <w:szCs w:val="24"/>
        </w:rPr>
        <w:fldChar w:fldCharType="begin"/>
      </w:r>
      <w:r w:rsidR="00591139">
        <w:rPr>
          <w:rFonts w:ascii="Times New Roman" w:hAnsi="Times New Roman" w:cs="Times New Roman"/>
          <w:sz w:val="24"/>
          <w:szCs w:val="24"/>
        </w:rPr>
        <w:instrText xml:space="preserve"> ADDIN ZOTERO_ITEM CSL_CITATION {"citationID":"mkFZ95e3","properties":{"unsorted":false,"formattedCitation":"(Mohammedi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00591139">
        <w:rPr>
          <w:rFonts w:ascii="Times New Roman" w:hAnsi="Times New Roman" w:cs="Times New Roman"/>
          <w:sz w:val="24"/>
          <w:szCs w:val="24"/>
        </w:rPr>
        <w:fldChar w:fldCharType="separate"/>
      </w:r>
      <w:r w:rsidR="00591139" w:rsidRPr="00591139">
        <w:rPr>
          <w:rFonts w:ascii="Calibri" w:hAnsi="Calibri" w:cs="Calibri"/>
          <w:sz w:val="24"/>
        </w:rPr>
        <w:t>(Mohammedi et al., 2023)</w:t>
      </w:r>
      <w:r w:rsidR="00591139">
        <w:rPr>
          <w:rFonts w:ascii="Times New Roman" w:hAnsi="Times New Roman" w:cs="Times New Roman"/>
          <w:sz w:val="24"/>
          <w:szCs w:val="24"/>
        </w:rPr>
        <w:fldChar w:fldCharType="end"/>
      </w:r>
      <w:r w:rsidR="00591139">
        <w:rPr>
          <w:rFonts w:ascii="Times New Roman" w:hAnsi="Times New Roman" w:cs="Times New Roman"/>
          <w:sz w:val="24"/>
          <w:szCs w:val="24"/>
        </w:rPr>
        <w:t xml:space="preserve"> </w:t>
      </w:r>
      <w:r w:rsidRPr="00DB6DD1">
        <w:rPr>
          <w:rFonts w:ascii="Times New Roman" w:hAnsi="Times New Roman" w:cs="Times New Roman"/>
          <w:sz w:val="24"/>
          <w:szCs w:val="24"/>
        </w:rPr>
        <w:t xml:space="preserve">noted that the digestate fraction of tomato residues contains approximately 3 kg of plant-available nitrogen, 1 kg P₂O₅, and 4 kg K₂O per </w:t>
      </w:r>
      <w:r w:rsidR="00FE6287" w:rsidRPr="00DB6DD1">
        <w:rPr>
          <w:rFonts w:ascii="Times New Roman" w:hAnsi="Times New Roman" w:cs="Times New Roman"/>
          <w:sz w:val="24"/>
          <w:szCs w:val="24"/>
        </w:rPr>
        <w:t>ton</w:t>
      </w:r>
      <w:r w:rsidRPr="00DB6DD1">
        <w:rPr>
          <w:rFonts w:ascii="Times New Roman" w:hAnsi="Times New Roman" w:cs="Times New Roman"/>
          <w:sz w:val="24"/>
          <w:szCs w:val="24"/>
        </w:rPr>
        <w:t xml:space="preserve"> of fresh residue treated. On a one-hectare farm producing 48 </w:t>
      </w:r>
      <w:r w:rsidR="00FE6287" w:rsidRPr="00DB6DD1">
        <w:rPr>
          <w:rFonts w:ascii="Times New Roman" w:hAnsi="Times New Roman" w:cs="Times New Roman"/>
          <w:sz w:val="24"/>
          <w:szCs w:val="24"/>
        </w:rPr>
        <w:t>tons</w:t>
      </w:r>
      <w:r w:rsidRPr="00DB6DD1">
        <w:rPr>
          <w:rFonts w:ascii="Times New Roman" w:hAnsi="Times New Roman" w:cs="Times New Roman"/>
          <w:sz w:val="24"/>
          <w:szCs w:val="24"/>
        </w:rPr>
        <w:t xml:space="preserve"> of fresh residue annually, this represents </w:t>
      </w:r>
      <w:r w:rsidRPr="00DB6DD1">
        <w:rPr>
          <w:rFonts w:ascii="Times New Roman" w:hAnsi="Times New Roman" w:cs="Times New Roman"/>
          <w:sz w:val="24"/>
          <w:szCs w:val="24"/>
        </w:rPr>
        <w:lastRenderedPageBreak/>
        <w:t xml:space="preserve">a nutrient return of approximately 144 kg N, 48 kg P₂O₅, and 192 kg K₂O — substantial fractions of the synthetic fertilizer requirements for a subsequent tomato crop, which typically demands 150–200 kg N per hectare </w:t>
      </w:r>
      <w:r w:rsidR="003F03C1">
        <w:rPr>
          <w:rFonts w:ascii="Times New Roman" w:hAnsi="Times New Roman" w:cs="Times New Roman"/>
          <w:sz w:val="24"/>
          <w:szCs w:val="24"/>
        </w:rPr>
        <w:fldChar w:fldCharType="begin"/>
      </w:r>
      <w:r w:rsidR="003F03C1">
        <w:rPr>
          <w:rFonts w:ascii="Times New Roman" w:hAnsi="Times New Roman" w:cs="Times New Roman"/>
          <w:sz w:val="24"/>
          <w:szCs w:val="24"/>
        </w:rPr>
        <w:instrText xml:space="preserve"> ADDIN ZOTERO_ITEM CSL_CITATION {"citationID":"jrfaVP5K","properties":{"unsorted":false,"formattedCitation":"({\\i{}Fertilizer Use by Crop}, 2006)","plainCitation":"(Fertilizer Use by Crop, 2006)","noteIndex":0},"citationItems":[{"id":144,"uris":["http://zotero.org/users/local/i6bXxmSk/items/TNVSZ997"],"itemData":{"id":144,"type":"book","collection-number":"17","collection-title":"FAO fertilizer and plant nutrition bulletin","ISBN":"978-92-5-105592-2","language":"en","number-of-pages":"108","publisher":"Food and Agriculture Organization of the United Nations","publisher-place":"Rome","source":"K10plus ISBN","title":"Fertilizer use by crop","issued":{"date-parts":[["2006"]]}}}],"schema":"https://github.com/citation-style-language/schema/raw/master/csl-citation.json"} </w:instrText>
      </w:r>
      <w:r w:rsidR="003F03C1">
        <w:rPr>
          <w:rFonts w:ascii="Times New Roman" w:hAnsi="Times New Roman" w:cs="Times New Roman"/>
          <w:sz w:val="24"/>
          <w:szCs w:val="24"/>
        </w:rPr>
        <w:fldChar w:fldCharType="separate"/>
      </w:r>
      <w:r w:rsidR="003F03C1" w:rsidRPr="003F03C1">
        <w:rPr>
          <w:rFonts w:ascii="Calibri" w:hAnsi="Calibri" w:cs="Calibri"/>
          <w:sz w:val="24"/>
          <w:szCs w:val="24"/>
        </w:rPr>
        <w:t>(</w:t>
      </w:r>
      <w:r w:rsidR="003F03C1" w:rsidRPr="003F03C1">
        <w:rPr>
          <w:rFonts w:ascii="Calibri" w:hAnsi="Calibri" w:cs="Calibri"/>
          <w:i/>
          <w:iCs/>
          <w:sz w:val="24"/>
          <w:szCs w:val="24"/>
        </w:rPr>
        <w:t>Fertilizer Use by Crop</w:t>
      </w:r>
      <w:r w:rsidR="003F03C1" w:rsidRPr="003F03C1">
        <w:rPr>
          <w:rFonts w:ascii="Calibri" w:hAnsi="Calibri" w:cs="Calibri"/>
          <w:sz w:val="24"/>
          <w:szCs w:val="24"/>
        </w:rPr>
        <w:t>, 2006)</w:t>
      </w:r>
      <w:r w:rsidR="003F03C1">
        <w:rPr>
          <w:rFonts w:ascii="Times New Roman" w:hAnsi="Times New Roman" w:cs="Times New Roman"/>
          <w:sz w:val="24"/>
          <w:szCs w:val="24"/>
        </w:rPr>
        <w:fldChar w:fldCharType="end"/>
      </w:r>
      <w:r w:rsidRPr="00DB6DD1">
        <w:rPr>
          <w:rFonts w:ascii="Times New Roman" w:hAnsi="Times New Roman" w:cs="Times New Roman"/>
          <w:sz w:val="24"/>
          <w:szCs w:val="24"/>
        </w:rPr>
        <w:t xml:space="preserve">. Möller and Müller </w:t>
      </w:r>
      <w:r w:rsidR="00591139">
        <w:rPr>
          <w:rFonts w:ascii="Times New Roman" w:hAnsi="Times New Roman" w:cs="Times New Roman"/>
          <w:sz w:val="24"/>
          <w:szCs w:val="24"/>
        </w:rPr>
        <w:fldChar w:fldCharType="begin"/>
      </w:r>
      <w:r w:rsidR="00591139">
        <w:rPr>
          <w:rFonts w:ascii="Times New Roman" w:hAnsi="Times New Roman" w:cs="Times New Roman"/>
          <w:sz w:val="24"/>
          <w:szCs w:val="24"/>
        </w:rPr>
        <w:instrText xml:space="preserve"> ADDIN ZOTERO_ITEM CSL_CITATION {"citationID":"b6trz88i","properties":{"unsorted":false,"formattedCitation":"(M\\uc0\\u246{}ller &amp; M\\uc0\\u252{}ller, 2012)","plainCitation":"(Möller &amp; Müller, 2012)","noteIndex":0},"citationItems":[{"id":81,"uris":["http://zotero.org/users/local/i6bXxmSk/items/5LF74XV7"],"itemData":{"id":81,"type":"article-journal","abstract":"Anaerobic digestion (\n              AD\n              ) for biogas production leads to several changes in the composition of the resulting digestates compared to the original feedstock (ammonia content, p\n              H\n              , carbon to nitrogen ratio, etc.), which are relevant for the plant availability of macro‐ and micronutrients after field application. Increased\n              NH\n              4\n              +\n              ‐\n              N\n              content in digested slurries compared to undigested slurries does not guarantee improved uptake efficiency of slurry nitrogen and increased savings in fertilizer nitrogen.\n              AD\n              of crop residues and cover crops leads to an increase in the total amounts of mobile organic manures within the farming system, resulting in a higher nitrogen use efficiency and an increased scope for target‐oriented nitrogen application in time and space, when needed by the crop, as an alternative to the site‐bound soil incorporation as green manures.\n              AD\n              of dairy manure appears to reduce the fraction of immediate plant available phosphorus and micronutrients. This does, however, not affect short‐term crop availability under field conditions. More studies are needed to improve current knowledge on sulfur losses during\n              AD\n              and fertilizer value of digestates.","container-title":"Engineering in Life Sciences","DOI":"10.1002/elsc.201100085","ISSN":"1618-0240, 1618-2863","issue":"3","journalAbbreviation":"Engineering in Life Sciences","language":"en","license":"http://onlinelibrary.wiley.com/termsAndConditions#vor","page":"242-257","source":"DOI.org (Crossref)","title":"Effects of anaerobic digestion on digestate nutrient availability and crop growth: A review","title-short":"Effects of anaerobic digestion on digestate nutrient availability and crop growth","volume":"12","author":[{"family":"Möller","given":"Kurt"},{"family":"Müller","given":"Torsten"}],"issued":{"date-parts":[["2012",6]]}}}],"schema":"https://github.com/citation-style-language/schema/raw/master/csl-citation.json"} </w:instrText>
      </w:r>
      <w:r w:rsidR="00591139">
        <w:rPr>
          <w:rFonts w:ascii="Times New Roman" w:hAnsi="Times New Roman" w:cs="Times New Roman"/>
          <w:sz w:val="24"/>
          <w:szCs w:val="24"/>
        </w:rPr>
        <w:fldChar w:fldCharType="separate"/>
      </w:r>
      <w:r w:rsidR="00591139" w:rsidRPr="00591139">
        <w:rPr>
          <w:rFonts w:ascii="Calibri" w:hAnsi="Calibri" w:cs="Calibri"/>
          <w:sz w:val="24"/>
          <w:szCs w:val="24"/>
        </w:rPr>
        <w:t>(Möller &amp; Müller, 2012)</w:t>
      </w:r>
      <w:r w:rsidR="00591139">
        <w:rPr>
          <w:rFonts w:ascii="Times New Roman" w:hAnsi="Times New Roman" w:cs="Times New Roman"/>
          <w:sz w:val="24"/>
          <w:szCs w:val="24"/>
        </w:rPr>
        <w:fldChar w:fldCharType="end"/>
      </w:r>
      <w:r w:rsidRPr="00DB6DD1">
        <w:rPr>
          <w:rFonts w:ascii="Times New Roman" w:hAnsi="Times New Roman" w:cs="Times New Roman"/>
          <w:sz w:val="24"/>
          <w:szCs w:val="24"/>
        </w:rPr>
        <w:t>, reviewing field trials across European cropping systems, estimated that digestate application can replace 30–50% of synthetic nitrogen requirements depending on application timing and soil conditions.</w:t>
      </w:r>
    </w:p>
    <w:p w14:paraId="413C082E" w14:textId="77777777" w:rsidR="00FE6287" w:rsidRDefault="00FE6287" w:rsidP="00DB6DD1">
      <w:pPr>
        <w:spacing w:line="360" w:lineRule="auto"/>
        <w:jc w:val="both"/>
        <w:rPr>
          <w:rFonts w:ascii="Times New Roman" w:hAnsi="Times New Roman" w:cs="Times New Roman"/>
          <w:sz w:val="24"/>
          <w:szCs w:val="24"/>
        </w:rPr>
      </w:pPr>
    </w:p>
    <w:p w14:paraId="5E1E7FF6" w14:textId="61B889F3"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2.3.3. Techno-economic perspective</w:t>
      </w:r>
    </w:p>
    <w:p w14:paraId="531FF99A" w14:textId="54789C48" w:rsidR="00DB6DD1" w:rsidRPr="00DB6DD1" w:rsidRDefault="00DB6DD1" w:rsidP="00C97063">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Formal techno-economic analyses of integrated AV-AD systems remain scarce. Pal and Ilango </w:t>
      </w:r>
      <w:r w:rsidR="00C97063">
        <w:rPr>
          <w:rFonts w:ascii="Times New Roman" w:hAnsi="Times New Roman" w:cs="Times New Roman"/>
          <w:sz w:val="24"/>
          <w:szCs w:val="24"/>
        </w:rPr>
        <w:fldChar w:fldCharType="begin"/>
      </w:r>
      <w:r w:rsidR="00C97063">
        <w:rPr>
          <w:rFonts w:ascii="Times New Roman" w:hAnsi="Times New Roman" w:cs="Times New Roman"/>
          <w:sz w:val="24"/>
          <w:szCs w:val="24"/>
        </w:rPr>
        <w:instrText xml:space="preserve"> ADDIN ZOTERO_ITEM CSL_CITATION {"citationID":"J60UXlZp","properties":{"unsorted":false,"formattedCitation":"(Pal &amp; Ilango, 2024)","plainCitation":"(Pal &amp; Ilango, 2024)","noteIndex":0},"citationItems":[{"id":77,"uris":["http://zotero.org/users/local/i6bXxmSk/items/KSXUPFKN"],"itemData":{"id":77,"type":"article-journal","abstract":"This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00C97063">
        <w:rPr>
          <w:rFonts w:ascii="Times New Roman" w:hAnsi="Times New Roman" w:cs="Times New Roman"/>
          <w:sz w:val="24"/>
          <w:szCs w:val="24"/>
        </w:rPr>
        <w:fldChar w:fldCharType="separate"/>
      </w:r>
      <w:r w:rsidR="00C97063" w:rsidRPr="00C97063">
        <w:rPr>
          <w:rFonts w:ascii="Calibri" w:hAnsi="Calibri" w:cs="Calibri"/>
          <w:sz w:val="24"/>
        </w:rPr>
        <w:t>(Pal &amp; Ilango, 2024)</w:t>
      </w:r>
      <w:r w:rsidR="00C97063">
        <w:rPr>
          <w:rFonts w:ascii="Times New Roman" w:hAnsi="Times New Roman" w:cs="Times New Roman"/>
          <w:sz w:val="24"/>
          <w:szCs w:val="24"/>
        </w:rPr>
        <w:fldChar w:fldCharType="end"/>
      </w:r>
      <w:r w:rsidRPr="00DB6DD1">
        <w:rPr>
          <w:rFonts w:ascii="Times New Roman" w:hAnsi="Times New Roman" w:cs="Times New Roman"/>
          <w:sz w:val="24"/>
          <w:szCs w:val="24"/>
        </w:rPr>
        <w:t xml:space="preserve">, studying a system designed for rural India, reported simple payback periods of 8–12 years for integrated PV-biogas configurations (without the crop component), with profitability sensitive to local electricity tariffs and biogas utilization pathways. Temiz et al. </w:t>
      </w:r>
      <w:r w:rsidR="00C97063">
        <w:rPr>
          <w:rFonts w:ascii="Times New Roman" w:hAnsi="Times New Roman" w:cs="Times New Roman"/>
          <w:sz w:val="24"/>
          <w:szCs w:val="24"/>
        </w:rPr>
        <w:fldChar w:fldCharType="begin"/>
      </w:r>
      <w:r w:rsidR="00C97063">
        <w:rPr>
          <w:rFonts w:ascii="Times New Roman" w:hAnsi="Times New Roman" w:cs="Times New Roman"/>
          <w:sz w:val="24"/>
          <w:szCs w:val="24"/>
        </w:rPr>
        <w:instrText xml:space="preserve"> ADDIN ZOTERO_ITEM CSL_CITATION {"citationID":"pJj5gtnR","properties":{"unsorted":false,"formattedCitation":"(Temiz et al., n.d.)","plainCitation":"(Temiz et al., n.d.)","noteIndex":0},"citationItems":[{"id":79,"uris":["http://zotero.org/users/local/i6bXxmSk/items/FWRZR77B"],"itemData":{"id":79,"type":"article-journal","abstract":"In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requirements.","language":"en","source":"Zotero","title":"Development and assessment of a new agrivoltaic‐biogas energy system for sustainable communities","author":[{"family":"Temiz","given":"Mert"},{"family":"Sinbuathong","given":"Nusara"},{"family":"Dincer","given":"Ibrahim"}]}}],"schema":"https://github.com/citation-style-language/schema/raw/master/csl-citation.json"} </w:instrText>
      </w:r>
      <w:r w:rsidR="00C97063">
        <w:rPr>
          <w:rFonts w:ascii="Times New Roman" w:hAnsi="Times New Roman" w:cs="Times New Roman"/>
          <w:sz w:val="24"/>
          <w:szCs w:val="24"/>
        </w:rPr>
        <w:fldChar w:fldCharType="separate"/>
      </w:r>
      <w:r w:rsidR="00C97063" w:rsidRPr="00C97063">
        <w:rPr>
          <w:rFonts w:ascii="Calibri" w:hAnsi="Calibri" w:cs="Calibri"/>
          <w:sz w:val="24"/>
        </w:rPr>
        <w:t>(Temiz et al., n.d.)</w:t>
      </w:r>
      <w:r w:rsidR="00C97063">
        <w:rPr>
          <w:rFonts w:ascii="Times New Roman" w:hAnsi="Times New Roman" w:cs="Times New Roman"/>
          <w:sz w:val="24"/>
          <w:szCs w:val="24"/>
        </w:rPr>
        <w:fldChar w:fldCharType="end"/>
      </w:r>
      <w:r w:rsidR="00EA410A">
        <w:rPr>
          <w:rFonts w:ascii="Times New Roman" w:hAnsi="Times New Roman" w:cs="Times New Roman"/>
          <w:sz w:val="24"/>
          <w:szCs w:val="24"/>
        </w:rPr>
        <w:t xml:space="preserve"> </w:t>
      </w:r>
      <w:r w:rsidRPr="00DB6DD1">
        <w:rPr>
          <w:rFonts w:ascii="Times New Roman" w:hAnsi="Times New Roman" w:cs="Times New Roman"/>
          <w:sz w:val="24"/>
          <w:szCs w:val="24"/>
        </w:rPr>
        <w:t>estimated that adding an AD unit to an AV system increases net present value by a factor of 2–3 compared to agrivoltaics alone, though this analysis assumed ideal biogas yields and did not include crop revenue or digestate value — both of which would further improve the economics.</w:t>
      </w:r>
    </w:p>
    <w:p w14:paraId="19436D8D" w14:textId="77777777" w:rsidR="00FE6287" w:rsidRDefault="00FE6287" w:rsidP="00DB6DD1">
      <w:pPr>
        <w:spacing w:line="360" w:lineRule="auto"/>
        <w:jc w:val="both"/>
        <w:rPr>
          <w:rFonts w:ascii="Times New Roman" w:hAnsi="Times New Roman" w:cs="Times New Roman"/>
          <w:sz w:val="24"/>
          <w:szCs w:val="24"/>
        </w:rPr>
      </w:pPr>
    </w:p>
    <w:p w14:paraId="73721DE3" w14:textId="0D4132B8"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2.4. Research Gaps and Study Positioning</w:t>
      </w:r>
    </w:p>
    <w:p w14:paraId="791D3599" w14:textId="5E923D2E" w:rsidR="00DB6DD1" w:rsidRPr="00DB6DD1" w:rsidRDefault="00DB6DD1" w:rsidP="00FE628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 literature reviewed above reveals clear progress in both the agrivoltaic and anaerobic digestion domains, and promising early steps toward their integration. However, several critical gaps remain at their intersection.</w:t>
      </w:r>
    </w:p>
    <w:p w14:paraId="1BFAEBCE" w14:textId="77777777" w:rsidR="00FE6287" w:rsidRDefault="00FE6287" w:rsidP="00DB6DD1">
      <w:pPr>
        <w:spacing w:line="360" w:lineRule="auto"/>
        <w:jc w:val="both"/>
        <w:rPr>
          <w:rFonts w:ascii="Times New Roman" w:hAnsi="Times New Roman" w:cs="Times New Roman"/>
          <w:sz w:val="24"/>
          <w:szCs w:val="24"/>
        </w:rPr>
      </w:pPr>
    </w:p>
    <w:p w14:paraId="7CDAC4C4" w14:textId="3D525E5D"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2.4.1. What is well established</w:t>
      </w:r>
    </w:p>
    <w:p w14:paraId="6FBB9700" w14:textId="11204AD0" w:rsidR="00DB6DD1" w:rsidRPr="00047A43" w:rsidRDefault="00DB6DD1" w:rsidP="00047A43">
      <w:pPr>
        <w:pStyle w:val="ListParagraph"/>
        <w:numPr>
          <w:ilvl w:val="0"/>
          <w:numId w:val="10"/>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 xml:space="preserve">AV systems can achieve two-component LER values of 1.2–1.94 across a range of crops, climates, and architectures </w:t>
      </w:r>
      <w:r w:rsidR="00EA410A">
        <w:rPr>
          <w:rFonts w:ascii="Times New Roman" w:hAnsi="Times New Roman" w:cs="Times New Roman"/>
          <w:sz w:val="24"/>
          <w:szCs w:val="24"/>
        </w:rPr>
        <w:fldChar w:fldCharType="begin"/>
      </w:r>
      <w:r w:rsidR="00EA410A">
        <w:rPr>
          <w:rFonts w:ascii="Times New Roman" w:hAnsi="Times New Roman" w:cs="Times New Roman"/>
          <w:sz w:val="24"/>
          <w:szCs w:val="24"/>
        </w:rPr>
        <w:instrText xml:space="preserve"> ADDIN ZOTERO_ITEM CSL_CITATION {"citationID":"nD4FQzqI","properties":{"unsorted":false,"formattedCitation":"(Mazzeo et al., 2025; Riaz et al., 2022)","plainCitation":"(Mazzeo et al., 2025; Riaz et al., 2022)","noteIndex":0},"citationItems":[{"id":53,"uris":["http://zotero.org/users/local/i6bXxmSk/items/HVMHVHMR"],"itemData":{"id":53,"type":"article","abstract":"The rapid expansion of photovoltaic (PV) systems is essential for decarbonizing energy systems but raises concerns about competing with agriculture for arable land. Agrivoltaic (APV) systems offer a sustainable solution by integrating PV installations with agriculture on the same land. However, adoption is constrained by a limited understanding of design parameters and their effects on energy and crop productivity. This study presents a simulation framework to evaluate open-field APV systems, focusing on the impacts of ground coverage ratio (GCR), clearance height, and tracking configurations on solar irradiance distribution, crop yield, and solar energy generation. The Land Equivalent Ratio (LER) was employed to assess the combined productivity of agricultural output and solar energy generation. Scenarios are modeled for temperate climates, examining three crops (lettuce, turnip, and maize) alongside bifacial PV systems with fixed and tracking designs. Results showed that design parameters significantly affect shading and light distribution. Higher clearance heights and lower GCRs enhance agricultural productivity, particularly for shade-sensitive crops like maize, though slightly reducing energy yields. LER values ranged from 1.04 to 2.05 for the GCR variable between 0.6 and 0.2, demonstrating that APV systems are more productive than conventional land use. These insights support optimizing APV designs, aiding policymakers and developers in aligning renewable energy goals with agricultural sustainability.","DOI":"10.2139/ssrn.5082169","language":"en","publisher":"SSRN","source":"DOI.org (Crossref)","title":"Optimizing Agrivoltaic Systems: A Comprehensive Analysis of Design, Crop Productivity and Energy Performance in Open-Field Configurations","title-short":"Optimizing Agrivoltaic Systems","URL":"https://www.ssrn.com/abstract=5082169","author":[{"family":"Mazzeo","given":"Domenico"},{"family":"Di Zio","given":"Andrea"},{"family":"Pesenti","given":"Claudio"},{"family":"Leva","given":"Sonia"}],"accessed":{"date-parts":[["2026",4,3]]},"issued":{"date-parts":[["2025"]]}}},{"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00EA410A">
        <w:rPr>
          <w:rFonts w:ascii="Times New Roman" w:hAnsi="Times New Roman" w:cs="Times New Roman"/>
          <w:sz w:val="24"/>
          <w:szCs w:val="24"/>
        </w:rPr>
        <w:fldChar w:fldCharType="separate"/>
      </w:r>
      <w:r w:rsidR="00EA410A" w:rsidRPr="00EA410A">
        <w:rPr>
          <w:rFonts w:ascii="Calibri" w:hAnsi="Calibri" w:cs="Calibri"/>
          <w:sz w:val="24"/>
        </w:rPr>
        <w:t>(Mazzeo et al., 2025; Riaz et al., 2022)</w:t>
      </w:r>
      <w:r w:rsidR="00EA410A">
        <w:rPr>
          <w:rFonts w:ascii="Times New Roman" w:hAnsi="Times New Roman" w:cs="Times New Roman"/>
          <w:sz w:val="24"/>
          <w:szCs w:val="24"/>
        </w:rPr>
        <w:fldChar w:fldCharType="end"/>
      </w:r>
    </w:p>
    <w:p w14:paraId="0A9CC853" w14:textId="30558728" w:rsidR="00DB6DD1" w:rsidRPr="00047A43" w:rsidRDefault="00DB6DD1" w:rsidP="00047A43">
      <w:pPr>
        <w:pStyle w:val="ListParagraph"/>
        <w:numPr>
          <w:ilvl w:val="0"/>
          <w:numId w:val="9"/>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 xml:space="preserve">Partial shading under AV panels reduces crop ET by 15–35% in semi-arid climates, with higher reductions at greater aridity </w:t>
      </w:r>
      <w:r w:rsidR="00944157">
        <w:rPr>
          <w:rFonts w:ascii="Times New Roman" w:hAnsi="Times New Roman" w:cs="Times New Roman"/>
          <w:sz w:val="24"/>
          <w:szCs w:val="24"/>
        </w:rPr>
        <w:fldChar w:fldCharType="begin"/>
      </w:r>
      <w:r w:rsidR="00944157">
        <w:rPr>
          <w:rFonts w:ascii="Times New Roman" w:hAnsi="Times New Roman" w:cs="Times New Roman"/>
          <w:sz w:val="24"/>
          <w:szCs w:val="24"/>
        </w:rPr>
        <w:instrText xml:space="preserve"> ADDIN ZOTERO_ITEM CSL_CITATION {"citationID":"YGBZSZuf","properties":{"unsorted":false,"formattedCitation":"(Imran et al., 2020; Riaz et al., 2022)","plainCitation":"(Imran et al., 2020; Riaz et al., 2022)","noteIndex":0},"citationItems":[{"id":91,"uris":["http://zotero.org/users/local/i6bXxmSk/items/U3CVKD46"],"itemData":{"id":91,"type":"paper-conference","abstract":"Agrivoltaics is an emerging technology of collocating solar photovoltaics with agriculture that has many potential synergetic food-energy-water beneﬁts. The design of agrivoltaic systems demands a careful balance for sharing sunlight between solar panels and crops to ensure an optimal food-energy productivity. We explore the optimal single-axis tracking schemes for agrivoltaics that can provide the precise balance of sunlight between PV and crops. The single-axis tracking schemes are applied to bifacial panel arrays in two different PV orientations, i.e., East/West vs. North/South faced. By modeling the temporal variations of drop shadows on crops and the known requirements of photosynthetically active radiation (PAR) by the crop, we propose customized solar tracking schemes that vary between standard sun tracking and reverse sun tracking during the day according to the crop requirement. During the early daytime after sunrise and closer to the sunset, PAR is lower than the saturated PAR for the plants. Closer to noon, available PAR can exceed the crop needs. An optimal algorithm ensures that the PAR available to the crops remains closer to its required PAR so that the excess sunlight could be harvested by the PV arrays. The seasonal variation in customized tracking schemes is explored for the two PV orientations.","container-title":"2020 47th IEEE Photovoltaic Specialists Conference (PVSC)","DOI":"10.1109/PVSC45281.2020.9300682","event-title":"2020 IEEE 47th Photovoltaic Specialists Conference (PVSC)","ISBN":"978-1-7281-6115-0","language":"en","license":"https://ieeexplore.ieee.org/Xplorehelp/downloads/license-information/IEEE.html","page":"1353-1356","publisher":"IEEE","publisher-place":"Calgary, AB, Canada","source":"DOI.org (Crossref)","title":"Optimization of Single-Axis Tracking of Photovoltaic Modules for Agrivoltaic Systems","URL":"https://ieeexplore.ieee.org/document/9300682/","author":[{"family":"Imran","given":"Hassan"},{"family":"Riaz","given":"Muhammad Hussnain"},{"family":"Butt","given":"Nauman Zafar"}],"accessed":{"date-parts":[["2026",4,5]]},"issued":{"date-parts":[["2020",6,14]]}}},{"id":45,"uris":["http://zotero.org/users/local/i6bXxmSk/items/TDSGZE5E"],"itemData":{"id":45,"type":"article-journal","abstract":"Agrivoltaics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00944157">
        <w:rPr>
          <w:rFonts w:ascii="Times New Roman" w:hAnsi="Times New Roman" w:cs="Times New Roman"/>
          <w:sz w:val="24"/>
          <w:szCs w:val="24"/>
        </w:rPr>
        <w:fldChar w:fldCharType="separate"/>
      </w:r>
      <w:r w:rsidR="00944157" w:rsidRPr="00944157">
        <w:rPr>
          <w:rFonts w:ascii="Calibri" w:hAnsi="Calibri" w:cs="Calibri"/>
          <w:sz w:val="24"/>
        </w:rPr>
        <w:t>(Imran et al., 2020; Riaz et al., 2022)</w:t>
      </w:r>
      <w:r w:rsidR="00944157">
        <w:rPr>
          <w:rFonts w:ascii="Times New Roman" w:hAnsi="Times New Roman" w:cs="Times New Roman"/>
          <w:sz w:val="24"/>
          <w:szCs w:val="24"/>
        </w:rPr>
        <w:fldChar w:fldCharType="end"/>
      </w:r>
    </w:p>
    <w:p w14:paraId="3BBDCC3A" w14:textId="15BB35A4" w:rsidR="00DB6DD1" w:rsidRPr="00047A43" w:rsidRDefault="00DB6DD1" w:rsidP="00047A43">
      <w:pPr>
        <w:pStyle w:val="ListParagraph"/>
        <w:numPr>
          <w:ilvl w:val="0"/>
          <w:numId w:val="8"/>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lastRenderedPageBreak/>
        <w:t xml:space="preserve">BMP of tomato residues is 250–350 NmL/g VS, with 300 NmL/g VS as a well-documented central estimate </w:t>
      </w:r>
      <w:r w:rsidR="003B7B31">
        <w:rPr>
          <w:rFonts w:ascii="Times New Roman" w:hAnsi="Times New Roman" w:cs="Times New Roman"/>
          <w:sz w:val="24"/>
          <w:szCs w:val="24"/>
        </w:rPr>
        <w:fldChar w:fldCharType="begin"/>
      </w:r>
      <w:r w:rsidR="003B7B31">
        <w:rPr>
          <w:rFonts w:ascii="Times New Roman" w:hAnsi="Times New Roman" w:cs="Times New Roman"/>
          <w:sz w:val="24"/>
          <w:szCs w:val="24"/>
        </w:rPr>
        <w:instrText xml:space="preserve"> ADDIN ZOTERO_ITEM CSL_CITATION {"citationID":"s530CRYa","properties":{"unsorted":false,"formattedCitation":"(Feng et al., 2013; Lallement et al., 2023)","plainCitation":"(Feng et al., 2013; Lallement et al., 2023)","noteIndex":0},"citationItems":[{"id":61,"uris":["http://zotero.org/users/local/i6bXxmSk/items/I62IGWZC"],"itemData":{"id":61,"type":"article-journal","container-title":"BioResources","DOI":"10.15376/biores.8.2.2487-2498","ISSN":"1930-2126","issue":"2","language":"en","page":"2487-2498","source":"DOI.org (Crossref)","title":"Biochemical Methane Potential (BMP) of Vinegar Residue and the Influence of Feed to Inoculum Ratios on Biogas Production","volume":"8","author":[{"family":"Feng","given":"Lu"},{"family":"Li","given":"Yeqing"},{"family":"Chen","given":"Chang"},{"family":"Liu","given":"Xiaoying"},{"family":"Xiao","given":"Xiao"},{"family":"Ma","given":"Xinxin"},{"family":"Zhang","given":"Ruihong"},{"family":"He","given":"Yanfeng"},{"family":"Liu","given":"Guangqing"}],"issued":{"date-parts":[["2013",3,29]]}}},{"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003B7B31">
        <w:rPr>
          <w:rFonts w:ascii="Times New Roman" w:hAnsi="Times New Roman" w:cs="Times New Roman"/>
          <w:sz w:val="24"/>
          <w:szCs w:val="24"/>
        </w:rPr>
        <w:fldChar w:fldCharType="separate"/>
      </w:r>
      <w:r w:rsidR="003B7B31" w:rsidRPr="003B7B31">
        <w:rPr>
          <w:rFonts w:ascii="Calibri" w:hAnsi="Calibri" w:cs="Calibri"/>
          <w:sz w:val="24"/>
        </w:rPr>
        <w:t>(Feng et al., 2013; Lallement et al., 2023)</w:t>
      </w:r>
      <w:r w:rsidR="003B7B31">
        <w:rPr>
          <w:rFonts w:ascii="Times New Roman" w:hAnsi="Times New Roman" w:cs="Times New Roman"/>
          <w:sz w:val="24"/>
          <w:szCs w:val="24"/>
        </w:rPr>
        <w:fldChar w:fldCharType="end"/>
      </w:r>
    </w:p>
    <w:p w14:paraId="7B50B01F" w14:textId="0C27F13B" w:rsidR="00DB6DD1" w:rsidRPr="00047A43" w:rsidRDefault="00DB6DD1" w:rsidP="00047A43">
      <w:pPr>
        <w:pStyle w:val="ListParagraph"/>
        <w:numPr>
          <w:ilvl w:val="0"/>
          <w:numId w:val="7"/>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 xml:space="preserve">PV electricity can economically supply digester thermal demand, improving overall system efficiency </w:t>
      </w:r>
      <w:r w:rsidR="003B7B31">
        <w:rPr>
          <w:rFonts w:ascii="Times New Roman" w:hAnsi="Times New Roman" w:cs="Times New Roman"/>
          <w:sz w:val="24"/>
          <w:szCs w:val="24"/>
        </w:rPr>
        <w:fldChar w:fldCharType="begin"/>
      </w:r>
      <w:r w:rsidR="003B7B31">
        <w:rPr>
          <w:rFonts w:ascii="Times New Roman" w:hAnsi="Times New Roman" w:cs="Times New Roman"/>
          <w:sz w:val="24"/>
          <w:szCs w:val="24"/>
        </w:rPr>
        <w:instrText xml:space="preserve"> ADDIN ZOTERO_ITEM CSL_CITATION {"citationID":"pjNejawD","properties":{"unsorted":false,"formattedCitation":"(Pal &amp; Ilango, 2024; Temiz et al., n.d.)","plainCitation":"(Pal &amp; Ilango, 2024; Temiz et al., n.d.)","noteIndex":0},"citationItems":[{"id":77,"uris":["http://zotero.org/users/local/i6bXxmSk/items/KSXUPFKN"],"itemData":{"id":77,"type":"article-journal","abstract":"This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Saravana"}],"issued":{"date-parts":[["2024",1]]}}},{"id":79,"uris":["http://zotero.org/users/local/i6bXxmSk/items/FWRZR77B"],"itemData":{"id":79,"type":"article-journal","abstract":"In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requirements.","language":"en","source":"Zotero","title":"Development and assessment of a new agrivoltaic‐biogas energy system for sustainable communities","author":[{"family":"Temiz","given":"Mert"},{"family":"Sinbuathong","given":"Nusara"},{"family":"Dincer","given":"Ibrahim"}]}}],"schema":"https://github.com/citation-style-language/schema/raw/master/csl-citation.json"} </w:instrText>
      </w:r>
      <w:r w:rsidR="003B7B31">
        <w:rPr>
          <w:rFonts w:ascii="Times New Roman" w:hAnsi="Times New Roman" w:cs="Times New Roman"/>
          <w:sz w:val="24"/>
          <w:szCs w:val="24"/>
        </w:rPr>
        <w:fldChar w:fldCharType="separate"/>
      </w:r>
      <w:r w:rsidR="003B7B31" w:rsidRPr="003B7B31">
        <w:rPr>
          <w:rFonts w:ascii="Calibri" w:hAnsi="Calibri" w:cs="Calibri"/>
          <w:sz w:val="24"/>
        </w:rPr>
        <w:t>(Pal &amp; Ilango, 2024; Temiz et al., n.d.)</w:t>
      </w:r>
      <w:r w:rsidR="003B7B31">
        <w:rPr>
          <w:rFonts w:ascii="Times New Roman" w:hAnsi="Times New Roman" w:cs="Times New Roman"/>
          <w:sz w:val="24"/>
          <w:szCs w:val="24"/>
        </w:rPr>
        <w:fldChar w:fldCharType="end"/>
      </w:r>
    </w:p>
    <w:p w14:paraId="440D7F71" w14:textId="77777777" w:rsidR="00DB6DD1" w:rsidRPr="00DB6DD1" w:rsidRDefault="00DB6DD1" w:rsidP="00DB6DD1">
      <w:pPr>
        <w:spacing w:line="360" w:lineRule="auto"/>
        <w:jc w:val="both"/>
        <w:rPr>
          <w:rFonts w:ascii="Times New Roman" w:hAnsi="Times New Roman" w:cs="Times New Roman"/>
          <w:sz w:val="24"/>
          <w:szCs w:val="24"/>
        </w:rPr>
      </w:pPr>
    </w:p>
    <w:p w14:paraId="07823634" w14:textId="36B47F15"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2.4.2. Identified research gaps</w:t>
      </w:r>
    </w:p>
    <w:p w14:paraId="4AF6CF5E" w14:textId="319D4CBE" w:rsidR="00DB6DD1" w:rsidRPr="00DB6DD1" w:rsidRDefault="00DB6DD1" w:rsidP="00173DF1">
      <w:pPr>
        <w:spacing w:line="360" w:lineRule="auto"/>
        <w:ind w:firstLine="360"/>
        <w:jc w:val="both"/>
        <w:rPr>
          <w:rFonts w:ascii="Times New Roman" w:hAnsi="Times New Roman" w:cs="Times New Roman"/>
          <w:sz w:val="24"/>
          <w:szCs w:val="24"/>
        </w:rPr>
      </w:pPr>
      <w:r w:rsidRPr="00DB6DD1">
        <w:rPr>
          <w:rFonts w:ascii="Times New Roman" w:hAnsi="Times New Roman" w:cs="Times New Roman"/>
          <w:sz w:val="24"/>
          <w:szCs w:val="24"/>
        </w:rPr>
        <w:t>Five distinct gaps motivate the present study:</w:t>
      </w:r>
    </w:p>
    <w:p w14:paraId="797E1DF7" w14:textId="787BDA18" w:rsidR="00DB6DD1" w:rsidRPr="00047A43" w:rsidRDefault="00DB6DD1" w:rsidP="00047A43">
      <w:pPr>
        <w:pStyle w:val="ListParagraph"/>
        <w:numPr>
          <w:ilvl w:val="0"/>
          <w:numId w:val="6"/>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G1 — No integrated optimization framework: no published study simultaneously optimizes AV architectural parameters and AD operating parameters as a coupled system.</w:t>
      </w:r>
    </w:p>
    <w:p w14:paraId="76507E3E" w14:textId="6331A24C" w:rsidR="00DB6DD1" w:rsidRPr="00047A43" w:rsidRDefault="00DB6DD1" w:rsidP="00047A43">
      <w:pPr>
        <w:pStyle w:val="ListParagraph"/>
        <w:numPr>
          <w:ilvl w:val="0"/>
          <w:numId w:val="5"/>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G2 — No unified performance metric: LER captures crop and PV outputs but excludes biogas, making it impossible to compare integrated APV-AD systems against AV-only or AD-only baselines on a consistent land-use basis.</w:t>
      </w:r>
    </w:p>
    <w:p w14:paraId="090817EC" w14:textId="7A137981" w:rsidR="00DB6DD1" w:rsidRPr="00047A43" w:rsidRDefault="00DB6DD1" w:rsidP="00047A43">
      <w:pPr>
        <w:pStyle w:val="ListParagraph"/>
        <w:numPr>
          <w:ilvl w:val="0"/>
          <w:numId w:val="4"/>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G3 — No thermal coupling validation in semi-arid conditions: while the principle of PV-heated AD has been modelled, no study has validated the energy balance across the full semi-arid seasonal temperature cycle where winter heat demand and summer PV abundance are both extreme.</w:t>
      </w:r>
    </w:p>
    <w:p w14:paraId="168A74E8" w14:textId="2CCBC5F4" w:rsidR="00DB6DD1" w:rsidRPr="00047A43" w:rsidRDefault="00DB6DD1" w:rsidP="00047A43">
      <w:pPr>
        <w:pStyle w:val="ListParagraph"/>
        <w:numPr>
          <w:ilvl w:val="0"/>
          <w:numId w:val="3"/>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G4 — No systematic multi-climate comparison: existing studies focus on single sites, limiting the generalizability of their findings across the diverse climate subtypes found in semi-arid regions.</w:t>
      </w:r>
    </w:p>
    <w:p w14:paraId="58B39649" w14:textId="5F99A9FE" w:rsidR="00DB6DD1" w:rsidRPr="00047A43" w:rsidRDefault="00DB6DD1" w:rsidP="00047A43">
      <w:pPr>
        <w:pStyle w:val="ListParagraph"/>
        <w:numPr>
          <w:ilvl w:val="0"/>
          <w:numId w:val="2"/>
        </w:numPr>
        <w:spacing w:line="360" w:lineRule="auto"/>
        <w:jc w:val="both"/>
        <w:rPr>
          <w:rFonts w:ascii="Times New Roman" w:hAnsi="Times New Roman" w:cs="Times New Roman"/>
          <w:sz w:val="24"/>
          <w:szCs w:val="24"/>
        </w:rPr>
      </w:pPr>
      <w:r w:rsidRPr="00047A43">
        <w:rPr>
          <w:rFonts w:ascii="Times New Roman" w:hAnsi="Times New Roman" w:cs="Times New Roman"/>
          <w:sz w:val="24"/>
          <w:szCs w:val="24"/>
        </w:rPr>
        <w:t>G5 — No modelling of the AD-to-crop feedback loop: the circular path from crop residues through digestion and back to soil via digestate has not been incorporated in any quantitative optimization framework.</w:t>
      </w:r>
    </w:p>
    <w:p w14:paraId="2281E02E" w14:textId="77777777" w:rsidR="00DB6DD1" w:rsidRPr="00DB6DD1" w:rsidRDefault="00DB6DD1" w:rsidP="00DB6DD1">
      <w:pPr>
        <w:spacing w:line="360" w:lineRule="auto"/>
        <w:jc w:val="both"/>
        <w:rPr>
          <w:rFonts w:ascii="Times New Roman" w:hAnsi="Times New Roman" w:cs="Times New Roman"/>
          <w:sz w:val="24"/>
          <w:szCs w:val="24"/>
        </w:rPr>
      </w:pPr>
    </w:p>
    <w:p w14:paraId="6B81F796" w14:textId="19FA3A1A"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2.4.3. Positioning of the present study</w:t>
      </w:r>
    </w:p>
    <w:p w14:paraId="74041C24" w14:textId="77777777" w:rsidR="00DB6DD1" w:rsidRPr="00DB6DD1" w:rsidRDefault="00DB6DD1" w:rsidP="00DB6DD1">
      <w:pPr>
        <w:spacing w:line="360" w:lineRule="auto"/>
        <w:jc w:val="both"/>
        <w:rPr>
          <w:rFonts w:ascii="Times New Roman" w:hAnsi="Times New Roman" w:cs="Times New Roman"/>
          <w:sz w:val="24"/>
          <w:szCs w:val="24"/>
        </w:rPr>
      </w:pPr>
    </w:p>
    <w:p w14:paraId="5CB88B96" w14:textId="3400668D"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This study directly addresses gaps G1, G2, and G4. Through a novel integrated optimization framework (Section 3.8), six design variables spanning both the AV architecture and the AD operation are jointly optimized for the first time. The extended Land Equivalent Ratio (eLER, </w:t>
      </w:r>
      <w:r w:rsidRPr="00DB6DD1">
        <w:rPr>
          <w:rFonts w:ascii="Times New Roman" w:hAnsi="Times New Roman" w:cs="Times New Roman"/>
          <w:sz w:val="24"/>
          <w:szCs w:val="24"/>
        </w:rPr>
        <w:lastRenderedPageBreak/>
        <w:t>Section 3.7) closes the G2 gap by adding biogas as a third component alongside crop yield and PV electricity. Multi-site application across three climatically distinct semi-arid locations (Section 3.1) addresses G4 by providing systematic climate sensitivity data. Gaps G3 and G5 — thermal coupling field validation and the AD-to-crop nutrient feedback — are identified as priorities for future experimental work (Section 5).</w:t>
      </w:r>
    </w:p>
    <w:p w14:paraId="2ECFD2BC" w14:textId="77777777" w:rsidR="00DB6DD1" w:rsidRPr="00DB6DD1" w:rsidRDefault="00DB6DD1" w:rsidP="00DB6DD1">
      <w:pPr>
        <w:spacing w:line="360" w:lineRule="auto"/>
        <w:jc w:val="both"/>
        <w:rPr>
          <w:rFonts w:ascii="Times New Roman" w:hAnsi="Times New Roman" w:cs="Times New Roman"/>
          <w:sz w:val="24"/>
          <w:szCs w:val="24"/>
        </w:rPr>
      </w:pPr>
    </w:p>
    <w:p w14:paraId="4907DCD0" w14:textId="53329AD1"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 Methodology</w:t>
      </w:r>
    </w:p>
    <w:p w14:paraId="49D4C095" w14:textId="1A8D4C03"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3.1. Study sites and climate characterization</w:t>
      </w:r>
    </w:p>
    <w:p w14:paraId="4A9F0CB9" w14:textId="38E3DBA9" w:rsidR="00E832EE" w:rsidRDefault="00DB6DD1" w:rsidP="00A00DD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 analysis is anchored to three semi-arid sites chosen to represent distinct climate subtypes within the Köppen–Geiger classification: Konya in central Turkey (BSk: cold semi-arid steppe), Almería on the Mediterranean coast of Spain (BSh: hot semi-arid), and Ouagadougou in the Sahelian zone of Burkina Faso (BSh: tropical semi-arid).</w:t>
      </w:r>
      <w:r w:rsidR="00951DC6">
        <w:rPr>
          <w:rFonts w:ascii="Times New Roman" w:hAnsi="Times New Roman" w:cs="Times New Roman"/>
          <w:sz w:val="24"/>
          <w:szCs w:val="24"/>
        </w:rPr>
        <w:t xml:space="preserve"> </w:t>
      </w:r>
      <w:r w:rsidR="00951DC6" w:rsidRPr="00DB6DD1">
        <w:rPr>
          <w:rFonts w:ascii="Times New Roman" w:hAnsi="Times New Roman" w:cs="Times New Roman"/>
          <w:sz w:val="24"/>
          <w:szCs w:val="24"/>
        </w:rPr>
        <w:t>Together, these three locations span a latitudinal range from 12°N to 38°N, a mean annual temperature range from 11.5°C to 28.5°C, and annual solar irradiance from 1,650 to 2,050 kWh/m², making them a well-differentiated testbed for climate sensitivity analysis.</w:t>
      </w:r>
    </w:p>
    <w:p w14:paraId="5C8EC4D6" w14:textId="77777777" w:rsidR="00EB49E2" w:rsidRDefault="00EB49E2" w:rsidP="00A00DDC">
      <w:pPr>
        <w:spacing w:line="360" w:lineRule="auto"/>
        <w:ind w:firstLine="720"/>
        <w:jc w:val="both"/>
        <w:rPr>
          <w:rFonts w:ascii="Times New Roman" w:hAnsi="Times New Roman" w:cs="Times New Roman"/>
          <w:sz w:val="24"/>
          <w:szCs w:val="24"/>
        </w:rPr>
      </w:pPr>
    </w:p>
    <w:p w14:paraId="0F42F37D" w14:textId="77777777" w:rsidR="00EB49E2" w:rsidRDefault="00E832EE" w:rsidP="009B279C">
      <w:pPr>
        <w:keepNext/>
        <w:spacing w:line="360" w:lineRule="auto"/>
        <w:jc w:val="center"/>
      </w:pPr>
      <w:r>
        <w:rPr>
          <w:rFonts w:ascii="Times New Roman" w:hAnsi="Times New Roman" w:cs="Times New Roman"/>
          <w:noProof/>
          <w:sz w:val="24"/>
          <w:szCs w:val="24"/>
        </w:rPr>
        <w:lastRenderedPageBreak/>
        <w:drawing>
          <wp:inline distT="0" distB="0" distL="0" distR="0" wp14:anchorId="0AFDD992" wp14:editId="5DDA423C">
            <wp:extent cx="5270003" cy="384963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0003" cy="3849632"/>
                    </a:xfrm>
                    <a:prstGeom prst="rect">
                      <a:avLst/>
                    </a:prstGeom>
                  </pic:spPr>
                </pic:pic>
              </a:graphicData>
            </a:graphic>
          </wp:inline>
        </w:drawing>
      </w:r>
    </w:p>
    <w:p w14:paraId="7D54AAA6" w14:textId="6921DC6A" w:rsidR="00E832EE" w:rsidRPr="00DB5661" w:rsidRDefault="00EB49E2" w:rsidP="00DB5661">
      <w:pPr>
        <w:spacing w:line="360" w:lineRule="auto"/>
        <w:ind w:firstLine="720"/>
        <w:jc w:val="center"/>
        <w:rPr>
          <w:rFonts w:ascii="Times New Roman" w:hAnsi="Times New Roman" w:cs="Times New Roman"/>
          <w:sz w:val="20"/>
          <w:szCs w:val="20"/>
        </w:rPr>
      </w:pPr>
      <w:r w:rsidRPr="00EB49E2">
        <w:rPr>
          <w:rFonts w:ascii="Times New Roman" w:hAnsi="Times New Roman" w:cs="Times New Roman"/>
          <w:sz w:val="20"/>
          <w:szCs w:val="20"/>
        </w:rPr>
        <w:t xml:space="preserve">Figure </w:t>
      </w:r>
      <w:r w:rsidRPr="00EB49E2">
        <w:rPr>
          <w:rFonts w:ascii="Times New Roman" w:hAnsi="Times New Roman" w:cs="Times New Roman"/>
          <w:sz w:val="20"/>
          <w:szCs w:val="20"/>
        </w:rPr>
        <w:fldChar w:fldCharType="begin"/>
      </w:r>
      <w:r w:rsidRPr="00EB49E2">
        <w:rPr>
          <w:rFonts w:ascii="Times New Roman" w:hAnsi="Times New Roman" w:cs="Times New Roman"/>
          <w:sz w:val="20"/>
          <w:szCs w:val="20"/>
        </w:rPr>
        <w:instrText xml:space="preserve"> SEQ Figure \* ARABIC </w:instrText>
      </w:r>
      <w:r w:rsidRPr="00EB49E2">
        <w:rPr>
          <w:rFonts w:ascii="Times New Roman" w:hAnsi="Times New Roman" w:cs="Times New Roman"/>
          <w:sz w:val="20"/>
          <w:szCs w:val="20"/>
        </w:rPr>
        <w:fldChar w:fldCharType="separate"/>
      </w:r>
      <w:r w:rsidR="005748AD">
        <w:rPr>
          <w:rFonts w:ascii="Times New Roman" w:hAnsi="Times New Roman" w:cs="Times New Roman"/>
          <w:noProof/>
          <w:sz w:val="20"/>
          <w:szCs w:val="20"/>
        </w:rPr>
        <w:t>1</w:t>
      </w:r>
      <w:r w:rsidRPr="00EB49E2">
        <w:rPr>
          <w:rFonts w:ascii="Times New Roman" w:hAnsi="Times New Roman" w:cs="Times New Roman"/>
          <w:sz w:val="20"/>
          <w:szCs w:val="20"/>
        </w:rPr>
        <w:fldChar w:fldCharType="end"/>
      </w:r>
      <w:r w:rsidRPr="00EB49E2">
        <w:rPr>
          <w:rFonts w:ascii="Times New Roman" w:hAnsi="Times New Roman" w:cs="Times New Roman"/>
          <w:sz w:val="20"/>
          <w:szCs w:val="20"/>
        </w:rPr>
        <w:t xml:space="preserve"> : Location map of the three study sites (Konya, Turkey; Almería, Spain; Ouagadougou, Burkina Faso) overlaid on the semi-arid belt of Europe, the Middle East and West Africa (BSk/BSh zones shaded in light yellow)</w:t>
      </w:r>
    </w:p>
    <w:p w14:paraId="01ECFB62" w14:textId="28E1CA07" w:rsidR="00DB6DD1" w:rsidRPr="00DB6DD1" w:rsidRDefault="00DB6DD1" w:rsidP="00A00DD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Their principal geographical and climatic characteristics are summarized in Table 4.</w:t>
      </w:r>
    </w:p>
    <w:p w14:paraId="7B749D9D" w14:textId="77777777" w:rsidR="00DB6DD1" w:rsidRPr="00DB6DD1" w:rsidRDefault="00DB6DD1" w:rsidP="00DB6DD1">
      <w:pPr>
        <w:spacing w:line="360" w:lineRule="auto"/>
        <w:jc w:val="both"/>
        <w:rPr>
          <w:rFonts w:ascii="Times New Roman" w:hAnsi="Times New Roman" w:cs="Times New Roman"/>
          <w:sz w:val="24"/>
          <w:szCs w:val="24"/>
        </w:rPr>
      </w:pPr>
    </w:p>
    <w:p w14:paraId="6A9F6CB7" w14:textId="69B26B6B" w:rsidR="00BE13B0" w:rsidRPr="00BE13B0" w:rsidRDefault="00BE13B0" w:rsidP="00BE13B0">
      <w:pPr>
        <w:spacing w:after="80" w:line="360" w:lineRule="auto"/>
        <w:jc w:val="center"/>
        <w:rPr>
          <w:rFonts w:ascii="Times New Roman" w:hAnsi="Times New Roman" w:cs="Times New Roman"/>
          <w:sz w:val="20"/>
          <w:szCs w:val="20"/>
        </w:rPr>
      </w:pPr>
      <w:r w:rsidRPr="00BE13B0">
        <w:rPr>
          <w:rFonts w:ascii="Times New Roman" w:hAnsi="Times New Roman" w:cs="Times New Roman"/>
          <w:sz w:val="20"/>
          <w:szCs w:val="20"/>
        </w:rPr>
        <w:t xml:space="preserve">Table </w:t>
      </w:r>
      <w:r w:rsidRPr="00BE13B0">
        <w:rPr>
          <w:rFonts w:ascii="Times New Roman" w:hAnsi="Times New Roman" w:cs="Times New Roman"/>
          <w:sz w:val="20"/>
          <w:szCs w:val="20"/>
        </w:rPr>
        <w:fldChar w:fldCharType="begin"/>
      </w:r>
      <w:r w:rsidRPr="00BE13B0">
        <w:rPr>
          <w:rFonts w:ascii="Times New Roman" w:hAnsi="Times New Roman" w:cs="Times New Roman"/>
          <w:sz w:val="20"/>
          <w:szCs w:val="20"/>
        </w:rPr>
        <w:instrText xml:space="preserve"> SEQ Table \* ARABIC </w:instrText>
      </w:r>
      <w:r w:rsidRPr="00BE13B0">
        <w:rPr>
          <w:rFonts w:ascii="Times New Roman" w:hAnsi="Times New Roman" w:cs="Times New Roman"/>
          <w:sz w:val="20"/>
          <w:szCs w:val="20"/>
        </w:rPr>
        <w:fldChar w:fldCharType="separate"/>
      </w:r>
      <w:r w:rsidR="00346A87">
        <w:rPr>
          <w:rFonts w:ascii="Times New Roman" w:hAnsi="Times New Roman" w:cs="Times New Roman"/>
          <w:noProof/>
          <w:sz w:val="20"/>
          <w:szCs w:val="20"/>
        </w:rPr>
        <w:t>4</w:t>
      </w:r>
      <w:r w:rsidRPr="00BE13B0">
        <w:rPr>
          <w:rFonts w:ascii="Times New Roman" w:hAnsi="Times New Roman" w:cs="Times New Roman"/>
          <w:sz w:val="20"/>
          <w:szCs w:val="20"/>
        </w:rPr>
        <w:fldChar w:fldCharType="end"/>
      </w:r>
      <w:r w:rsidRPr="00BE13B0">
        <w:rPr>
          <w:rFonts w:ascii="Times New Roman" w:hAnsi="Times New Roman" w:cs="Times New Roman"/>
          <w:sz w:val="20"/>
          <w:szCs w:val="20"/>
        </w:rPr>
        <w:t xml:space="preserve"> : Geographical and climatic characteristics of the three study sites (mean values from PVGIS-SARAH2 TMY data)</w:t>
      </w:r>
      <w:r w:rsidR="009D289C">
        <w:rPr>
          <w:rFonts w:ascii="Times New Roman" w:hAnsi="Times New Roman" w:cs="Times New Roman"/>
          <w:sz w:val="20"/>
          <w:szCs w:val="20"/>
        </w:rPr>
        <w:t xml:space="preserve"> </w:t>
      </w:r>
      <w:r w:rsidR="007A30B2">
        <w:rPr>
          <w:rFonts w:ascii="Times New Roman" w:hAnsi="Times New Roman" w:cs="Times New Roman"/>
          <w:sz w:val="20"/>
          <w:szCs w:val="20"/>
        </w:rPr>
        <w:fldChar w:fldCharType="begin"/>
      </w:r>
      <w:r w:rsidR="007A30B2">
        <w:rPr>
          <w:rFonts w:ascii="Times New Roman" w:hAnsi="Times New Roman" w:cs="Times New Roman"/>
          <w:sz w:val="20"/>
          <w:szCs w:val="20"/>
        </w:rPr>
        <w:instrText xml:space="preserve"> ADDIN ZOTERO_ITEM CSL_CITATION {"citationID":"y3XvHozm","properties":{"unsorted":false,"formattedCitation":"({\\i{}JRC Photovoltaic Geographical Information System (PVGIS) - European Commission}, n.d.)","plainCitation":"(JRC Photovoltaic Geographical Information System (PVGIS) - European Commission, n.d.)","noteIndex":0},"citationItems":[{"id":161,"uris":["http://zotero.org/users/local/i6bXxmSk/items/2IQCS73F"],"itemData":{"id":161,"type":"webpage","title":"JRC Photovoltaic Geographical Information System (PVGIS) - European Commission","URL":"https://re.jrc.ec.europa.eu/pvg_tools/en/","accessed":{"date-parts":[["2026",4,10]]}}}],"schema":"https://github.com/citation-style-language/schema/raw/master/csl-citation.json"} </w:instrText>
      </w:r>
      <w:r w:rsidR="007A30B2">
        <w:rPr>
          <w:rFonts w:ascii="Times New Roman" w:hAnsi="Times New Roman" w:cs="Times New Roman"/>
          <w:sz w:val="20"/>
          <w:szCs w:val="20"/>
        </w:rPr>
        <w:fldChar w:fldCharType="separate"/>
      </w:r>
      <w:r w:rsidR="007A30B2" w:rsidRPr="007A30B2">
        <w:rPr>
          <w:rFonts w:ascii="Calibri" w:hAnsi="Calibri" w:cs="Calibri"/>
          <w:sz w:val="20"/>
          <w:szCs w:val="24"/>
        </w:rPr>
        <w:t>(</w:t>
      </w:r>
      <w:r w:rsidR="007A30B2" w:rsidRPr="007A30B2">
        <w:rPr>
          <w:rFonts w:ascii="Calibri" w:hAnsi="Calibri" w:cs="Calibri"/>
          <w:i/>
          <w:iCs/>
          <w:sz w:val="20"/>
          <w:szCs w:val="24"/>
        </w:rPr>
        <w:t>JRC Photovoltaic Geographical Information System (PVGIS) - European Commission</w:t>
      </w:r>
      <w:r w:rsidR="007A30B2" w:rsidRPr="007A30B2">
        <w:rPr>
          <w:rFonts w:ascii="Calibri" w:hAnsi="Calibri" w:cs="Calibri"/>
          <w:sz w:val="20"/>
          <w:szCs w:val="24"/>
        </w:rPr>
        <w:t>, n.d.)</w:t>
      </w:r>
      <w:r w:rsidR="007A30B2">
        <w:rPr>
          <w:rFonts w:ascii="Times New Roman" w:hAnsi="Times New Roman" w:cs="Times New Roman"/>
          <w:sz w:val="20"/>
          <w:szCs w:val="20"/>
        </w:rPr>
        <w:fldChar w:fldCharType="end"/>
      </w:r>
      <w:r w:rsidRPr="00BE13B0">
        <w:rPr>
          <w:rFonts w:ascii="Times New Roman" w:hAnsi="Times New Roman" w:cs="Times New Roman"/>
          <w:sz w:val="20"/>
          <w:szCs w:val="20"/>
        </w:rPr>
        <w:t>.</w:t>
      </w:r>
    </w:p>
    <w:tbl>
      <w:tblPr>
        <w:tblStyle w:val="TableGrid"/>
        <w:tblW w:w="0" w:type="auto"/>
        <w:jc w:val="center"/>
        <w:tblLook w:val="04A0" w:firstRow="1" w:lastRow="0" w:firstColumn="1" w:lastColumn="0" w:noHBand="0" w:noVBand="1"/>
      </w:tblPr>
      <w:tblGrid>
        <w:gridCol w:w="2504"/>
        <w:gridCol w:w="1894"/>
        <w:gridCol w:w="1805"/>
        <w:gridCol w:w="2594"/>
      </w:tblGrid>
      <w:tr w:rsidR="00BE13B0" w:rsidRPr="006217F4" w14:paraId="0E9BAA23" w14:textId="77777777" w:rsidTr="00496E8E">
        <w:trPr>
          <w:jc w:val="center"/>
        </w:trPr>
        <w:tc>
          <w:tcPr>
            <w:tcW w:w="0" w:type="auto"/>
            <w:hideMark/>
          </w:tcPr>
          <w:p w14:paraId="2F93E06E"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Parameter</w:t>
            </w:r>
          </w:p>
        </w:tc>
        <w:tc>
          <w:tcPr>
            <w:tcW w:w="0" w:type="auto"/>
            <w:hideMark/>
          </w:tcPr>
          <w:p w14:paraId="5715B952"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Konya (Turkey)</w:t>
            </w:r>
          </w:p>
        </w:tc>
        <w:tc>
          <w:tcPr>
            <w:tcW w:w="0" w:type="auto"/>
            <w:hideMark/>
          </w:tcPr>
          <w:p w14:paraId="77736510"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Almería (Spain)</w:t>
            </w:r>
          </w:p>
        </w:tc>
        <w:tc>
          <w:tcPr>
            <w:tcW w:w="0" w:type="auto"/>
            <w:hideMark/>
          </w:tcPr>
          <w:p w14:paraId="20F914B2"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Ouagadougou (Burkina Faso)</w:t>
            </w:r>
          </w:p>
        </w:tc>
      </w:tr>
      <w:tr w:rsidR="00BE13B0" w:rsidRPr="006217F4" w14:paraId="046A42DA" w14:textId="77777777" w:rsidTr="00496E8E">
        <w:trPr>
          <w:jc w:val="center"/>
        </w:trPr>
        <w:tc>
          <w:tcPr>
            <w:tcW w:w="0" w:type="auto"/>
            <w:hideMark/>
          </w:tcPr>
          <w:p w14:paraId="04DAC068"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Latitude</w:t>
            </w:r>
          </w:p>
        </w:tc>
        <w:tc>
          <w:tcPr>
            <w:tcW w:w="0" w:type="auto"/>
            <w:hideMark/>
          </w:tcPr>
          <w:p w14:paraId="57141864"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37.87° N</w:t>
            </w:r>
          </w:p>
        </w:tc>
        <w:tc>
          <w:tcPr>
            <w:tcW w:w="0" w:type="auto"/>
            <w:hideMark/>
          </w:tcPr>
          <w:p w14:paraId="38F8A086"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36.83° N</w:t>
            </w:r>
          </w:p>
        </w:tc>
        <w:tc>
          <w:tcPr>
            <w:tcW w:w="0" w:type="auto"/>
            <w:hideMark/>
          </w:tcPr>
          <w:p w14:paraId="3533199C"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12.37° N</w:t>
            </w:r>
          </w:p>
        </w:tc>
      </w:tr>
      <w:tr w:rsidR="00BE13B0" w:rsidRPr="006217F4" w14:paraId="08B39A3F" w14:textId="77777777" w:rsidTr="00496E8E">
        <w:trPr>
          <w:jc w:val="center"/>
        </w:trPr>
        <w:tc>
          <w:tcPr>
            <w:tcW w:w="0" w:type="auto"/>
            <w:hideMark/>
          </w:tcPr>
          <w:p w14:paraId="7B935C1D"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Longitude</w:t>
            </w:r>
          </w:p>
        </w:tc>
        <w:tc>
          <w:tcPr>
            <w:tcW w:w="0" w:type="auto"/>
            <w:hideMark/>
          </w:tcPr>
          <w:p w14:paraId="5F41CA35"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32.49° E</w:t>
            </w:r>
          </w:p>
        </w:tc>
        <w:tc>
          <w:tcPr>
            <w:tcW w:w="0" w:type="auto"/>
            <w:hideMark/>
          </w:tcPr>
          <w:p w14:paraId="79F72EE3"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2.46° W</w:t>
            </w:r>
          </w:p>
        </w:tc>
        <w:tc>
          <w:tcPr>
            <w:tcW w:w="0" w:type="auto"/>
            <w:hideMark/>
          </w:tcPr>
          <w:p w14:paraId="1ACEC04A"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1.52° W</w:t>
            </w:r>
          </w:p>
        </w:tc>
      </w:tr>
      <w:tr w:rsidR="00BE13B0" w:rsidRPr="006217F4" w14:paraId="0EAC6E3C" w14:textId="77777777" w:rsidTr="00496E8E">
        <w:trPr>
          <w:jc w:val="center"/>
        </w:trPr>
        <w:tc>
          <w:tcPr>
            <w:tcW w:w="0" w:type="auto"/>
            <w:hideMark/>
          </w:tcPr>
          <w:p w14:paraId="6D3121AD"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Elevation (m a.s.l.)</w:t>
            </w:r>
          </w:p>
        </w:tc>
        <w:tc>
          <w:tcPr>
            <w:tcW w:w="0" w:type="auto"/>
            <w:hideMark/>
          </w:tcPr>
          <w:p w14:paraId="10E5CBEF"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1,016</w:t>
            </w:r>
          </w:p>
        </w:tc>
        <w:tc>
          <w:tcPr>
            <w:tcW w:w="0" w:type="auto"/>
            <w:hideMark/>
          </w:tcPr>
          <w:p w14:paraId="5ACD3A75"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20</w:t>
            </w:r>
          </w:p>
        </w:tc>
        <w:tc>
          <w:tcPr>
            <w:tcW w:w="0" w:type="auto"/>
            <w:hideMark/>
          </w:tcPr>
          <w:p w14:paraId="0E4881E9"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303</w:t>
            </w:r>
          </w:p>
        </w:tc>
      </w:tr>
      <w:tr w:rsidR="00BE13B0" w:rsidRPr="006217F4" w14:paraId="06D1C0CD" w14:textId="77777777" w:rsidTr="00496E8E">
        <w:trPr>
          <w:jc w:val="center"/>
        </w:trPr>
        <w:tc>
          <w:tcPr>
            <w:tcW w:w="0" w:type="auto"/>
            <w:hideMark/>
          </w:tcPr>
          <w:p w14:paraId="080DBC2E"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Köppen climate</w:t>
            </w:r>
          </w:p>
        </w:tc>
        <w:tc>
          <w:tcPr>
            <w:tcW w:w="0" w:type="auto"/>
            <w:hideMark/>
          </w:tcPr>
          <w:p w14:paraId="11F8F606"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BSk (cold semi-arid)</w:t>
            </w:r>
          </w:p>
        </w:tc>
        <w:tc>
          <w:tcPr>
            <w:tcW w:w="0" w:type="auto"/>
            <w:hideMark/>
          </w:tcPr>
          <w:p w14:paraId="1702F855"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BSh (hot semi-arid)</w:t>
            </w:r>
          </w:p>
        </w:tc>
        <w:tc>
          <w:tcPr>
            <w:tcW w:w="0" w:type="auto"/>
            <w:hideMark/>
          </w:tcPr>
          <w:p w14:paraId="67FD9889"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BSh (tropical semi-arid)</w:t>
            </w:r>
          </w:p>
        </w:tc>
      </w:tr>
      <w:tr w:rsidR="00BE13B0" w:rsidRPr="006217F4" w14:paraId="07286A80" w14:textId="77777777" w:rsidTr="00496E8E">
        <w:trPr>
          <w:jc w:val="center"/>
        </w:trPr>
        <w:tc>
          <w:tcPr>
            <w:tcW w:w="0" w:type="auto"/>
            <w:hideMark/>
          </w:tcPr>
          <w:p w14:paraId="37DE23B5"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Mean annual GHI (kWh/m²)</w:t>
            </w:r>
          </w:p>
        </w:tc>
        <w:tc>
          <w:tcPr>
            <w:tcW w:w="0" w:type="auto"/>
            <w:hideMark/>
          </w:tcPr>
          <w:p w14:paraId="600CA92C"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1,650</w:t>
            </w:r>
          </w:p>
        </w:tc>
        <w:tc>
          <w:tcPr>
            <w:tcW w:w="0" w:type="auto"/>
            <w:hideMark/>
          </w:tcPr>
          <w:p w14:paraId="60C2F5B1"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1,850</w:t>
            </w:r>
          </w:p>
        </w:tc>
        <w:tc>
          <w:tcPr>
            <w:tcW w:w="0" w:type="auto"/>
            <w:hideMark/>
          </w:tcPr>
          <w:p w14:paraId="3258790B"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2,050</w:t>
            </w:r>
          </w:p>
        </w:tc>
      </w:tr>
      <w:tr w:rsidR="00BE13B0" w:rsidRPr="006217F4" w14:paraId="6BF13608" w14:textId="77777777" w:rsidTr="00496E8E">
        <w:trPr>
          <w:jc w:val="center"/>
        </w:trPr>
        <w:tc>
          <w:tcPr>
            <w:tcW w:w="0" w:type="auto"/>
            <w:hideMark/>
          </w:tcPr>
          <w:p w14:paraId="348A5943"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Mean annual T (°C)</w:t>
            </w:r>
          </w:p>
        </w:tc>
        <w:tc>
          <w:tcPr>
            <w:tcW w:w="0" w:type="auto"/>
            <w:hideMark/>
          </w:tcPr>
          <w:p w14:paraId="3A8F31FD"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11.5</w:t>
            </w:r>
          </w:p>
        </w:tc>
        <w:tc>
          <w:tcPr>
            <w:tcW w:w="0" w:type="auto"/>
            <w:hideMark/>
          </w:tcPr>
          <w:p w14:paraId="227D77CD"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18.5</w:t>
            </w:r>
          </w:p>
        </w:tc>
        <w:tc>
          <w:tcPr>
            <w:tcW w:w="0" w:type="auto"/>
            <w:hideMark/>
          </w:tcPr>
          <w:p w14:paraId="4269B27D"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28.5</w:t>
            </w:r>
          </w:p>
        </w:tc>
      </w:tr>
      <w:tr w:rsidR="00BE13B0" w:rsidRPr="006217F4" w14:paraId="6DD0AE0A" w14:textId="77777777" w:rsidTr="00496E8E">
        <w:trPr>
          <w:jc w:val="center"/>
        </w:trPr>
        <w:tc>
          <w:tcPr>
            <w:tcW w:w="0" w:type="auto"/>
            <w:hideMark/>
          </w:tcPr>
          <w:p w14:paraId="1FB2BBD5"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 xml:space="preserve">Summer </w:t>
            </w:r>
            <m:oMath>
              <m:sSub>
                <m:sSubPr>
                  <m:ctrlPr>
                    <w:rPr>
                      <w:rFonts w:ascii="Cambria Math" w:hAnsi="Cambria Math" w:cs="Times New Roman"/>
                      <w:i/>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max</m:t>
                  </m:r>
                </m:sub>
              </m:sSub>
              <m:d>
                <m:dPr>
                  <m:ctrlPr>
                    <w:rPr>
                      <w:rFonts w:ascii="Cambria Math" w:hAnsi="Cambria Math" w:cs="Times New Roman"/>
                      <w:i/>
                      <w:sz w:val="20"/>
                      <w:szCs w:val="20"/>
                    </w:rPr>
                  </m:ctrlPr>
                </m:dPr>
                <m:e>
                  <m:r>
                    <w:rPr>
                      <w:rFonts w:ascii="Cambria Math" w:hAnsi="Cambria Math" w:cs="Times New Roman"/>
                      <w:sz w:val="20"/>
                      <w:szCs w:val="20"/>
                    </w:rPr>
                    <m:t>°C</m:t>
                  </m:r>
                </m:e>
              </m:d>
            </m:oMath>
          </w:p>
        </w:tc>
        <w:tc>
          <w:tcPr>
            <w:tcW w:w="0" w:type="auto"/>
            <w:hideMark/>
          </w:tcPr>
          <w:p w14:paraId="26DC95A6"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38</w:t>
            </w:r>
          </w:p>
        </w:tc>
        <w:tc>
          <w:tcPr>
            <w:tcW w:w="0" w:type="auto"/>
            <w:hideMark/>
          </w:tcPr>
          <w:p w14:paraId="7765CEC7"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35</w:t>
            </w:r>
          </w:p>
        </w:tc>
        <w:tc>
          <w:tcPr>
            <w:tcW w:w="0" w:type="auto"/>
            <w:hideMark/>
          </w:tcPr>
          <w:p w14:paraId="17BAA174"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41</w:t>
            </w:r>
          </w:p>
        </w:tc>
      </w:tr>
      <w:tr w:rsidR="00BE13B0" w:rsidRPr="006217F4" w14:paraId="68FDCAED" w14:textId="77777777" w:rsidTr="00496E8E">
        <w:trPr>
          <w:jc w:val="center"/>
        </w:trPr>
        <w:tc>
          <w:tcPr>
            <w:tcW w:w="0" w:type="auto"/>
            <w:hideMark/>
          </w:tcPr>
          <w:p w14:paraId="79B199BC"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 xml:space="preserve">Winter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min</m:t>
                  </m:r>
                </m:sub>
              </m:sSub>
              <m:d>
                <m:dPr>
                  <m:ctrlPr>
                    <w:rPr>
                      <w:rFonts w:ascii="Cambria Math" w:hAnsi="Cambria Math" w:cs="Times New Roman"/>
                      <w:i/>
                      <w:sz w:val="20"/>
                      <w:szCs w:val="20"/>
                    </w:rPr>
                  </m:ctrlPr>
                </m:dPr>
                <m:e>
                  <m:r>
                    <w:rPr>
                      <w:rFonts w:ascii="Cambria Math" w:hAnsi="Cambria Math" w:cs="Times New Roman"/>
                      <w:sz w:val="20"/>
                      <w:szCs w:val="20"/>
                    </w:rPr>
                    <m:t>°C</m:t>
                  </m:r>
                </m:e>
              </m:d>
            </m:oMath>
          </w:p>
        </w:tc>
        <w:tc>
          <w:tcPr>
            <w:tcW w:w="0" w:type="auto"/>
            <w:hideMark/>
          </w:tcPr>
          <w:p w14:paraId="2D63B4EA"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-10</w:t>
            </w:r>
          </w:p>
        </w:tc>
        <w:tc>
          <w:tcPr>
            <w:tcW w:w="0" w:type="auto"/>
            <w:hideMark/>
          </w:tcPr>
          <w:p w14:paraId="652032F9"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5</w:t>
            </w:r>
          </w:p>
        </w:tc>
        <w:tc>
          <w:tcPr>
            <w:tcW w:w="0" w:type="auto"/>
            <w:hideMark/>
          </w:tcPr>
          <w:p w14:paraId="1F505C9E"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15</w:t>
            </w:r>
          </w:p>
        </w:tc>
      </w:tr>
      <w:tr w:rsidR="00BE13B0" w:rsidRPr="006217F4" w14:paraId="26EABEB4" w14:textId="77777777" w:rsidTr="00496E8E">
        <w:trPr>
          <w:jc w:val="center"/>
        </w:trPr>
        <w:tc>
          <w:tcPr>
            <w:tcW w:w="0" w:type="auto"/>
            <w:hideMark/>
          </w:tcPr>
          <w:p w14:paraId="6B5EC268"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Annual ET₀ (mm)</w:t>
            </w:r>
          </w:p>
        </w:tc>
        <w:tc>
          <w:tcPr>
            <w:tcW w:w="0" w:type="auto"/>
            <w:hideMark/>
          </w:tcPr>
          <w:p w14:paraId="2D550798"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1,200</w:t>
            </w:r>
          </w:p>
        </w:tc>
        <w:tc>
          <w:tcPr>
            <w:tcW w:w="0" w:type="auto"/>
            <w:hideMark/>
          </w:tcPr>
          <w:p w14:paraId="321116C8"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1,350</w:t>
            </w:r>
          </w:p>
        </w:tc>
        <w:tc>
          <w:tcPr>
            <w:tcW w:w="0" w:type="auto"/>
            <w:hideMark/>
          </w:tcPr>
          <w:p w14:paraId="54A3B1D9"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1,800</w:t>
            </w:r>
          </w:p>
        </w:tc>
      </w:tr>
      <w:tr w:rsidR="00BE13B0" w:rsidRPr="006217F4" w14:paraId="6B0DA356" w14:textId="77777777" w:rsidTr="00496E8E">
        <w:trPr>
          <w:jc w:val="center"/>
        </w:trPr>
        <w:tc>
          <w:tcPr>
            <w:tcW w:w="0" w:type="auto"/>
            <w:hideMark/>
          </w:tcPr>
          <w:p w14:paraId="16A2D64F"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lastRenderedPageBreak/>
              <w:t>Annual precipitation (mm)</w:t>
            </w:r>
          </w:p>
        </w:tc>
        <w:tc>
          <w:tcPr>
            <w:tcW w:w="0" w:type="auto"/>
            <w:hideMark/>
          </w:tcPr>
          <w:p w14:paraId="00046327"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320</w:t>
            </w:r>
          </w:p>
        </w:tc>
        <w:tc>
          <w:tcPr>
            <w:tcW w:w="0" w:type="auto"/>
            <w:hideMark/>
          </w:tcPr>
          <w:p w14:paraId="435C8976"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200</w:t>
            </w:r>
          </w:p>
        </w:tc>
        <w:tc>
          <w:tcPr>
            <w:tcW w:w="0" w:type="auto"/>
            <w:hideMark/>
          </w:tcPr>
          <w:p w14:paraId="501259D8"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800</w:t>
            </w:r>
          </w:p>
        </w:tc>
      </w:tr>
      <w:tr w:rsidR="00BE13B0" w:rsidRPr="006217F4" w14:paraId="2CD0B8A4" w14:textId="77777777" w:rsidTr="00496E8E">
        <w:trPr>
          <w:jc w:val="center"/>
        </w:trPr>
        <w:tc>
          <w:tcPr>
            <w:tcW w:w="0" w:type="auto"/>
            <w:hideMark/>
          </w:tcPr>
          <w:p w14:paraId="053FFB5A" w14:textId="77777777" w:rsidR="00BE13B0" w:rsidRPr="006217F4" w:rsidRDefault="00BE13B0" w:rsidP="00496E8E">
            <w:pPr>
              <w:spacing w:after="80"/>
              <w:rPr>
                <w:rFonts w:ascii="Times New Roman" w:hAnsi="Times New Roman" w:cs="Times New Roman"/>
                <w:sz w:val="20"/>
                <w:szCs w:val="20"/>
              </w:rPr>
            </w:pPr>
            <w:r w:rsidRPr="006217F4">
              <w:rPr>
                <w:rFonts w:ascii="Times New Roman" w:hAnsi="Times New Roman" w:cs="Times New Roman"/>
                <w:sz w:val="20"/>
                <w:szCs w:val="20"/>
              </w:rPr>
              <w:t>Irrigation requirement (mm)</w:t>
            </w:r>
          </w:p>
        </w:tc>
        <w:tc>
          <w:tcPr>
            <w:tcW w:w="0" w:type="auto"/>
            <w:hideMark/>
          </w:tcPr>
          <w:p w14:paraId="029A6EC3"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880</w:t>
            </w:r>
          </w:p>
        </w:tc>
        <w:tc>
          <w:tcPr>
            <w:tcW w:w="0" w:type="auto"/>
            <w:hideMark/>
          </w:tcPr>
          <w:p w14:paraId="7997D1C1"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1,150</w:t>
            </w:r>
          </w:p>
        </w:tc>
        <w:tc>
          <w:tcPr>
            <w:tcW w:w="0" w:type="auto"/>
            <w:hideMark/>
          </w:tcPr>
          <w:p w14:paraId="5056CBAE" w14:textId="77777777" w:rsidR="00BE13B0" w:rsidRPr="006217F4" w:rsidRDefault="00BE13B0" w:rsidP="004B0333">
            <w:pPr>
              <w:spacing w:after="80"/>
              <w:jc w:val="center"/>
              <w:rPr>
                <w:rFonts w:ascii="Times New Roman" w:hAnsi="Times New Roman" w:cs="Times New Roman"/>
                <w:sz w:val="20"/>
                <w:szCs w:val="20"/>
              </w:rPr>
            </w:pPr>
            <w:r w:rsidRPr="006217F4">
              <w:rPr>
                <w:rFonts w:ascii="Times New Roman" w:hAnsi="Times New Roman" w:cs="Times New Roman"/>
                <w:sz w:val="20"/>
                <w:szCs w:val="20"/>
              </w:rPr>
              <w:t>1,000</w:t>
            </w:r>
          </w:p>
        </w:tc>
      </w:tr>
    </w:tbl>
    <w:p w14:paraId="11A6438B" w14:textId="77777777" w:rsidR="00F6199C" w:rsidRDefault="00F6199C" w:rsidP="00947E7E">
      <w:pPr>
        <w:spacing w:line="360" w:lineRule="auto"/>
        <w:jc w:val="both"/>
        <w:rPr>
          <w:rFonts w:ascii="Times New Roman" w:hAnsi="Times New Roman" w:cs="Times New Roman"/>
          <w:sz w:val="24"/>
          <w:szCs w:val="24"/>
        </w:rPr>
      </w:pPr>
    </w:p>
    <w:p w14:paraId="58885947" w14:textId="77777777" w:rsidR="00947E7E" w:rsidRDefault="00947E7E" w:rsidP="00947E7E">
      <w:pPr>
        <w:spacing w:line="360" w:lineRule="auto"/>
        <w:jc w:val="both"/>
        <w:rPr>
          <w:rFonts w:ascii="Times New Roman" w:hAnsi="Times New Roman" w:cs="Times New Roman"/>
          <w:sz w:val="24"/>
          <w:szCs w:val="24"/>
        </w:rPr>
      </w:pPr>
    </w:p>
    <w:p w14:paraId="48D5D93C" w14:textId="77777777" w:rsidR="00A3261B" w:rsidRDefault="00156257" w:rsidP="005748AD">
      <w:pPr>
        <w:keepNext/>
        <w:spacing w:line="360" w:lineRule="auto"/>
        <w:jc w:val="center"/>
      </w:pPr>
      <w:r>
        <w:rPr>
          <w:rFonts w:ascii="Times New Roman" w:hAnsi="Times New Roman" w:cs="Times New Roman"/>
          <w:noProof/>
          <w:sz w:val="24"/>
          <w:szCs w:val="24"/>
        </w:rPr>
        <w:drawing>
          <wp:inline distT="0" distB="0" distL="0" distR="0" wp14:anchorId="5F1B665C" wp14:editId="3A974A6D">
            <wp:extent cx="5943600" cy="5099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99050"/>
                    </a:xfrm>
                    <a:prstGeom prst="rect">
                      <a:avLst/>
                    </a:prstGeom>
                  </pic:spPr>
                </pic:pic>
              </a:graphicData>
            </a:graphic>
          </wp:inline>
        </w:drawing>
      </w:r>
    </w:p>
    <w:p w14:paraId="0A7CB056" w14:textId="3D77F5E0" w:rsidR="00F6199C" w:rsidRPr="005748AD" w:rsidRDefault="00A3261B" w:rsidP="00A005F3">
      <w:pPr>
        <w:pStyle w:val="Caption"/>
        <w:jc w:val="center"/>
        <w:rPr>
          <w:rFonts w:ascii="Times New Roman" w:hAnsi="Times New Roman" w:cs="Times New Roman"/>
          <w:i w:val="0"/>
          <w:iCs w:val="0"/>
          <w:color w:val="auto"/>
          <w:sz w:val="28"/>
          <w:szCs w:val="28"/>
        </w:rPr>
      </w:pPr>
      <w:r w:rsidRPr="005748AD">
        <w:rPr>
          <w:rFonts w:ascii="Times New Roman" w:hAnsi="Times New Roman" w:cs="Times New Roman"/>
          <w:i w:val="0"/>
          <w:iCs w:val="0"/>
          <w:color w:val="auto"/>
          <w:sz w:val="20"/>
          <w:szCs w:val="20"/>
        </w:rPr>
        <w:t xml:space="preserve">Figure </w:t>
      </w:r>
      <w:r w:rsidRPr="005748AD">
        <w:rPr>
          <w:rFonts w:ascii="Times New Roman" w:hAnsi="Times New Roman" w:cs="Times New Roman"/>
          <w:i w:val="0"/>
          <w:iCs w:val="0"/>
          <w:color w:val="auto"/>
          <w:sz w:val="20"/>
          <w:szCs w:val="20"/>
        </w:rPr>
        <w:fldChar w:fldCharType="begin"/>
      </w:r>
      <w:r w:rsidRPr="005748AD">
        <w:rPr>
          <w:rFonts w:ascii="Times New Roman" w:hAnsi="Times New Roman" w:cs="Times New Roman"/>
          <w:i w:val="0"/>
          <w:iCs w:val="0"/>
          <w:color w:val="auto"/>
          <w:sz w:val="20"/>
          <w:szCs w:val="20"/>
        </w:rPr>
        <w:instrText xml:space="preserve"> SEQ Figure \* ARABIC </w:instrText>
      </w:r>
      <w:r w:rsidRPr="005748AD">
        <w:rPr>
          <w:rFonts w:ascii="Times New Roman" w:hAnsi="Times New Roman" w:cs="Times New Roman"/>
          <w:i w:val="0"/>
          <w:iCs w:val="0"/>
          <w:color w:val="auto"/>
          <w:sz w:val="20"/>
          <w:szCs w:val="20"/>
        </w:rPr>
        <w:fldChar w:fldCharType="separate"/>
      </w:r>
      <w:r w:rsidR="005748AD" w:rsidRPr="005748AD">
        <w:rPr>
          <w:rFonts w:ascii="Times New Roman" w:hAnsi="Times New Roman" w:cs="Times New Roman"/>
          <w:i w:val="0"/>
          <w:iCs w:val="0"/>
          <w:noProof/>
          <w:color w:val="auto"/>
          <w:sz w:val="20"/>
          <w:szCs w:val="20"/>
        </w:rPr>
        <w:t>2</w:t>
      </w:r>
      <w:r w:rsidRPr="005748AD">
        <w:rPr>
          <w:rFonts w:ascii="Times New Roman" w:hAnsi="Times New Roman" w:cs="Times New Roman"/>
          <w:i w:val="0"/>
          <w:iCs w:val="0"/>
          <w:color w:val="auto"/>
          <w:sz w:val="20"/>
          <w:szCs w:val="20"/>
        </w:rPr>
        <w:fldChar w:fldCharType="end"/>
      </w:r>
      <w:r w:rsidRPr="005748AD">
        <w:rPr>
          <w:rFonts w:ascii="Times New Roman" w:hAnsi="Times New Roman" w:cs="Times New Roman"/>
          <w:i w:val="0"/>
          <w:iCs w:val="0"/>
          <w:color w:val="auto"/>
          <w:sz w:val="20"/>
          <w:szCs w:val="20"/>
        </w:rPr>
        <w:t xml:space="preserve"> : Monthly climate profiles for the three sites: (a) GHI (kWh/m²), (b) mean air temperature (°C), (c) ET₀ vs precipitation (mm), and (d) wind speed (m/s). Horizontal bars indicate the tomato growing season.</w:t>
      </w:r>
    </w:p>
    <w:p w14:paraId="5AD5C3C5" w14:textId="77777777" w:rsidR="00F6199C" w:rsidRDefault="00F6199C" w:rsidP="00A00DDC">
      <w:pPr>
        <w:spacing w:line="360" w:lineRule="auto"/>
        <w:ind w:firstLine="720"/>
        <w:jc w:val="both"/>
        <w:rPr>
          <w:rFonts w:ascii="Times New Roman" w:hAnsi="Times New Roman" w:cs="Times New Roman"/>
          <w:sz w:val="24"/>
          <w:szCs w:val="24"/>
        </w:rPr>
      </w:pPr>
    </w:p>
    <w:p w14:paraId="54C383EC" w14:textId="6C858F42" w:rsidR="00DB6DD1" w:rsidRPr="00DB6DD1" w:rsidRDefault="00DB6DD1" w:rsidP="00A00DD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Konya (37.87°N, 32.49°E, 1,016 m a.s.l.) is representative of the Central Anatolian Plateau, where a continental climate produces extreme seasonal swings: mean July temperatures around 23°C with maxima approaching 38°C give way to January means near −3°C with minima reaching −18°C or below</w:t>
      </w:r>
      <w:r w:rsidR="00C42CB2">
        <w:rPr>
          <w:rFonts w:ascii="Times New Roman" w:hAnsi="Times New Roman" w:cs="Times New Roman"/>
          <w:sz w:val="24"/>
          <w:szCs w:val="24"/>
        </w:rPr>
        <w:t xml:space="preserve"> </w:t>
      </w:r>
      <w:r w:rsidR="00C42CB2">
        <w:rPr>
          <w:rFonts w:ascii="Times New Roman" w:hAnsi="Times New Roman" w:cs="Times New Roman"/>
          <w:sz w:val="24"/>
          <w:szCs w:val="24"/>
        </w:rPr>
        <w:fldChar w:fldCharType="begin"/>
      </w:r>
      <w:r w:rsidR="00C42CB2">
        <w:rPr>
          <w:rFonts w:ascii="Times New Roman" w:hAnsi="Times New Roman" w:cs="Times New Roman"/>
          <w:sz w:val="24"/>
          <w:szCs w:val="24"/>
        </w:rPr>
        <w:instrText xml:space="preserve"> ADDIN ZOTERO_ITEM CSL_CITATION {"citationID":"OH5EJhAQ","properties":{"unsorted":false,"formattedCitation":"({\\i{}JRC Photovoltaic Geographical Information System (PVGIS) - European Commission}, n.d.)","plainCitation":"(JRC Photovoltaic Geographical Information System (PVGIS) - European Commission, n.d.)","noteIndex":0},"citationItems":[{"id":161,"uris":["http://zotero.org/users/local/i6bXxmSk/items/2IQCS73F"],"itemData":{"id":161,"type":"webpage","title":"JRC Photovoltaic Geographical Information System (PVGIS) - European Commission","URL":"https://re.jrc.ec.europa.eu/pvg_tools/en/","accessed":{"date-parts":[["2026",4,10]]}}}],"schema":"https://github.com/citation-style-language/schema/raw/master/csl-citation.json"} </w:instrText>
      </w:r>
      <w:r w:rsidR="00C42CB2">
        <w:rPr>
          <w:rFonts w:ascii="Times New Roman" w:hAnsi="Times New Roman" w:cs="Times New Roman"/>
          <w:sz w:val="24"/>
          <w:szCs w:val="24"/>
        </w:rPr>
        <w:fldChar w:fldCharType="separate"/>
      </w:r>
      <w:r w:rsidR="00C42CB2" w:rsidRPr="00C42CB2">
        <w:rPr>
          <w:rFonts w:ascii="Calibri" w:hAnsi="Calibri" w:cs="Calibri"/>
          <w:sz w:val="24"/>
          <w:szCs w:val="24"/>
        </w:rPr>
        <w:t>(</w:t>
      </w:r>
      <w:r w:rsidR="00C42CB2" w:rsidRPr="00C42CB2">
        <w:rPr>
          <w:rFonts w:ascii="Calibri" w:hAnsi="Calibri" w:cs="Calibri"/>
          <w:i/>
          <w:iCs/>
          <w:sz w:val="24"/>
          <w:szCs w:val="24"/>
        </w:rPr>
        <w:t xml:space="preserve">JRC Photovoltaic Geographical Information System (PVGIS) - European </w:t>
      </w:r>
      <w:r w:rsidR="00C42CB2" w:rsidRPr="00C42CB2">
        <w:rPr>
          <w:rFonts w:ascii="Calibri" w:hAnsi="Calibri" w:cs="Calibri"/>
          <w:i/>
          <w:iCs/>
          <w:sz w:val="24"/>
          <w:szCs w:val="24"/>
        </w:rPr>
        <w:lastRenderedPageBreak/>
        <w:t>Commission</w:t>
      </w:r>
      <w:r w:rsidR="00C42CB2" w:rsidRPr="00C42CB2">
        <w:rPr>
          <w:rFonts w:ascii="Calibri" w:hAnsi="Calibri" w:cs="Calibri"/>
          <w:sz w:val="24"/>
          <w:szCs w:val="24"/>
        </w:rPr>
        <w:t>, n.d.)</w:t>
      </w:r>
      <w:r w:rsidR="00C42CB2">
        <w:rPr>
          <w:rFonts w:ascii="Times New Roman" w:hAnsi="Times New Roman" w:cs="Times New Roman"/>
          <w:sz w:val="24"/>
          <w:szCs w:val="24"/>
        </w:rPr>
        <w:fldChar w:fldCharType="end"/>
      </w:r>
      <w:r w:rsidRPr="00DB6DD1">
        <w:rPr>
          <w:rFonts w:ascii="Times New Roman" w:hAnsi="Times New Roman" w:cs="Times New Roman"/>
          <w:sz w:val="24"/>
          <w:szCs w:val="24"/>
        </w:rPr>
        <w:t>. Annual GHI is approximately 1,650 kWh/m², and the persistent summer water deficit — potential evapotranspiration exceeds precipitation every month from May through September — makes irrigation essential for any commercial crop production. These conditions simultaneously maximize the solar resource for the PV subsystem and present the most demanding thermal challenge for mesophilic anaerobic digestion, since winter ambient temperatures are far below the mesophilic optimum: this is precisely the regime where the PV-heat coupling proposed in this study has the greatest operational value.</w:t>
      </w:r>
    </w:p>
    <w:p w14:paraId="4579F58A" w14:textId="3621069B" w:rsidR="00DB6DD1" w:rsidRPr="00DB6DD1" w:rsidRDefault="00DB6DD1" w:rsidP="00A00DD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Almería (36.83°N, 2.46°W, 22 m a.s.l.) sits on the Mediterranean coast of Andalusia and holds the distinction of being the driest location in continental Europe, with annual precipitation averaging just 200 mm against an ET₀ of 1,350 mm </w:t>
      </w:r>
      <w:r w:rsidRPr="00C520CC">
        <w:rPr>
          <w:rFonts w:ascii="Times New Roman" w:hAnsi="Times New Roman" w:cs="Times New Roman"/>
          <w:color w:val="FF0000"/>
          <w:sz w:val="24"/>
          <w:szCs w:val="24"/>
        </w:rPr>
        <w:t>(Junta de Andalucía, 2022</w:t>
      </w:r>
      <w:r w:rsidRPr="00DB6DD1">
        <w:rPr>
          <w:rFonts w:ascii="Times New Roman" w:hAnsi="Times New Roman" w:cs="Times New Roman"/>
          <w:sz w:val="24"/>
          <w:szCs w:val="24"/>
        </w:rPr>
        <w:t xml:space="preserve">). The region hosts Europe's most intensively managed horticultural landscape, with over 30,000 hectares of plastic greenhouse cultivation making it one of the world's most studied agrivoltaic test environments </w:t>
      </w:r>
      <w:r w:rsidRPr="00C520CC">
        <w:rPr>
          <w:rFonts w:ascii="Times New Roman" w:hAnsi="Times New Roman" w:cs="Times New Roman"/>
          <w:color w:val="FF0000"/>
          <w:sz w:val="24"/>
          <w:szCs w:val="24"/>
        </w:rPr>
        <w:t>(Marín-</w:t>
      </w:r>
      <w:proofErr w:type="spellStart"/>
      <w:r w:rsidRPr="00C520CC">
        <w:rPr>
          <w:rFonts w:ascii="Times New Roman" w:hAnsi="Times New Roman" w:cs="Times New Roman"/>
          <w:color w:val="FF0000"/>
          <w:sz w:val="24"/>
          <w:szCs w:val="24"/>
        </w:rPr>
        <w:t>Membrive</w:t>
      </w:r>
      <w:proofErr w:type="spellEnd"/>
      <w:r w:rsidRPr="00C520CC">
        <w:rPr>
          <w:rFonts w:ascii="Times New Roman" w:hAnsi="Times New Roman" w:cs="Times New Roman"/>
          <w:color w:val="FF0000"/>
          <w:sz w:val="24"/>
          <w:szCs w:val="24"/>
        </w:rPr>
        <w:t xml:space="preserve"> et al., 2021). </w:t>
      </w:r>
      <w:r w:rsidRPr="00DB6DD1">
        <w:rPr>
          <w:rFonts w:ascii="Times New Roman" w:hAnsi="Times New Roman" w:cs="Times New Roman"/>
          <w:sz w:val="24"/>
          <w:szCs w:val="24"/>
        </w:rPr>
        <w:t>Unlike Konya, winter temperatures in Almería rarely fall below 5°C, which eliminates the risk of digester freezing and substantially reduces the heating energy needed for mesophilic operation. The high summer irradiance (GHI peak months exceeding 200 kWh/m²</w:t>
      </w:r>
      <w:r w:rsidR="003C33B9">
        <w:rPr>
          <w:rFonts w:ascii="Times New Roman" w:hAnsi="Times New Roman" w:cs="Times New Roman"/>
          <w:sz w:val="24"/>
          <w:szCs w:val="24"/>
        </w:rPr>
        <w:t xml:space="preserve"> </w:t>
      </w:r>
      <w:r w:rsidR="003C33B9">
        <w:rPr>
          <w:rFonts w:ascii="Times New Roman" w:hAnsi="Times New Roman" w:cs="Times New Roman"/>
          <w:sz w:val="24"/>
          <w:szCs w:val="24"/>
        </w:rPr>
        <w:fldChar w:fldCharType="begin"/>
      </w:r>
      <w:r w:rsidR="003C33B9">
        <w:rPr>
          <w:rFonts w:ascii="Times New Roman" w:hAnsi="Times New Roman" w:cs="Times New Roman"/>
          <w:sz w:val="24"/>
          <w:szCs w:val="24"/>
        </w:rPr>
        <w:instrText xml:space="preserve"> ADDIN ZOTERO_ITEM CSL_CITATION {"citationID":"W8KqKUwQ","properties":{"unsorted":false,"formattedCitation":"({\\i{}JRC Photovoltaic Geographical Information System (PVGIS) - European Commission}, n.d.)","plainCitation":"(JRC Photovoltaic Geographical Information System (PVGIS) - European Commission, n.d.)","noteIndex":0},"citationItems":[{"id":161,"uris":["http://zotero.org/users/local/i6bXxmSk/items/2IQCS73F"],"itemData":{"id":161,"type":"webpage","title":"JRC Photovoltaic Geographical Information System (PVGIS) - European Commission","URL":"https://re.jrc.ec.europa.eu/pvg_tools/en/","accessed":{"date-parts":[["2026",4,10]]}}}],"schema":"https://github.com/citation-style-language/schema/raw/master/csl-citation.json"} </w:instrText>
      </w:r>
      <w:r w:rsidR="003C33B9">
        <w:rPr>
          <w:rFonts w:ascii="Times New Roman" w:hAnsi="Times New Roman" w:cs="Times New Roman"/>
          <w:sz w:val="24"/>
          <w:szCs w:val="24"/>
        </w:rPr>
        <w:fldChar w:fldCharType="separate"/>
      </w:r>
      <w:r w:rsidR="003C33B9" w:rsidRPr="003C33B9">
        <w:rPr>
          <w:rFonts w:ascii="Calibri" w:hAnsi="Calibri" w:cs="Calibri"/>
          <w:sz w:val="24"/>
          <w:szCs w:val="24"/>
        </w:rPr>
        <w:t>(</w:t>
      </w:r>
      <w:r w:rsidR="003C33B9" w:rsidRPr="003C33B9">
        <w:rPr>
          <w:rFonts w:ascii="Calibri" w:hAnsi="Calibri" w:cs="Calibri"/>
          <w:i/>
          <w:iCs/>
          <w:sz w:val="24"/>
          <w:szCs w:val="24"/>
        </w:rPr>
        <w:t>JRC Photovoltaic Geographical Information System (PVGIS) - European Commission</w:t>
      </w:r>
      <w:r w:rsidR="003C33B9" w:rsidRPr="003C33B9">
        <w:rPr>
          <w:rFonts w:ascii="Calibri" w:hAnsi="Calibri" w:cs="Calibri"/>
          <w:sz w:val="24"/>
          <w:szCs w:val="24"/>
        </w:rPr>
        <w:t>, n.d.)</w:t>
      </w:r>
      <w:r w:rsidR="003C33B9">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and mild winters also make this an ideal site for demonstrating the PV-heat synergy under the most </w:t>
      </w:r>
      <w:r w:rsidR="00047A43" w:rsidRPr="00DB6DD1">
        <w:rPr>
          <w:rFonts w:ascii="Times New Roman" w:hAnsi="Times New Roman" w:cs="Times New Roman"/>
          <w:sz w:val="24"/>
          <w:szCs w:val="24"/>
        </w:rPr>
        <w:t>favorable</w:t>
      </w:r>
      <w:r w:rsidRPr="00DB6DD1">
        <w:rPr>
          <w:rFonts w:ascii="Times New Roman" w:hAnsi="Times New Roman" w:cs="Times New Roman"/>
          <w:sz w:val="24"/>
          <w:szCs w:val="24"/>
        </w:rPr>
        <w:t xml:space="preserve"> conditions.</w:t>
      </w:r>
    </w:p>
    <w:p w14:paraId="72CD96C2" w14:textId="4F5E326A" w:rsidR="00DB6DD1" w:rsidRDefault="00DB6DD1" w:rsidP="00A00DD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Ouagadougou (12.37°N, 1.52°W, 303 m a.s.l.) lies in the Sahel and offers the highest solar resource of the three sites, with GHI averaging 2,050 kWh/m² annually — among the highest values encountered in any inhabited agricultural region globally</w:t>
      </w:r>
      <w:r w:rsidR="00DF0CCF">
        <w:rPr>
          <w:rFonts w:ascii="Times New Roman" w:hAnsi="Times New Roman" w:cs="Times New Roman"/>
          <w:sz w:val="24"/>
          <w:szCs w:val="24"/>
        </w:rPr>
        <w:t xml:space="preserve"> </w:t>
      </w:r>
      <w:r w:rsidR="00DF0CCF">
        <w:rPr>
          <w:rFonts w:ascii="Times New Roman" w:hAnsi="Times New Roman" w:cs="Times New Roman"/>
          <w:sz w:val="24"/>
          <w:szCs w:val="24"/>
        </w:rPr>
        <w:fldChar w:fldCharType="begin"/>
      </w:r>
      <w:r w:rsidR="00DF0CCF">
        <w:rPr>
          <w:rFonts w:ascii="Times New Roman" w:hAnsi="Times New Roman" w:cs="Times New Roman"/>
          <w:sz w:val="24"/>
          <w:szCs w:val="24"/>
        </w:rPr>
        <w:instrText xml:space="preserve"> ADDIN ZOTERO_ITEM CSL_CITATION {"citationID":"fLakRJls","properties":{"unsorted":false,"formattedCitation":"({\\i{}JRC Photovoltaic Geographical Information System (PVGIS) - European Commission}, n.d.)","plainCitation":"(JRC Photovoltaic Geographical Information System (PVGIS) - European Commission, n.d.)","noteIndex":0},"citationItems":[{"id":161,"uris":["http://zotero.org/users/local/i6bXxmSk/items/2IQCS73F"],"itemData":{"id":161,"type":"webpage","title":"JRC Photovoltaic Geographical Information System (PVGIS) - European Commission","URL":"https://re.jrc.ec.europa.eu/pvg_tools/en/","accessed":{"date-parts":[["2026",4,10]]}}}],"schema":"https://github.com/citation-style-language/schema/raw/master/csl-citation.json"} </w:instrText>
      </w:r>
      <w:r w:rsidR="00DF0CCF">
        <w:rPr>
          <w:rFonts w:ascii="Times New Roman" w:hAnsi="Times New Roman" w:cs="Times New Roman"/>
          <w:sz w:val="24"/>
          <w:szCs w:val="24"/>
        </w:rPr>
        <w:fldChar w:fldCharType="separate"/>
      </w:r>
      <w:r w:rsidR="00DF0CCF" w:rsidRPr="00DF0CCF">
        <w:rPr>
          <w:rFonts w:ascii="Calibri" w:hAnsi="Calibri" w:cs="Calibri"/>
          <w:sz w:val="24"/>
          <w:szCs w:val="24"/>
        </w:rPr>
        <w:t>(</w:t>
      </w:r>
      <w:r w:rsidR="00DF0CCF" w:rsidRPr="00DF0CCF">
        <w:rPr>
          <w:rFonts w:ascii="Calibri" w:hAnsi="Calibri" w:cs="Calibri"/>
          <w:i/>
          <w:iCs/>
          <w:sz w:val="24"/>
          <w:szCs w:val="24"/>
        </w:rPr>
        <w:t>JRC Photovoltaic Geographical Information System (PVGIS) - European Commission</w:t>
      </w:r>
      <w:r w:rsidR="00DF0CCF" w:rsidRPr="00DF0CCF">
        <w:rPr>
          <w:rFonts w:ascii="Calibri" w:hAnsi="Calibri" w:cs="Calibri"/>
          <w:sz w:val="24"/>
          <w:szCs w:val="24"/>
        </w:rPr>
        <w:t>, n.d.)</w:t>
      </w:r>
      <w:r w:rsidR="00DF0CCF">
        <w:rPr>
          <w:rFonts w:ascii="Times New Roman" w:hAnsi="Times New Roman" w:cs="Times New Roman"/>
          <w:sz w:val="24"/>
          <w:szCs w:val="24"/>
        </w:rPr>
        <w:fldChar w:fldCharType="end"/>
      </w:r>
      <w:r w:rsidRPr="00DB6DD1">
        <w:rPr>
          <w:rFonts w:ascii="Times New Roman" w:hAnsi="Times New Roman" w:cs="Times New Roman"/>
          <w:sz w:val="24"/>
          <w:szCs w:val="24"/>
        </w:rPr>
        <w:t>. The tropical semi-arid climate has a strongly seasonal character: approximately 800 mm of rainfall is concentrated in the June–September monsoon, followed by a long dry season during which temperatures can exceed 40°C. Mean annual temperature is 28.5°C, with winter minima remaining above 13°C, meaning that the digester operates near the mesophilic optimum for most of the year with minimal heating demand. Acute water scarcity during the dry season, when surface soils lose moisture rapidly, makes the evapotranspiration reduction and soil water retention benefits of an APV system particularly valuable for smallholder farmers.</w:t>
      </w:r>
    </w:p>
    <w:p w14:paraId="541D7255" w14:textId="77777777" w:rsidR="00DB6DD1" w:rsidRDefault="00DB6DD1" w:rsidP="00DB6DD1">
      <w:pPr>
        <w:spacing w:line="360" w:lineRule="auto"/>
        <w:jc w:val="both"/>
        <w:rPr>
          <w:rFonts w:ascii="Times New Roman" w:hAnsi="Times New Roman" w:cs="Times New Roman"/>
          <w:sz w:val="20"/>
          <w:szCs w:val="20"/>
        </w:rPr>
      </w:pPr>
    </w:p>
    <w:p w14:paraId="33F92C03" w14:textId="77777777" w:rsidR="00F85F6A" w:rsidRDefault="00367866" w:rsidP="00F85F6A">
      <w:pPr>
        <w:keepNext/>
        <w:spacing w:line="360" w:lineRule="auto"/>
        <w:jc w:val="both"/>
      </w:pPr>
      <w:r>
        <w:rPr>
          <w:rFonts w:ascii="Times New Roman" w:hAnsi="Times New Roman" w:cs="Times New Roman"/>
          <w:noProof/>
          <w:sz w:val="24"/>
          <w:szCs w:val="24"/>
        </w:rPr>
        <w:lastRenderedPageBreak/>
        <w:drawing>
          <wp:inline distT="0" distB="0" distL="0" distR="0" wp14:anchorId="2149C5D2" wp14:editId="14DAA1B5">
            <wp:extent cx="5943600" cy="2423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14:paraId="77865FD8" w14:textId="2282E7AD" w:rsidR="00367866" w:rsidRPr="00A005F3" w:rsidRDefault="00F85F6A" w:rsidP="00A005F3">
      <w:pPr>
        <w:pStyle w:val="Caption"/>
        <w:jc w:val="center"/>
        <w:rPr>
          <w:rFonts w:ascii="Times New Roman" w:hAnsi="Times New Roman" w:cs="Times New Roman"/>
          <w:i w:val="0"/>
          <w:iCs w:val="0"/>
          <w:color w:val="auto"/>
          <w:sz w:val="20"/>
          <w:szCs w:val="20"/>
        </w:rPr>
      </w:pPr>
      <w:r w:rsidRPr="00A005F3">
        <w:rPr>
          <w:rFonts w:ascii="Times New Roman" w:hAnsi="Times New Roman" w:cs="Times New Roman"/>
          <w:i w:val="0"/>
          <w:iCs w:val="0"/>
          <w:color w:val="auto"/>
          <w:sz w:val="20"/>
          <w:szCs w:val="20"/>
        </w:rPr>
        <w:t xml:space="preserve">Figure </w:t>
      </w:r>
      <w:r w:rsidRPr="00A005F3">
        <w:rPr>
          <w:rFonts w:ascii="Times New Roman" w:hAnsi="Times New Roman" w:cs="Times New Roman"/>
          <w:i w:val="0"/>
          <w:iCs w:val="0"/>
          <w:color w:val="auto"/>
          <w:sz w:val="20"/>
          <w:szCs w:val="20"/>
        </w:rPr>
        <w:fldChar w:fldCharType="begin"/>
      </w:r>
      <w:r w:rsidRPr="00A005F3">
        <w:rPr>
          <w:rFonts w:ascii="Times New Roman" w:hAnsi="Times New Roman" w:cs="Times New Roman"/>
          <w:i w:val="0"/>
          <w:iCs w:val="0"/>
          <w:color w:val="auto"/>
          <w:sz w:val="20"/>
          <w:szCs w:val="20"/>
        </w:rPr>
        <w:instrText xml:space="preserve"> SEQ Figure \* ARABIC </w:instrText>
      </w:r>
      <w:r w:rsidRPr="00A005F3">
        <w:rPr>
          <w:rFonts w:ascii="Times New Roman" w:hAnsi="Times New Roman" w:cs="Times New Roman"/>
          <w:i w:val="0"/>
          <w:iCs w:val="0"/>
          <w:color w:val="auto"/>
          <w:sz w:val="20"/>
          <w:szCs w:val="20"/>
        </w:rPr>
        <w:fldChar w:fldCharType="separate"/>
      </w:r>
      <w:r w:rsidR="005748AD" w:rsidRPr="00A005F3">
        <w:rPr>
          <w:rFonts w:ascii="Times New Roman" w:hAnsi="Times New Roman" w:cs="Times New Roman"/>
          <w:i w:val="0"/>
          <w:iCs w:val="0"/>
          <w:color w:val="auto"/>
          <w:sz w:val="20"/>
          <w:szCs w:val="20"/>
        </w:rPr>
        <w:t>3</w:t>
      </w:r>
      <w:r w:rsidRPr="00A005F3">
        <w:rPr>
          <w:rFonts w:ascii="Times New Roman" w:hAnsi="Times New Roman" w:cs="Times New Roman"/>
          <w:i w:val="0"/>
          <w:iCs w:val="0"/>
          <w:color w:val="auto"/>
          <w:sz w:val="20"/>
          <w:szCs w:val="20"/>
        </w:rPr>
        <w:fldChar w:fldCharType="end"/>
      </w:r>
      <w:r w:rsidRPr="00A005F3">
        <w:rPr>
          <w:rFonts w:ascii="Times New Roman" w:hAnsi="Times New Roman" w:cs="Times New Roman"/>
          <w:i w:val="0"/>
          <w:iCs w:val="0"/>
          <w:color w:val="auto"/>
          <w:sz w:val="20"/>
          <w:szCs w:val="20"/>
        </w:rPr>
        <w:t xml:space="preserve"> : Temperature </w:t>
      </w:r>
      <w:r w:rsidR="001809F0" w:rsidRPr="00A005F3">
        <w:rPr>
          <w:rFonts w:ascii="Times New Roman" w:hAnsi="Times New Roman" w:cs="Times New Roman"/>
          <w:i w:val="0"/>
          <w:iCs w:val="0"/>
          <w:color w:val="auto"/>
          <w:sz w:val="20"/>
          <w:szCs w:val="20"/>
        </w:rPr>
        <w:t>characterization</w:t>
      </w:r>
      <w:r w:rsidRPr="00A005F3">
        <w:rPr>
          <w:rFonts w:ascii="Times New Roman" w:hAnsi="Times New Roman" w:cs="Times New Roman"/>
          <w:i w:val="0"/>
          <w:iCs w:val="0"/>
          <w:color w:val="auto"/>
          <w:sz w:val="20"/>
          <w:szCs w:val="20"/>
        </w:rPr>
        <w:t xml:space="preserve">: (left) monthly distribution of 2‑m air temperature; (right) exceedance frequency curve. </w:t>
      </w:r>
      <w:r w:rsidR="001809F0" w:rsidRPr="00A005F3">
        <w:rPr>
          <w:rFonts w:ascii="Times New Roman" w:hAnsi="Times New Roman" w:cs="Times New Roman"/>
          <w:i w:val="0"/>
          <w:iCs w:val="0"/>
          <w:color w:val="auto"/>
          <w:sz w:val="20"/>
          <w:szCs w:val="20"/>
        </w:rPr>
        <w:t>Colored</w:t>
      </w:r>
      <w:r w:rsidRPr="00A005F3">
        <w:rPr>
          <w:rFonts w:ascii="Times New Roman" w:hAnsi="Times New Roman" w:cs="Times New Roman"/>
          <w:i w:val="0"/>
          <w:iCs w:val="0"/>
          <w:color w:val="auto"/>
          <w:sz w:val="20"/>
          <w:szCs w:val="20"/>
        </w:rPr>
        <w:t xml:space="preserve"> bands indicate agronomic thresholds (optimal, heat stress, frost) and the minimum digester temperature (26 °C).</w:t>
      </w:r>
    </w:p>
    <w:p w14:paraId="3F557035" w14:textId="77777777" w:rsidR="008E0184" w:rsidRDefault="008E0184" w:rsidP="00DB6DD1">
      <w:pPr>
        <w:spacing w:line="360" w:lineRule="auto"/>
        <w:jc w:val="both"/>
        <w:rPr>
          <w:rFonts w:ascii="Times New Roman" w:hAnsi="Times New Roman" w:cs="Times New Roman"/>
          <w:sz w:val="24"/>
          <w:szCs w:val="24"/>
        </w:rPr>
      </w:pPr>
    </w:p>
    <w:p w14:paraId="456BE721" w14:textId="77777777" w:rsidR="005748AD" w:rsidRDefault="008E0184" w:rsidP="005748AD">
      <w:pPr>
        <w:keepNext/>
        <w:spacing w:line="360" w:lineRule="auto"/>
        <w:jc w:val="center"/>
      </w:pPr>
      <w:r>
        <w:rPr>
          <w:rFonts w:ascii="Times New Roman" w:hAnsi="Times New Roman" w:cs="Times New Roman"/>
          <w:noProof/>
          <w:sz w:val="24"/>
          <w:szCs w:val="24"/>
        </w:rPr>
        <w:lastRenderedPageBreak/>
        <w:drawing>
          <wp:inline distT="0" distB="0" distL="0" distR="0" wp14:anchorId="4DCA53A7" wp14:editId="15988C3B">
            <wp:extent cx="4589171" cy="4628063"/>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7272" cy="4636232"/>
                    </a:xfrm>
                    <a:prstGeom prst="rect">
                      <a:avLst/>
                    </a:prstGeom>
                  </pic:spPr>
                </pic:pic>
              </a:graphicData>
            </a:graphic>
          </wp:inline>
        </w:drawing>
      </w:r>
    </w:p>
    <w:p w14:paraId="62465EC4" w14:textId="39A6C893" w:rsidR="008E0184" w:rsidRPr="001809F0" w:rsidRDefault="005748AD" w:rsidP="005748AD">
      <w:pPr>
        <w:pStyle w:val="Caption"/>
        <w:jc w:val="center"/>
        <w:rPr>
          <w:rFonts w:ascii="Times New Roman" w:hAnsi="Times New Roman" w:cs="Times New Roman"/>
          <w:i w:val="0"/>
          <w:iCs w:val="0"/>
          <w:color w:val="auto"/>
          <w:sz w:val="20"/>
          <w:szCs w:val="20"/>
        </w:rPr>
      </w:pPr>
      <w:r w:rsidRPr="001809F0">
        <w:rPr>
          <w:rFonts w:ascii="Times New Roman" w:hAnsi="Times New Roman" w:cs="Times New Roman"/>
          <w:i w:val="0"/>
          <w:iCs w:val="0"/>
          <w:color w:val="auto"/>
          <w:sz w:val="20"/>
          <w:szCs w:val="20"/>
        </w:rPr>
        <w:t xml:space="preserve">Figure </w:t>
      </w:r>
      <w:r w:rsidRPr="001809F0">
        <w:rPr>
          <w:rFonts w:ascii="Times New Roman" w:hAnsi="Times New Roman" w:cs="Times New Roman"/>
          <w:i w:val="0"/>
          <w:iCs w:val="0"/>
          <w:color w:val="auto"/>
          <w:sz w:val="20"/>
          <w:szCs w:val="20"/>
        </w:rPr>
        <w:fldChar w:fldCharType="begin"/>
      </w:r>
      <w:r w:rsidRPr="001809F0">
        <w:rPr>
          <w:rFonts w:ascii="Times New Roman" w:hAnsi="Times New Roman" w:cs="Times New Roman"/>
          <w:i w:val="0"/>
          <w:iCs w:val="0"/>
          <w:color w:val="auto"/>
          <w:sz w:val="20"/>
          <w:szCs w:val="20"/>
        </w:rPr>
        <w:instrText xml:space="preserve"> SEQ Figure \* ARABIC </w:instrText>
      </w:r>
      <w:r w:rsidRPr="001809F0">
        <w:rPr>
          <w:rFonts w:ascii="Times New Roman" w:hAnsi="Times New Roman" w:cs="Times New Roman"/>
          <w:i w:val="0"/>
          <w:iCs w:val="0"/>
          <w:color w:val="auto"/>
          <w:sz w:val="20"/>
          <w:szCs w:val="20"/>
        </w:rPr>
        <w:fldChar w:fldCharType="separate"/>
      </w:r>
      <w:r w:rsidRPr="001809F0">
        <w:rPr>
          <w:rFonts w:ascii="Times New Roman" w:hAnsi="Times New Roman" w:cs="Times New Roman"/>
          <w:i w:val="0"/>
          <w:iCs w:val="0"/>
          <w:color w:val="auto"/>
          <w:sz w:val="20"/>
          <w:szCs w:val="20"/>
        </w:rPr>
        <w:t>4</w:t>
      </w:r>
      <w:r w:rsidRPr="001809F0">
        <w:rPr>
          <w:rFonts w:ascii="Times New Roman" w:hAnsi="Times New Roman" w:cs="Times New Roman"/>
          <w:i w:val="0"/>
          <w:iCs w:val="0"/>
          <w:color w:val="auto"/>
          <w:sz w:val="20"/>
          <w:szCs w:val="20"/>
        </w:rPr>
        <w:fldChar w:fldCharType="end"/>
      </w:r>
      <w:r w:rsidRPr="001809F0">
        <w:rPr>
          <w:rFonts w:ascii="Times New Roman" w:hAnsi="Times New Roman" w:cs="Times New Roman"/>
          <w:i w:val="0"/>
          <w:iCs w:val="0"/>
          <w:color w:val="auto"/>
          <w:sz w:val="20"/>
          <w:szCs w:val="20"/>
        </w:rPr>
        <w:t xml:space="preserve"> : </w:t>
      </w:r>
      <w:r w:rsidR="001809F0" w:rsidRPr="001809F0">
        <w:rPr>
          <w:rFonts w:ascii="Times New Roman" w:hAnsi="Times New Roman" w:cs="Times New Roman"/>
          <w:i w:val="0"/>
          <w:iCs w:val="0"/>
          <w:color w:val="auto"/>
          <w:sz w:val="20"/>
          <w:szCs w:val="20"/>
        </w:rPr>
        <w:t>Normalized</w:t>
      </w:r>
      <w:r w:rsidRPr="001809F0">
        <w:rPr>
          <w:rFonts w:ascii="Times New Roman" w:hAnsi="Times New Roman" w:cs="Times New Roman"/>
          <w:i w:val="0"/>
          <w:iCs w:val="0"/>
          <w:color w:val="auto"/>
          <w:sz w:val="20"/>
          <w:szCs w:val="20"/>
        </w:rPr>
        <w:t xml:space="preserve"> radar chart comparing the three sites across eight climatic and agricultural dimensions (outer = higher value). This highlights the trade‑offs between solar resource, temperature extremes, water balance and growing season length.</w:t>
      </w:r>
    </w:p>
    <w:p w14:paraId="174DD584" w14:textId="6A70E49E"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3.2. Climate data acquisition and processing</w:t>
      </w:r>
    </w:p>
    <w:p w14:paraId="4FCA6F21" w14:textId="36C83BC7" w:rsidR="008B5AA3" w:rsidRPr="00DB6DD1" w:rsidRDefault="00DB6DD1" w:rsidP="00F10A20">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Hourly meteorological data for all three sites were extracted from the PVGIS-SARAH</w:t>
      </w:r>
      <w:r w:rsidR="00F539DC">
        <w:rPr>
          <w:rFonts w:ascii="Times New Roman" w:hAnsi="Times New Roman" w:cs="Times New Roman"/>
          <w:sz w:val="24"/>
          <w:szCs w:val="24"/>
        </w:rPr>
        <w:t>3</w:t>
      </w:r>
      <w:r w:rsidRPr="00DB6DD1">
        <w:rPr>
          <w:rFonts w:ascii="Times New Roman" w:hAnsi="Times New Roman" w:cs="Times New Roman"/>
          <w:sz w:val="24"/>
          <w:szCs w:val="24"/>
        </w:rPr>
        <w:t xml:space="preserve"> Typical Meteorological Year (TMY) database maintained by the Joint Research Centre of the European Commission. Each TMY file provides 8,760 hourly records covering nine variables: global horizontal irradiance G(h) [W/m²], direct normal irradiance Gb(n) [W/m²], diffuse horizontal irradiance Gd(h) [W/m²], 2-m air temperature T2m [°C], relative humidity RH [%], 10-m wind speed WS10m [m/s], wind direction [°], and surface pressure SP [Pa]</w:t>
      </w:r>
      <w:r w:rsidR="00F539DC">
        <w:rPr>
          <w:rFonts w:ascii="Times New Roman" w:hAnsi="Times New Roman" w:cs="Times New Roman"/>
          <w:sz w:val="24"/>
          <w:szCs w:val="24"/>
        </w:rPr>
        <w:t xml:space="preserve"> </w:t>
      </w:r>
      <w:r w:rsidR="00F539DC">
        <w:rPr>
          <w:rFonts w:ascii="Times New Roman" w:hAnsi="Times New Roman" w:cs="Times New Roman"/>
          <w:sz w:val="24"/>
          <w:szCs w:val="24"/>
        </w:rPr>
        <w:fldChar w:fldCharType="begin"/>
      </w:r>
      <w:r w:rsidR="00F539DC">
        <w:rPr>
          <w:rFonts w:ascii="Times New Roman" w:hAnsi="Times New Roman" w:cs="Times New Roman"/>
          <w:sz w:val="24"/>
          <w:szCs w:val="24"/>
        </w:rPr>
        <w:instrText xml:space="preserve"> ADDIN ZOTERO_ITEM CSL_CITATION {"citationID":"B6BHr2iz","properties":{"unsorted":false,"formattedCitation":"({\\i{}JRC Photovoltaic Geographical Information System (PVGIS) - European Commission}, n.d.)","plainCitation":"(JRC Photovoltaic Geographical Information System (PVGIS) - European Commission, n.d.)","noteIndex":0},"citationItems":[{"id":161,"uris":["http://zotero.org/users/local/i6bXxmSk/items/2IQCS73F"],"itemData":{"id":161,"type":"webpage","title":"JRC Photovoltaic Geographical Information System (PVGIS) - European Commission","URL":"https://re.jrc.ec.europa.eu/pvg_tools/en/","accessed":{"date-parts":[["2026",4,10]]}}}],"schema":"https://github.com/citation-style-language/schema/raw/master/csl-citation.json"} </w:instrText>
      </w:r>
      <w:r w:rsidR="00F539DC">
        <w:rPr>
          <w:rFonts w:ascii="Times New Roman" w:hAnsi="Times New Roman" w:cs="Times New Roman"/>
          <w:sz w:val="24"/>
          <w:szCs w:val="24"/>
        </w:rPr>
        <w:fldChar w:fldCharType="separate"/>
      </w:r>
      <w:r w:rsidR="00F539DC" w:rsidRPr="00F539DC">
        <w:rPr>
          <w:rFonts w:ascii="Calibri" w:hAnsi="Calibri" w:cs="Calibri"/>
          <w:sz w:val="24"/>
          <w:szCs w:val="24"/>
        </w:rPr>
        <w:t>(</w:t>
      </w:r>
      <w:r w:rsidR="00F539DC" w:rsidRPr="00F539DC">
        <w:rPr>
          <w:rFonts w:ascii="Calibri" w:hAnsi="Calibri" w:cs="Calibri"/>
          <w:i/>
          <w:iCs/>
          <w:sz w:val="24"/>
          <w:szCs w:val="24"/>
        </w:rPr>
        <w:t>JRC Photovoltaic Geographical Information System (PVGIS) - European Commission</w:t>
      </w:r>
      <w:r w:rsidR="00F539DC" w:rsidRPr="00F539DC">
        <w:rPr>
          <w:rFonts w:ascii="Calibri" w:hAnsi="Calibri" w:cs="Calibri"/>
          <w:sz w:val="24"/>
          <w:szCs w:val="24"/>
        </w:rPr>
        <w:t>, n.d.)</w:t>
      </w:r>
      <w:r w:rsidR="00F539DC">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13A21093" w14:textId="0E105C47" w:rsidR="00DB6DD1" w:rsidRPr="00DB6DD1" w:rsidRDefault="00DB6DD1" w:rsidP="00173DF1">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PVGIS-SARAH</w:t>
      </w:r>
      <w:r w:rsidR="00B725FC">
        <w:rPr>
          <w:rFonts w:ascii="Times New Roman" w:hAnsi="Times New Roman" w:cs="Times New Roman"/>
          <w:sz w:val="24"/>
          <w:szCs w:val="24"/>
        </w:rPr>
        <w:t>3</w:t>
      </w:r>
      <w:r w:rsidRPr="00DB6DD1">
        <w:rPr>
          <w:rFonts w:ascii="Times New Roman" w:hAnsi="Times New Roman" w:cs="Times New Roman"/>
          <w:sz w:val="24"/>
          <w:szCs w:val="24"/>
        </w:rPr>
        <w:t xml:space="preserve"> was selected over ERA5 reanalysis because its solar irradiance fields are derived from Meteosat Second Generation (MSG) satellite observations rather than numerical </w:t>
      </w:r>
      <w:r w:rsidRPr="00DB6DD1">
        <w:rPr>
          <w:rFonts w:ascii="Times New Roman" w:hAnsi="Times New Roman" w:cs="Times New Roman"/>
          <w:sz w:val="24"/>
          <w:szCs w:val="24"/>
        </w:rPr>
        <w:lastRenderedPageBreak/>
        <w:t xml:space="preserve">weather prediction, yielding substantially lower hourly GHI bias for the Mediterranean basin, the Anatolian Plateau, and the West African Sahel — the three regions relevant to this </w:t>
      </w:r>
      <w:r w:rsidRPr="00323FF3">
        <w:rPr>
          <w:rFonts w:ascii="Times New Roman" w:hAnsi="Times New Roman" w:cs="Times New Roman"/>
          <w:color w:val="FF0000"/>
          <w:sz w:val="24"/>
          <w:szCs w:val="24"/>
        </w:rPr>
        <w:t xml:space="preserve">study </w:t>
      </w:r>
      <w:r w:rsidR="00481859">
        <w:rPr>
          <w:rFonts w:ascii="Times New Roman" w:hAnsi="Times New Roman" w:cs="Times New Roman"/>
          <w:color w:val="FF0000"/>
          <w:sz w:val="24"/>
          <w:szCs w:val="24"/>
        </w:rPr>
        <w:fldChar w:fldCharType="begin"/>
      </w:r>
      <w:r w:rsidR="00481859">
        <w:rPr>
          <w:rFonts w:ascii="Times New Roman" w:hAnsi="Times New Roman" w:cs="Times New Roman"/>
          <w:color w:val="FF0000"/>
          <w:sz w:val="24"/>
          <w:szCs w:val="24"/>
        </w:rPr>
        <w:instrText xml:space="preserve"> ADDIN ZOTERO_ITEM CSL_CITATION {"citationID":"rCkQJh07","properties":{"unsorted":false,"formattedCitation":"(Huld et al., 2012)","plainCitation":"(Huld et al., 2012)","noteIndex":0},"citationItems":[{"id":136,"uris":["http://zotero.org/users/local/i6bXxmSk/items/4XJC4D54"],"itemData":{"id":136,"type":"article-journal","abstract":"The Photovoltaic Geographical Information System (PVGIS) is a web application for the estimation of the performance of photovoltaic (PV) systems in Europe and Africa, which has become widely used by the PV community in Europe. We here present the results of adapting the solar radiation data calculated from satellite data in the Climate Monitoring Satellite Application Facility (CM-SAF) to PVGIS. The CM-SAF solar radiation database is characterized by very low overall bias and shows good accuracy at validation sites. The application to PVGIS brings important improvements relative to the existing solar radiation databases within PVGIS.","container-title":"Solar Energy","DOI":"10.1016/j.solener.2012.03.006","ISSN":"0038092X","issue":"6","journalAbbreviation":"Solar Energy","language":"en","license":"https://www.elsevier.com/tdm/userlicense/1.0/","page":"1803-1815","source":"DOI.org (Crossref)","title":"A new solar radiation database for estimating PV performance in Europe and Africa","volume":"86","author":[{"family":"Huld","given":"Thomas"},{"family":"Müller","given":"Richard"},{"family":"Gambardella","given":"Attilio"}],"issued":{"date-parts":[["2012",6]]}}}],"schema":"https://github.com/citation-style-language/schema/raw/master/csl-citation.json"} </w:instrText>
      </w:r>
      <w:r w:rsidR="00481859">
        <w:rPr>
          <w:rFonts w:ascii="Times New Roman" w:hAnsi="Times New Roman" w:cs="Times New Roman"/>
          <w:color w:val="FF0000"/>
          <w:sz w:val="24"/>
          <w:szCs w:val="24"/>
        </w:rPr>
        <w:fldChar w:fldCharType="separate"/>
      </w:r>
      <w:r w:rsidR="00481859" w:rsidRPr="00481859">
        <w:rPr>
          <w:rFonts w:ascii="Calibri" w:hAnsi="Calibri" w:cs="Calibri"/>
          <w:sz w:val="24"/>
        </w:rPr>
        <w:t>(Huld et al., 2012)</w:t>
      </w:r>
      <w:r w:rsidR="00481859">
        <w:rPr>
          <w:rFonts w:ascii="Times New Roman" w:hAnsi="Times New Roman" w:cs="Times New Roman"/>
          <w:color w:val="FF0000"/>
          <w:sz w:val="24"/>
          <w:szCs w:val="24"/>
        </w:rPr>
        <w:fldChar w:fldCharType="end"/>
      </w:r>
      <w:r w:rsidR="00284FB9">
        <w:rPr>
          <w:rFonts w:ascii="Times New Roman" w:hAnsi="Times New Roman" w:cs="Times New Roman"/>
          <w:color w:val="FF0000"/>
          <w:sz w:val="24"/>
          <w:szCs w:val="24"/>
        </w:rPr>
        <w:t xml:space="preserve"> </w:t>
      </w:r>
      <w:r w:rsidRPr="00323FF3">
        <w:rPr>
          <w:rFonts w:ascii="Times New Roman" w:hAnsi="Times New Roman" w:cs="Times New Roman"/>
          <w:color w:val="FF0000"/>
          <w:sz w:val="24"/>
          <w:szCs w:val="24"/>
        </w:rPr>
        <w:t xml:space="preserve">(Huld et al </w:t>
      </w:r>
      <w:proofErr w:type="spellStart"/>
      <w:r w:rsidRPr="00323FF3">
        <w:rPr>
          <w:rFonts w:ascii="Times New Roman" w:hAnsi="Times New Roman" w:cs="Times New Roman"/>
          <w:color w:val="FF0000"/>
          <w:sz w:val="24"/>
          <w:szCs w:val="24"/>
        </w:rPr>
        <w:t>Urraca</w:t>
      </w:r>
      <w:proofErr w:type="spellEnd"/>
      <w:r w:rsidRPr="00323FF3">
        <w:rPr>
          <w:rFonts w:ascii="Times New Roman" w:hAnsi="Times New Roman" w:cs="Times New Roman"/>
          <w:color w:val="FF0000"/>
          <w:sz w:val="24"/>
          <w:szCs w:val="24"/>
        </w:rPr>
        <w:t xml:space="preserve"> et al., 2017)</w:t>
      </w:r>
      <w:r w:rsidRPr="00DB6DD1">
        <w:rPr>
          <w:rFonts w:ascii="Times New Roman" w:hAnsi="Times New Roman" w:cs="Times New Roman"/>
          <w:sz w:val="24"/>
          <w:szCs w:val="24"/>
        </w:rPr>
        <w:t xml:space="preserve">. Validation studies for North Africa and the Sahel have confirmed mean bias errors below ±5% for monthly GHI </w:t>
      </w:r>
      <w:r w:rsidRPr="00323FF3">
        <w:rPr>
          <w:rFonts w:ascii="Times New Roman" w:hAnsi="Times New Roman" w:cs="Times New Roman"/>
          <w:color w:val="FF0000"/>
          <w:sz w:val="24"/>
          <w:szCs w:val="24"/>
        </w:rPr>
        <w:t>(</w:t>
      </w:r>
      <w:proofErr w:type="spellStart"/>
      <w:r w:rsidRPr="00323FF3">
        <w:rPr>
          <w:rFonts w:ascii="Times New Roman" w:hAnsi="Times New Roman" w:cs="Times New Roman"/>
          <w:color w:val="FF0000"/>
          <w:sz w:val="24"/>
          <w:szCs w:val="24"/>
        </w:rPr>
        <w:t>Urraca</w:t>
      </w:r>
      <w:proofErr w:type="spellEnd"/>
      <w:r w:rsidRPr="00323FF3">
        <w:rPr>
          <w:rFonts w:ascii="Times New Roman" w:hAnsi="Times New Roman" w:cs="Times New Roman"/>
          <w:color w:val="FF0000"/>
          <w:sz w:val="24"/>
          <w:szCs w:val="24"/>
        </w:rPr>
        <w:t xml:space="preserve"> et al., 2017)</w:t>
      </w:r>
      <w:r w:rsidRPr="00DB6DD1">
        <w:rPr>
          <w:rFonts w:ascii="Times New Roman" w:hAnsi="Times New Roman" w:cs="Times New Roman"/>
          <w:sz w:val="24"/>
          <w:szCs w:val="24"/>
        </w:rPr>
        <w:t>, which is the relevant accuracy threshold for annual energy yield modelling.</w:t>
      </w:r>
    </w:p>
    <w:p w14:paraId="4B628C14" w14:textId="248303D8" w:rsidR="00DB6DD1" w:rsidRDefault="00DB6DD1" w:rsidP="00EF7215">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TMY files were processed to extract DNI and DHI columns directly, rather than estimating them from GHI using fixed beam-to-diffuse ratios — an improvement over simplified approaches that can introduce systematic errors under variable sky conditions. No data gaps exceeding one hour were encountered in any of the three downloaded files. Site-specific parameters for tomato cultivation — planting and harvest dates, crop ET coefficients, and economic assumptions — are summarized in </w:t>
      </w:r>
      <w:r w:rsidR="00B725FC">
        <w:rPr>
          <w:rFonts w:ascii="Times New Roman" w:hAnsi="Times New Roman" w:cs="Times New Roman"/>
          <w:sz w:val="24"/>
          <w:szCs w:val="24"/>
        </w:rPr>
        <w:fldChar w:fldCharType="begin"/>
      </w:r>
      <w:r w:rsidR="00B725FC">
        <w:rPr>
          <w:rFonts w:ascii="Times New Roman" w:hAnsi="Times New Roman" w:cs="Times New Roman"/>
          <w:sz w:val="24"/>
          <w:szCs w:val="24"/>
        </w:rPr>
        <w:instrText xml:space="preserve"> REF _Ref226714853 \h </w:instrText>
      </w:r>
      <w:r w:rsidR="00B725FC">
        <w:rPr>
          <w:rFonts w:ascii="Times New Roman" w:hAnsi="Times New Roman" w:cs="Times New Roman"/>
          <w:sz w:val="24"/>
          <w:szCs w:val="24"/>
        </w:rPr>
      </w:r>
      <w:r w:rsidR="00B725FC">
        <w:rPr>
          <w:rFonts w:ascii="Times New Roman" w:hAnsi="Times New Roman" w:cs="Times New Roman"/>
          <w:sz w:val="24"/>
          <w:szCs w:val="24"/>
        </w:rPr>
        <w:fldChar w:fldCharType="separate"/>
      </w:r>
      <w:r w:rsidR="00B725FC" w:rsidRPr="008D6F6F">
        <w:rPr>
          <w:rFonts w:ascii="Times New Roman" w:hAnsi="Times New Roman" w:cs="Times New Roman"/>
          <w:sz w:val="20"/>
          <w:szCs w:val="20"/>
        </w:rPr>
        <w:t xml:space="preserve">Table </w:t>
      </w:r>
      <w:r w:rsidR="00B725FC">
        <w:rPr>
          <w:rFonts w:ascii="Times New Roman" w:hAnsi="Times New Roman" w:cs="Times New Roman"/>
          <w:noProof/>
          <w:sz w:val="20"/>
          <w:szCs w:val="20"/>
        </w:rPr>
        <w:t>5</w:t>
      </w:r>
      <w:r w:rsidR="00B725FC">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14D376D6" w14:textId="77777777" w:rsidR="008D6F6F" w:rsidRPr="00DB6DD1" w:rsidRDefault="008D6F6F" w:rsidP="00DB6DD1">
      <w:pPr>
        <w:spacing w:line="360" w:lineRule="auto"/>
        <w:jc w:val="both"/>
        <w:rPr>
          <w:rFonts w:ascii="Times New Roman" w:hAnsi="Times New Roman" w:cs="Times New Roman"/>
          <w:sz w:val="24"/>
          <w:szCs w:val="24"/>
        </w:rPr>
      </w:pPr>
    </w:p>
    <w:p w14:paraId="02EF434B" w14:textId="1DA94A2D" w:rsidR="008D6F6F" w:rsidRPr="008D6F6F" w:rsidRDefault="008D6F6F" w:rsidP="008D6F6F">
      <w:pPr>
        <w:spacing w:after="80" w:line="360" w:lineRule="auto"/>
        <w:jc w:val="center"/>
        <w:rPr>
          <w:rFonts w:ascii="Times New Roman" w:hAnsi="Times New Roman" w:cs="Times New Roman"/>
          <w:sz w:val="20"/>
          <w:szCs w:val="20"/>
        </w:rPr>
      </w:pPr>
      <w:bookmarkStart w:id="1" w:name="_Ref226714853"/>
      <w:r w:rsidRPr="008D6F6F">
        <w:rPr>
          <w:rFonts w:ascii="Times New Roman" w:hAnsi="Times New Roman" w:cs="Times New Roman"/>
          <w:sz w:val="20"/>
          <w:szCs w:val="20"/>
        </w:rPr>
        <w:t xml:space="preserve">Table </w:t>
      </w:r>
      <w:r w:rsidRPr="008D6F6F">
        <w:rPr>
          <w:rFonts w:ascii="Times New Roman" w:hAnsi="Times New Roman" w:cs="Times New Roman"/>
          <w:sz w:val="20"/>
          <w:szCs w:val="20"/>
        </w:rPr>
        <w:fldChar w:fldCharType="begin"/>
      </w:r>
      <w:r w:rsidRPr="008D6F6F">
        <w:rPr>
          <w:rFonts w:ascii="Times New Roman" w:hAnsi="Times New Roman" w:cs="Times New Roman"/>
          <w:sz w:val="20"/>
          <w:szCs w:val="20"/>
        </w:rPr>
        <w:instrText xml:space="preserve"> SEQ Table \* ARABIC </w:instrText>
      </w:r>
      <w:r w:rsidRPr="008D6F6F">
        <w:rPr>
          <w:rFonts w:ascii="Times New Roman" w:hAnsi="Times New Roman" w:cs="Times New Roman"/>
          <w:sz w:val="20"/>
          <w:szCs w:val="20"/>
        </w:rPr>
        <w:fldChar w:fldCharType="separate"/>
      </w:r>
      <w:r w:rsidR="00346A87">
        <w:rPr>
          <w:rFonts w:ascii="Times New Roman" w:hAnsi="Times New Roman" w:cs="Times New Roman"/>
          <w:noProof/>
          <w:sz w:val="20"/>
          <w:szCs w:val="20"/>
        </w:rPr>
        <w:t>5</w:t>
      </w:r>
      <w:r w:rsidRPr="008D6F6F">
        <w:rPr>
          <w:rFonts w:ascii="Times New Roman" w:hAnsi="Times New Roman" w:cs="Times New Roman"/>
          <w:sz w:val="20"/>
          <w:szCs w:val="20"/>
        </w:rPr>
        <w:fldChar w:fldCharType="end"/>
      </w:r>
      <w:bookmarkEnd w:id="1"/>
      <w:r w:rsidRPr="008D6F6F">
        <w:rPr>
          <w:rFonts w:ascii="Times New Roman" w:hAnsi="Times New Roman" w:cs="Times New Roman"/>
          <w:sz w:val="20"/>
          <w:szCs w:val="20"/>
        </w:rPr>
        <w:t xml:space="preserve"> : Site-specific parameters for tomato cultivation (Solanum lycopersicum) used in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1375"/>
        <w:gridCol w:w="1152"/>
        <w:gridCol w:w="1602"/>
      </w:tblGrid>
      <w:tr w:rsidR="008D6F6F" w:rsidRPr="006217F4" w14:paraId="6CB74A4A" w14:textId="77777777" w:rsidTr="005928BD">
        <w:trPr>
          <w:trHeight w:val="281"/>
          <w:tblHeader/>
          <w:jc w:val="center"/>
        </w:trPr>
        <w:tc>
          <w:tcPr>
            <w:tcW w:w="0" w:type="auto"/>
            <w:tcMar>
              <w:top w:w="150" w:type="dxa"/>
              <w:left w:w="0" w:type="dxa"/>
              <w:bottom w:w="150" w:type="dxa"/>
              <w:right w:w="240" w:type="dxa"/>
            </w:tcMar>
            <w:vAlign w:val="center"/>
            <w:hideMark/>
          </w:tcPr>
          <w:p w14:paraId="3943A5E6"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Parameter</w:t>
            </w:r>
          </w:p>
        </w:tc>
        <w:tc>
          <w:tcPr>
            <w:tcW w:w="0" w:type="auto"/>
            <w:tcMar>
              <w:top w:w="150" w:type="dxa"/>
              <w:left w:w="240" w:type="dxa"/>
              <w:bottom w:w="150" w:type="dxa"/>
              <w:right w:w="240" w:type="dxa"/>
            </w:tcMar>
            <w:vAlign w:val="center"/>
            <w:hideMark/>
          </w:tcPr>
          <w:p w14:paraId="73404DA2"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Konya</w:t>
            </w:r>
          </w:p>
        </w:tc>
        <w:tc>
          <w:tcPr>
            <w:tcW w:w="0" w:type="auto"/>
            <w:tcMar>
              <w:top w:w="150" w:type="dxa"/>
              <w:left w:w="240" w:type="dxa"/>
              <w:bottom w:w="150" w:type="dxa"/>
              <w:right w:w="240" w:type="dxa"/>
            </w:tcMar>
            <w:vAlign w:val="center"/>
            <w:hideMark/>
          </w:tcPr>
          <w:p w14:paraId="04EF31F9"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Almería</w:t>
            </w:r>
          </w:p>
        </w:tc>
        <w:tc>
          <w:tcPr>
            <w:tcW w:w="0" w:type="auto"/>
            <w:tcMar>
              <w:top w:w="150" w:type="dxa"/>
              <w:left w:w="240" w:type="dxa"/>
              <w:bottom w:w="150" w:type="dxa"/>
              <w:right w:w="240" w:type="dxa"/>
            </w:tcMar>
            <w:vAlign w:val="center"/>
            <w:hideMark/>
          </w:tcPr>
          <w:p w14:paraId="675CC325"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Ouagadougou</w:t>
            </w:r>
          </w:p>
        </w:tc>
      </w:tr>
      <w:tr w:rsidR="008D6F6F" w:rsidRPr="006217F4" w14:paraId="3A32D35E" w14:textId="77777777" w:rsidTr="00C216DE">
        <w:trPr>
          <w:trHeight w:val="144"/>
          <w:jc w:val="center"/>
        </w:trPr>
        <w:tc>
          <w:tcPr>
            <w:tcW w:w="0" w:type="auto"/>
            <w:tcMar>
              <w:top w:w="150" w:type="dxa"/>
              <w:left w:w="0" w:type="dxa"/>
              <w:bottom w:w="150" w:type="dxa"/>
              <w:right w:w="240" w:type="dxa"/>
            </w:tcMar>
            <w:vAlign w:val="center"/>
            <w:hideMark/>
          </w:tcPr>
          <w:p w14:paraId="4EA9EFA5"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Planting date</w:t>
            </w:r>
          </w:p>
        </w:tc>
        <w:tc>
          <w:tcPr>
            <w:tcW w:w="0" w:type="auto"/>
            <w:tcMar>
              <w:top w:w="150" w:type="dxa"/>
              <w:left w:w="240" w:type="dxa"/>
              <w:bottom w:w="150" w:type="dxa"/>
              <w:right w:w="240" w:type="dxa"/>
            </w:tcMar>
            <w:vAlign w:val="center"/>
            <w:hideMark/>
          </w:tcPr>
          <w:p w14:paraId="685B6308"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25 April</w:t>
            </w:r>
          </w:p>
        </w:tc>
        <w:tc>
          <w:tcPr>
            <w:tcW w:w="0" w:type="auto"/>
            <w:tcMar>
              <w:top w:w="150" w:type="dxa"/>
              <w:left w:w="240" w:type="dxa"/>
              <w:bottom w:w="150" w:type="dxa"/>
              <w:right w:w="240" w:type="dxa"/>
            </w:tcMar>
            <w:vAlign w:val="center"/>
            <w:hideMark/>
          </w:tcPr>
          <w:p w14:paraId="14F31ECC"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 March</w:t>
            </w:r>
          </w:p>
        </w:tc>
        <w:tc>
          <w:tcPr>
            <w:tcW w:w="0" w:type="auto"/>
            <w:tcMar>
              <w:top w:w="150" w:type="dxa"/>
              <w:left w:w="240" w:type="dxa"/>
              <w:bottom w:w="150" w:type="dxa"/>
              <w:right w:w="0" w:type="dxa"/>
            </w:tcMar>
            <w:vAlign w:val="center"/>
            <w:hideMark/>
          </w:tcPr>
          <w:p w14:paraId="4DF1395F"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 July</w:t>
            </w:r>
          </w:p>
        </w:tc>
      </w:tr>
      <w:tr w:rsidR="008D6F6F" w:rsidRPr="006217F4" w14:paraId="5FA24650" w14:textId="77777777" w:rsidTr="00C216DE">
        <w:trPr>
          <w:trHeight w:val="144"/>
          <w:jc w:val="center"/>
        </w:trPr>
        <w:tc>
          <w:tcPr>
            <w:tcW w:w="0" w:type="auto"/>
            <w:tcMar>
              <w:top w:w="150" w:type="dxa"/>
              <w:left w:w="0" w:type="dxa"/>
              <w:bottom w:w="150" w:type="dxa"/>
              <w:right w:w="240" w:type="dxa"/>
            </w:tcMar>
            <w:vAlign w:val="center"/>
            <w:hideMark/>
          </w:tcPr>
          <w:p w14:paraId="4AE39F87"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Harvest date</w:t>
            </w:r>
          </w:p>
        </w:tc>
        <w:tc>
          <w:tcPr>
            <w:tcW w:w="0" w:type="auto"/>
            <w:tcMar>
              <w:top w:w="150" w:type="dxa"/>
              <w:left w:w="240" w:type="dxa"/>
              <w:bottom w:w="150" w:type="dxa"/>
              <w:right w:w="240" w:type="dxa"/>
            </w:tcMar>
            <w:vAlign w:val="center"/>
            <w:hideMark/>
          </w:tcPr>
          <w:p w14:paraId="196BEAD7"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 October</w:t>
            </w:r>
          </w:p>
        </w:tc>
        <w:tc>
          <w:tcPr>
            <w:tcW w:w="0" w:type="auto"/>
            <w:tcMar>
              <w:top w:w="150" w:type="dxa"/>
              <w:left w:w="240" w:type="dxa"/>
              <w:bottom w:w="150" w:type="dxa"/>
              <w:right w:w="240" w:type="dxa"/>
            </w:tcMar>
            <w:vAlign w:val="center"/>
            <w:hideMark/>
          </w:tcPr>
          <w:p w14:paraId="5C1D0A0D"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 June</w:t>
            </w:r>
          </w:p>
        </w:tc>
        <w:tc>
          <w:tcPr>
            <w:tcW w:w="0" w:type="auto"/>
            <w:tcMar>
              <w:top w:w="150" w:type="dxa"/>
              <w:left w:w="240" w:type="dxa"/>
              <w:bottom w:w="150" w:type="dxa"/>
              <w:right w:w="0" w:type="dxa"/>
            </w:tcMar>
            <w:vAlign w:val="center"/>
            <w:hideMark/>
          </w:tcPr>
          <w:p w14:paraId="61178DA8"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 October</w:t>
            </w:r>
          </w:p>
        </w:tc>
      </w:tr>
      <w:tr w:rsidR="008D6F6F" w:rsidRPr="006217F4" w14:paraId="56ABBE4C" w14:textId="77777777" w:rsidTr="00C216DE">
        <w:trPr>
          <w:trHeight w:val="144"/>
          <w:jc w:val="center"/>
        </w:trPr>
        <w:tc>
          <w:tcPr>
            <w:tcW w:w="0" w:type="auto"/>
            <w:tcMar>
              <w:top w:w="150" w:type="dxa"/>
              <w:left w:w="0" w:type="dxa"/>
              <w:bottom w:w="150" w:type="dxa"/>
              <w:right w:w="240" w:type="dxa"/>
            </w:tcMar>
            <w:vAlign w:val="center"/>
            <w:hideMark/>
          </w:tcPr>
          <w:p w14:paraId="6F70548F"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Growing season (days)</w:t>
            </w:r>
          </w:p>
        </w:tc>
        <w:tc>
          <w:tcPr>
            <w:tcW w:w="0" w:type="auto"/>
            <w:tcMar>
              <w:top w:w="150" w:type="dxa"/>
              <w:left w:w="240" w:type="dxa"/>
              <w:bottom w:w="150" w:type="dxa"/>
              <w:right w:w="240" w:type="dxa"/>
            </w:tcMar>
            <w:vAlign w:val="center"/>
            <w:hideMark/>
          </w:tcPr>
          <w:p w14:paraId="4368E890"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189</w:t>
            </w:r>
          </w:p>
        </w:tc>
        <w:tc>
          <w:tcPr>
            <w:tcW w:w="0" w:type="auto"/>
            <w:tcMar>
              <w:top w:w="150" w:type="dxa"/>
              <w:left w:w="240" w:type="dxa"/>
              <w:bottom w:w="150" w:type="dxa"/>
              <w:right w:w="240" w:type="dxa"/>
            </w:tcMar>
            <w:vAlign w:val="center"/>
            <w:hideMark/>
          </w:tcPr>
          <w:p w14:paraId="2AAEA478"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122</w:t>
            </w:r>
          </w:p>
        </w:tc>
        <w:tc>
          <w:tcPr>
            <w:tcW w:w="0" w:type="auto"/>
            <w:tcMar>
              <w:top w:w="150" w:type="dxa"/>
              <w:left w:w="240" w:type="dxa"/>
              <w:bottom w:w="150" w:type="dxa"/>
              <w:right w:w="0" w:type="dxa"/>
            </w:tcMar>
            <w:vAlign w:val="center"/>
            <w:hideMark/>
          </w:tcPr>
          <w:p w14:paraId="08E8665D"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122</w:t>
            </w:r>
          </w:p>
        </w:tc>
      </w:tr>
      <w:tr w:rsidR="008D6F6F" w:rsidRPr="006217F4" w14:paraId="6487BDC0" w14:textId="77777777" w:rsidTr="00C216DE">
        <w:trPr>
          <w:trHeight w:val="144"/>
          <w:jc w:val="center"/>
        </w:trPr>
        <w:tc>
          <w:tcPr>
            <w:tcW w:w="0" w:type="auto"/>
            <w:tcMar>
              <w:top w:w="150" w:type="dxa"/>
              <w:left w:w="0" w:type="dxa"/>
              <w:bottom w:w="150" w:type="dxa"/>
              <w:right w:w="240" w:type="dxa"/>
            </w:tcMar>
            <w:vAlign w:val="center"/>
            <w:hideMark/>
          </w:tcPr>
          <w:p w14:paraId="15B05283"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Reference crop ET₀ (mm/season)</w:t>
            </w:r>
          </w:p>
        </w:tc>
        <w:tc>
          <w:tcPr>
            <w:tcW w:w="0" w:type="auto"/>
            <w:tcMar>
              <w:top w:w="150" w:type="dxa"/>
              <w:left w:w="240" w:type="dxa"/>
              <w:bottom w:w="150" w:type="dxa"/>
              <w:right w:w="240" w:type="dxa"/>
            </w:tcMar>
            <w:vAlign w:val="center"/>
            <w:hideMark/>
          </w:tcPr>
          <w:p w14:paraId="285A2A75"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650</w:t>
            </w:r>
          </w:p>
        </w:tc>
        <w:tc>
          <w:tcPr>
            <w:tcW w:w="0" w:type="auto"/>
            <w:tcMar>
              <w:top w:w="150" w:type="dxa"/>
              <w:left w:w="240" w:type="dxa"/>
              <w:bottom w:w="150" w:type="dxa"/>
              <w:right w:w="240" w:type="dxa"/>
            </w:tcMar>
            <w:vAlign w:val="center"/>
            <w:hideMark/>
          </w:tcPr>
          <w:p w14:paraId="261B8D31"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480</w:t>
            </w:r>
          </w:p>
        </w:tc>
        <w:tc>
          <w:tcPr>
            <w:tcW w:w="0" w:type="auto"/>
            <w:tcMar>
              <w:top w:w="150" w:type="dxa"/>
              <w:left w:w="240" w:type="dxa"/>
              <w:bottom w:w="150" w:type="dxa"/>
              <w:right w:w="0" w:type="dxa"/>
            </w:tcMar>
            <w:vAlign w:val="center"/>
            <w:hideMark/>
          </w:tcPr>
          <w:p w14:paraId="0A045D9B"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620</w:t>
            </w:r>
          </w:p>
        </w:tc>
      </w:tr>
      <w:tr w:rsidR="008D6F6F" w:rsidRPr="006217F4" w14:paraId="2C001763" w14:textId="77777777" w:rsidTr="00C216DE">
        <w:trPr>
          <w:trHeight w:val="144"/>
          <w:jc w:val="center"/>
        </w:trPr>
        <w:tc>
          <w:tcPr>
            <w:tcW w:w="0" w:type="auto"/>
            <w:tcMar>
              <w:top w:w="150" w:type="dxa"/>
              <w:left w:w="0" w:type="dxa"/>
              <w:bottom w:w="150" w:type="dxa"/>
              <w:right w:w="240" w:type="dxa"/>
            </w:tcMar>
            <w:vAlign w:val="center"/>
            <w:hideMark/>
          </w:tcPr>
          <w:p w14:paraId="468762AA"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Irrigation efficiency</w:t>
            </w:r>
          </w:p>
        </w:tc>
        <w:tc>
          <w:tcPr>
            <w:tcW w:w="0" w:type="auto"/>
            <w:tcMar>
              <w:top w:w="150" w:type="dxa"/>
              <w:left w:w="240" w:type="dxa"/>
              <w:bottom w:w="150" w:type="dxa"/>
              <w:right w:w="240" w:type="dxa"/>
            </w:tcMar>
            <w:vAlign w:val="center"/>
            <w:hideMark/>
          </w:tcPr>
          <w:p w14:paraId="52E0ED85"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0.75</w:t>
            </w:r>
          </w:p>
        </w:tc>
        <w:tc>
          <w:tcPr>
            <w:tcW w:w="0" w:type="auto"/>
            <w:tcMar>
              <w:top w:w="150" w:type="dxa"/>
              <w:left w:w="240" w:type="dxa"/>
              <w:bottom w:w="150" w:type="dxa"/>
              <w:right w:w="240" w:type="dxa"/>
            </w:tcMar>
            <w:vAlign w:val="center"/>
            <w:hideMark/>
          </w:tcPr>
          <w:p w14:paraId="1A04F863"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0.85</w:t>
            </w:r>
          </w:p>
        </w:tc>
        <w:tc>
          <w:tcPr>
            <w:tcW w:w="0" w:type="auto"/>
            <w:tcMar>
              <w:top w:w="150" w:type="dxa"/>
              <w:left w:w="240" w:type="dxa"/>
              <w:bottom w:w="150" w:type="dxa"/>
              <w:right w:w="0" w:type="dxa"/>
            </w:tcMar>
            <w:vAlign w:val="center"/>
            <w:hideMark/>
          </w:tcPr>
          <w:p w14:paraId="4BB9A51D"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0.70</w:t>
            </w:r>
          </w:p>
        </w:tc>
      </w:tr>
      <w:tr w:rsidR="008D6F6F" w:rsidRPr="006217F4" w14:paraId="5ECD63D9" w14:textId="77777777" w:rsidTr="00C216DE">
        <w:trPr>
          <w:trHeight w:val="144"/>
          <w:jc w:val="center"/>
        </w:trPr>
        <w:tc>
          <w:tcPr>
            <w:tcW w:w="0" w:type="auto"/>
            <w:tcMar>
              <w:top w:w="150" w:type="dxa"/>
              <w:left w:w="0" w:type="dxa"/>
              <w:bottom w:w="150" w:type="dxa"/>
              <w:right w:w="240" w:type="dxa"/>
            </w:tcMar>
            <w:vAlign w:val="center"/>
            <w:hideMark/>
          </w:tcPr>
          <w:p w14:paraId="1A8E003E"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Tomato price (USD/t)</w:t>
            </w:r>
          </w:p>
        </w:tc>
        <w:tc>
          <w:tcPr>
            <w:tcW w:w="0" w:type="auto"/>
            <w:tcMar>
              <w:top w:w="150" w:type="dxa"/>
              <w:left w:w="240" w:type="dxa"/>
              <w:bottom w:w="150" w:type="dxa"/>
              <w:right w:w="240" w:type="dxa"/>
            </w:tcMar>
            <w:vAlign w:val="center"/>
            <w:hideMark/>
          </w:tcPr>
          <w:p w14:paraId="54AC04BE"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300</w:t>
            </w:r>
          </w:p>
        </w:tc>
        <w:tc>
          <w:tcPr>
            <w:tcW w:w="0" w:type="auto"/>
            <w:tcMar>
              <w:top w:w="150" w:type="dxa"/>
              <w:left w:w="240" w:type="dxa"/>
              <w:bottom w:w="150" w:type="dxa"/>
              <w:right w:w="240" w:type="dxa"/>
            </w:tcMar>
            <w:vAlign w:val="center"/>
            <w:hideMark/>
          </w:tcPr>
          <w:p w14:paraId="663ECC08"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400</w:t>
            </w:r>
          </w:p>
        </w:tc>
        <w:tc>
          <w:tcPr>
            <w:tcW w:w="0" w:type="auto"/>
            <w:tcMar>
              <w:top w:w="150" w:type="dxa"/>
              <w:left w:w="240" w:type="dxa"/>
              <w:bottom w:w="150" w:type="dxa"/>
              <w:right w:w="0" w:type="dxa"/>
            </w:tcMar>
            <w:vAlign w:val="center"/>
            <w:hideMark/>
          </w:tcPr>
          <w:p w14:paraId="12263509"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250</w:t>
            </w:r>
          </w:p>
        </w:tc>
      </w:tr>
      <w:tr w:rsidR="008D6F6F" w:rsidRPr="006217F4" w14:paraId="2B2E4C3B" w14:textId="77777777" w:rsidTr="00C216DE">
        <w:trPr>
          <w:trHeight w:val="144"/>
          <w:jc w:val="center"/>
        </w:trPr>
        <w:tc>
          <w:tcPr>
            <w:tcW w:w="0" w:type="auto"/>
            <w:tcMar>
              <w:top w:w="150" w:type="dxa"/>
              <w:left w:w="0" w:type="dxa"/>
              <w:bottom w:w="150" w:type="dxa"/>
              <w:right w:w="240" w:type="dxa"/>
            </w:tcMar>
            <w:vAlign w:val="center"/>
            <w:hideMark/>
          </w:tcPr>
          <w:p w14:paraId="087C63E9"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Electricity price (USD/kWh)</w:t>
            </w:r>
          </w:p>
        </w:tc>
        <w:tc>
          <w:tcPr>
            <w:tcW w:w="0" w:type="auto"/>
            <w:tcMar>
              <w:top w:w="150" w:type="dxa"/>
              <w:left w:w="240" w:type="dxa"/>
              <w:bottom w:w="150" w:type="dxa"/>
              <w:right w:w="240" w:type="dxa"/>
            </w:tcMar>
            <w:vAlign w:val="center"/>
            <w:hideMark/>
          </w:tcPr>
          <w:p w14:paraId="2711A096"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0.06</w:t>
            </w:r>
          </w:p>
        </w:tc>
        <w:tc>
          <w:tcPr>
            <w:tcW w:w="0" w:type="auto"/>
            <w:tcMar>
              <w:top w:w="150" w:type="dxa"/>
              <w:left w:w="240" w:type="dxa"/>
              <w:bottom w:w="150" w:type="dxa"/>
              <w:right w:w="240" w:type="dxa"/>
            </w:tcMar>
            <w:vAlign w:val="center"/>
            <w:hideMark/>
          </w:tcPr>
          <w:p w14:paraId="6A4A6425"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0.09</w:t>
            </w:r>
          </w:p>
        </w:tc>
        <w:tc>
          <w:tcPr>
            <w:tcW w:w="0" w:type="auto"/>
            <w:tcMar>
              <w:top w:w="150" w:type="dxa"/>
              <w:left w:w="240" w:type="dxa"/>
              <w:bottom w:w="150" w:type="dxa"/>
              <w:right w:w="0" w:type="dxa"/>
            </w:tcMar>
            <w:vAlign w:val="center"/>
            <w:hideMark/>
          </w:tcPr>
          <w:p w14:paraId="42F0CE7C"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0.12</w:t>
            </w:r>
          </w:p>
        </w:tc>
      </w:tr>
      <w:tr w:rsidR="008D6F6F" w:rsidRPr="006217F4" w14:paraId="7E3DCBBA" w14:textId="77777777" w:rsidTr="00C216DE">
        <w:trPr>
          <w:trHeight w:val="144"/>
          <w:jc w:val="center"/>
        </w:trPr>
        <w:tc>
          <w:tcPr>
            <w:tcW w:w="0" w:type="auto"/>
            <w:tcMar>
              <w:top w:w="150" w:type="dxa"/>
              <w:left w:w="0" w:type="dxa"/>
              <w:bottom w:w="150" w:type="dxa"/>
              <w:right w:w="240" w:type="dxa"/>
            </w:tcMar>
            <w:vAlign w:val="center"/>
            <w:hideMark/>
          </w:tcPr>
          <w:p w14:paraId="2A2F3D77"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Discount rate (%)</w:t>
            </w:r>
          </w:p>
        </w:tc>
        <w:tc>
          <w:tcPr>
            <w:tcW w:w="0" w:type="auto"/>
            <w:tcMar>
              <w:top w:w="150" w:type="dxa"/>
              <w:left w:w="240" w:type="dxa"/>
              <w:bottom w:w="150" w:type="dxa"/>
              <w:right w:w="240" w:type="dxa"/>
            </w:tcMar>
            <w:vAlign w:val="center"/>
            <w:hideMark/>
          </w:tcPr>
          <w:p w14:paraId="7155C363"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8</w:t>
            </w:r>
          </w:p>
        </w:tc>
        <w:tc>
          <w:tcPr>
            <w:tcW w:w="0" w:type="auto"/>
            <w:tcMar>
              <w:top w:w="150" w:type="dxa"/>
              <w:left w:w="240" w:type="dxa"/>
              <w:bottom w:w="150" w:type="dxa"/>
              <w:right w:w="240" w:type="dxa"/>
            </w:tcMar>
            <w:vAlign w:val="center"/>
            <w:hideMark/>
          </w:tcPr>
          <w:p w14:paraId="02359FE9"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6</w:t>
            </w:r>
          </w:p>
        </w:tc>
        <w:tc>
          <w:tcPr>
            <w:tcW w:w="0" w:type="auto"/>
            <w:tcMar>
              <w:top w:w="150" w:type="dxa"/>
              <w:left w:w="240" w:type="dxa"/>
              <w:bottom w:w="150" w:type="dxa"/>
              <w:right w:w="0" w:type="dxa"/>
            </w:tcMar>
            <w:vAlign w:val="center"/>
            <w:hideMark/>
          </w:tcPr>
          <w:p w14:paraId="5E445355" w14:textId="77777777" w:rsidR="008D6F6F" w:rsidRPr="006217F4" w:rsidRDefault="008D6F6F"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10</w:t>
            </w:r>
          </w:p>
        </w:tc>
      </w:tr>
    </w:tbl>
    <w:p w14:paraId="5E1D2EFB" w14:textId="77777777" w:rsidR="00DB6DD1" w:rsidRPr="00DB6DD1" w:rsidRDefault="00DB6DD1" w:rsidP="00DB6DD1">
      <w:pPr>
        <w:spacing w:line="360" w:lineRule="auto"/>
        <w:jc w:val="both"/>
        <w:rPr>
          <w:rFonts w:ascii="Times New Roman" w:hAnsi="Times New Roman" w:cs="Times New Roman"/>
          <w:sz w:val="24"/>
          <w:szCs w:val="24"/>
        </w:rPr>
      </w:pPr>
    </w:p>
    <w:p w14:paraId="20A02DED" w14:textId="67AEB19D" w:rsidR="00DB6DD1" w:rsidRDefault="00DB6DD1" w:rsidP="00EF7215">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planting and harvest dates reflect realistic agronomic management at each site. The Konya season runs from late April to late October (189 days), exploiting the long continental </w:t>
      </w:r>
      <w:r w:rsidRPr="00DB6DD1">
        <w:rPr>
          <w:rFonts w:ascii="Times New Roman" w:hAnsi="Times New Roman" w:cs="Times New Roman"/>
          <w:sz w:val="24"/>
          <w:szCs w:val="24"/>
        </w:rPr>
        <w:lastRenderedPageBreak/>
        <w:t xml:space="preserve">summer while avoiding spring frost risk and autumn cold. The Almería season is deliberately truncated at the end of June to avoid the July–August peak heat period, when daily maxima exceeding 35°C suppress tomato fruit set and quality — consistent with the management practice in the region\'s open-field production systems </w:t>
      </w:r>
      <w:r w:rsidRPr="000034D1">
        <w:rPr>
          <w:rFonts w:ascii="Times New Roman" w:hAnsi="Times New Roman" w:cs="Times New Roman"/>
          <w:color w:val="FF0000"/>
          <w:sz w:val="24"/>
          <w:szCs w:val="24"/>
        </w:rPr>
        <w:t>(Marín-</w:t>
      </w:r>
      <w:proofErr w:type="spellStart"/>
      <w:r w:rsidRPr="000034D1">
        <w:rPr>
          <w:rFonts w:ascii="Times New Roman" w:hAnsi="Times New Roman" w:cs="Times New Roman"/>
          <w:color w:val="FF0000"/>
          <w:sz w:val="24"/>
          <w:szCs w:val="24"/>
        </w:rPr>
        <w:t>Membrive</w:t>
      </w:r>
      <w:proofErr w:type="spellEnd"/>
      <w:r w:rsidRPr="000034D1">
        <w:rPr>
          <w:rFonts w:ascii="Times New Roman" w:hAnsi="Times New Roman" w:cs="Times New Roman"/>
          <w:color w:val="FF0000"/>
          <w:sz w:val="24"/>
          <w:szCs w:val="24"/>
        </w:rPr>
        <w:t xml:space="preserve"> et al., 2021). </w:t>
      </w:r>
      <w:r w:rsidRPr="00DB6DD1">
        <w:rPr>
          <w:rFonts w:ascii="Times New Roman" w:hAnsi="Times New Roman" w:cs="Times New Roman"/>
          <w:sz w:val="24"/>
          <w:szCs w:val="24"/>
        </w:rPr>
        <w:t xml:space="preserve">In Ouagadougou, the season is timed to the wet monsoon (July–October), avoiding the extreme pre-monsoon heat period from March to May when daily maxima routinely exceed 40°C and tomato flowering is severely compromised; this calendar aligns with recommendations for dry-season tomato cultivation in the Sahel </w:t>
      </w:r>
      <w:r w:rsidR="0010733D">
        <w:rPr>
          <w:rFonts w:ascii="Times New Roman" w:hAnsi="Times New Roman" w:cs="Times New Roman"/>
          <w:sz w:val="24"/>
          <w:szCs w:val="24"/>
        </w:rPr>
        <w:fldChar w:fldCharType="begin"/>
      </w:r>
      <w:r w:rsidR="0010733D">
        <w:rPr>
          <w:rFonts w:ascii="Times New Roman" w:hAnsi="Times New Roman" w:cs="Times New Roman"/>
          <w:sz w:val="24"/>
          <w:szCs w:val="24"/>
        </w:rPr>
        <w:instrText xml:space="preserve"> ADDIN ZOTERO_ITEM CSL_CITATION {"citationID":"VZ6FtDoP","properties":{"unsorted":false,"formattedCitation":"({\\i{}Fertilizer Use by Crop}, 2006)","plainCitation":"(Fertilizer Use by Crop, 2006)","noteIndex":0},"citationItems":[{"id":144,"uris":["http://zotero.org/users/local/i6bXxmSk/items/TNVSZ997"],"itemData":{"id":144,"type":"book","collection-number":"17","collection-title":"FAO fertilizer and plant nutrition bulletin","ISBN":"978-92-5-105592-2","language":"en","number-of-pages":"108","publisher":"Food and Agriculture Organization of the United Nations","publisher-place":"Rome","source":"K10plus ISBN","title":"Fertilizer use by crop","issued":{"date-parts":[["2006"]]}}}],"schema":"https://github.com/citation-style-language/schema/raw/master/csl-citation.json"} </w:instrText>
      </w:r>
      <w:r w:rsidR="0010733D">
        <w:rPr>
          <w:rFonts w:ascii="Times New Roman" w:hAnsi="Times New Roman" w:cs="Times New Roman"/>
          <w:sz w:val="24"/>
          <w:szCs w:val="24"/>
        </w:rPr>
        <w:fldChar w:fldCharType="separate"/>
      </w:r>
      <w:r w:rsidR="0010733D" w:rsidRPr="0010733D">
        <w:rPr>
          <w:rFonts w:ascii="Calibri" w:hAnsi="Calibri" w:cs="Calibri"/>
          <w:sz w:val="24"/>
          <w:szCs w:val="24"/>
        </w:rPr>
        <w:t>(</w:t>
      </w:r>
      <w:r w:rsidR="0010733D" w:rsidRPr="0010733D">
        <w:rPr>
          <w:rFonts w:ascii="Calibri" w:hAnsi="Calibri" w:cs="Calibri"/>
          <w:i/>
          <w:iCs/>
          <w:sz w:val="24"/>
          <w:szCs w:val="24"/>
        </w:rPr>
        <w:t>Fertilizer Use by Crop</w:t>
      </w:r>
      <w:r w:rsidR="0010733D" w:rsidRPr="0010733D">
        <w:rPr>
          <w:rFonts w:ascii="Calibri" w:hAnsi="Calibri" w:cs="Calibri"/>
          <w:sz w:val="24"/>
          <w:szCs w:val="24"/>
        </w:rPr>
        <w:t>, 2006)</w:t>
      </w:r>
      <w:r w:rsidR="0010733D">
        <w:rPr>
          <w:rFonts w:ascii="Times New Roman" w:hAnsi="Times New Roman" w:cs="Times New Roman"/>
          <w:sz w:val="24"/>
          <w:szCs w:val="24"/>
        </w:rPr>
        <w:fldChar w:fldCharType="end"/>
      </w:r>
    </w:p>
    <w:p w14:paraId="26D7C774" w14:textId="77777777" w:rsidR="00F10A20" w:rsidRDefault="00F10A20" w:rsidP="00F10A20">
      <w:pPr>
        <w:spacing w:line="360" w:lineRule="auto"/>
        <w:jc w:val="both"/>
        <w:rPr>
          <w:rFonts w:ascii="Times New Roman" w:hAnsi="Times New Roman" w:cs="Times New Roman"/>
          <w:sz w:val="24"/>
          <w:szCs w:val="24"/>
        </w:rPr>
      </w:pPr>
    </w:p>
    <w:p w14:paraId="79327A29" w14:textId="77777777" w:rsidR="00CE3055" w:rsidRDefault="00786C62" w:rsidP="00CE3055">
      <w:pPr>
        <w:keepNext/>
        <w:spacing w:line="360" w:lineRule="auto"/>
        <w:jc w:val="both"/>
      </w:pPr>
      <w:r>
        <w:rPr>
          <w:rFonts w:ascii="Times New Roman" w:hAnsi="Times New Roman" w:cs="Times New Roman"/>
          <w:noProof/>
          <w:sz w:val="24"/>
          <w:szCs w:val="24"/>
        </w:rPr>
        <w:drawing>
          <wp:inline distT="0" distB="0" distL="0" distR="0" wp14:anchorId="37CB13B1" wp14:editId="4E334FE5">
            <wp:extent cx="5943600" cy="2389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89505"/>
                    </a:xfrm>
                    <a:prstGeom prst="rect">
                      <a:avLst/>
                    </a:prstGeom>
                  </pic:spPr>
                </pic:pic>
              </a:graphicData>
            </a:graphic>
          </wp:inline>
        </w:drawing>
      </w:r>
    </w:p>
    <w:p w14:paraId="39BD2FBB" w14:textId="0E15F7CD" w:rsidR="00786C62" w:rsidRPr="005C641A" w:rsidRDefault="00CE3055" w:rsidP="005C641A">
      <w:pPr>
        <w:pStyle w:val="Caption"/>
        <w:jc w:val="center"/>
        <w:rPr>
          <w:rFonts w:ascii="Times New Roman" w:hAnsi="Times New Roman" w:cs="Times New Roman"/>
          <w:i w:val="0"/>
          <w:iCs w:val="0"/>
          <w:color w:val="auto"/>
          <w:sz w:val="20"/>
          <w:szCs w:val="20"/>
        </w:rPr>
      </w:pPr>
      <w:r w:rsidRPr="005C641A">
        <w:rPr>
          <w:rFonts w:ascii="Times New Roman" w:hAnsi="Times New Roman" w:cs="Times New Roman"/>
          <w:i w:val="0"/>
          <w:iCs w:val="0"/>
          <w:color w:val="auto"/>
          <w:sz w:val="20"/>
          <w:szCs w:val="20"/>
        </w:rPr>
        <w:t xml:space="preserve">Figure </w:t>
      </w:r>
      <w:r w:rsidRPr="005C641A">
        <w:rPr>
          <w:rFonts w:ascii="Times New Roman" w:hAnsi="Times New Roman" w:cs="Times New Roman"/>
          <w:i w:val="0"/>
          <w:iCs w:val="0"/>
          <w:color w:val="auto"/>
          <w:sz w:val="20"/>
          <w:szCs w:val="20"/>
        </w:rPr>
        <w:fldChar w:fldCharType="begin"/>
      </w:r>
      <w:r w:rsidRPr="005C641A">
        <w:rPr>
          <w:rFonts w:ascii="Times New Roman" w:hAnsi="Times New Roman" w:cs="Times New Roman"/>
          <w:i w:val="0"/>
          <w:iCs w:val="0"/>
          <w:color w:val="auto"/>
          <w:sz w:val="20"/>
          <w:szCs w:val="20"/>
        </w:rPr>
        <w:instrText xml:space="preserve"> SEQ Figure \* ARABIC </w:instrText>
      </w:r>
      <w:r w:rsidRPr="005C641A">
        <w:rPr>
          <w:rFonts w:ascii="Times New Roman" w:hAnsi="Times New Roman" w:cs="Times New Roman"/>
          <w:i w:val="0"/>
          <w:iCs w:val="0"/>
          <w:color w:val="auto"/>
          <w:sz w:val="20"/>
          <w:szCs w:val="20"/>
        </w:rPr>
        <w:fldChar w:fldCharType="separate"/>
      </w:r>
      <w:r w:rsidR="005748AD" w:rsidRPr="005C641A">
        <w:rPr>
          <w:rFonts w:ascii="Times New Roman" w:hAnsi="Times New Roman" w:cs="Times New Roman"/>
          <w:i w:val="0"/>
          <w:iCs w:val="0"/>
          <w:color w:val="auto"/>
          <w:sz w:val="20"/>
          <w:szCs w:val="20"/>
        </w:rPr>
        <w:t>5</w:t>
      </w:r>
      <w:r w:rsidRPr="005C641A">
        <w:rPr>
          <w:rFonts w:ascii="Times New Roman" w:hAnsi="Times New Roman" w:cs="Times New Roman"/>
          <w:i w:val="0"/>
          <w:iCs w:val="0"/>
          <w:color w:val="auto"/>
          <w:sz w:val="20"/>
          <w:szCs w:val="20"/>
        </w:rPr>
        <w:fldChar w:fldCharType="end"/>
      </w:r>
      <w:r w:rsidRPr="005C641A">
        <w:rPr>
          <w:rFonts w:ascii="Times New Roman" w:hAnsi="Times New Roman" w:cs="Times New Roman"/>
          <w:i w:val="0"/>
          <w:iCs w:val="0"/>
          <w:color w:val="auto"/>
          <w:sz w:val="20"/>
          <w:szCs w:val="20"/>
        </w:rPr>
        <w:t xml:space="preserve"> : Mean diurnal GHI profiles by season (DJF, MAM, JJA, SON) derived from PVGIS‑SARAH3 TMY data. Shaded bands represent ±1 standard deviation.</w:t>
      </w:r>
    </w:p>
    <w:p w14:paraId="3C0E8F4D" w14:textId="77777777" w:rsidR="00DB6DD1" w:rsidRDefault="00DB6DD1" w:rsidP="00DB6DD1">
      <w:pPr>
        <w:spacing w:line="360" w:lineRule="auto"/>
        <w:jc w:val="both"/>
        <w:rPr>
          <w:rFonts w:ascii="Times New Roman" w:hAnsi="Times New Roman" w:cs="Times New Roman"/>
          <w:sz w:val="24"/>
          <w:szCs w:val="24"/>
        </w:rPr>
      </w:pPr>
    </w:p>
    <w:p w14:paraId="30FF629D" w14:textId="77777777" w:rsidR="00077EB6" w:rsidRDefault="001D4B27" w:rsidP="00077EB6">
      <w:pPr>
        <w:keepNext/>
        <w:spacing w:line="360" w:lineRule="auto"/>
        <w:jc w:val="both"/>
      </w:pPr>
      <w:r>
        <w:rPr>
          <w:rFonts w:ascii="Times New Roman" w:hAnsi="Times New Roman" w:cs="Times New Roman"/>
          <w:noProof/>
          <w:sz w:val="24"/>
          <w:szCs w:val="24"/>
        </w:rPr>
        <w:lastRenderedPageBreak/>
        <w:drawing>
          <wp:inline distT="0" distB="0" distL="0" distR="0" wp14:anchorId="378145C9" wp14:editId="62DC8840">
            <wp:extent cx="5943600" cy="2198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inline>
        </w:drawing>
      </w:r>
    </w:p>
    <w:p w14:paraId="595D8097" w14:textId="0740E7CA" w:rsidR="001D4B27" w:rsidRPr="005C641A" w:rsidRDefault="00077EB6" w:rsidP="005C641A">
      <w:pPr>
        <w:pStyle w:val="Caption"/>
        <w:jc w:val="center"/>
        <w:rPr>
          <w:rFonts w:ascii="Times New Roman" w:hAnsi="Times New Roman" w:cs="Times New Roman"/>
          <w:i w:val="0"/>
          <w:iCs w:val="0"/>
          <w:color w:val="auto"/>
          <w:sz w:val="20"/>
          <w:szCs w:val="20"/>
        </w:rPr>
      </w:pPr>
      <w:r w:rsidRPr="005C641A">
        <w:rPr>
          <w:rFonts w:ascii="Times New Roman" w:hAnsi="Times New Roman" w:cs="Times New Roman"/>
          <w:i w:val="0"/>
          <w:iCs w:val="0"/>
          <w:color w:val="auto"/>
          <w:sz w:val="20"/>
          <w:szCs w:val="20"/>
        </w:rPr>
        <w:t xml:space="preserve">Figure </w:t>
      </w:r>
      <w:r w:rsidRPr="005C641A">
        <w:rPr>
          <w:rFonts w:ascii="Times New Roman" w:hAnsi="Times New Roman" w:cs="Times New Roman"/>
          <w:i w:val="0"/>
          <w:iCs w:val="0"/>
          <w:color w:val="auto"/>
          <w:sz w:val="20"/>
          <w:szCs w:val="20"/>
        </w:rPr>
        <w:fldChar w:fldCharType="begin"/>
      </w:r>
      <w:r w:rsidRPr="005C641A">
        <w:rPr>
          <w:rFonts w:ascii="Times New Roman" w:hAnsi="Times New Roman" w:cs="Times New Roman"/>
          <w:i w:val="0"/>
          <w:iCs w:val="0"/>
          <w:color w:val="auto"/>
          <w:sz w:val="20"/>
          <w:szCs w:val="20"/>
        </w:rPr>
        <w:instrText xml:space="preserve"> SEQ Figure \* ARABIC </w:instrText>
      </w:r>
      <w:r w:rsidRPr="005C641A">
        <w:rPr>
          <w:rFonts w:ascii="Times New Roman" w:hAnsi="Times New Roman" w:cs="Times New Roman"/>
          <w:i w:val="0"/>
          <w:iCs w:val="0"/>
          <w:color w:val="auto"/>
          <w:sz w:val="20"/>
          <w:szCs w:val="20"/>
        </w:rPr>
        <w:fldChar w:fldCharType="separate"/>
      </w:r>
      <w:r w:rsidR="005748AD" w:rsidRPr="005C641A">
        <w:rPr>
          <w:rFonts w:ascii="Times New Roman" w:hAnsi="Times New Roman" w:cs="Times New Roman"/>
          <w:i w:val="0"/>
          <w:iCs w:val="0"/>
          <w:color w:val="auto"/>
          <w:sz w:val="20"/>
          <w:szCs w:val="20"/>
        </w:rPr>
        <w:t>6</w:t>
      </w:r>
      <w:r w:rsidRPr="005C641A">
        <w:rPr>
          <w:rFonts w:ascii="Times New Roman" w:hAnsi="Times New Roman" w:cs="Times New Roman"/>
          <w:i w:val="0"/>
          <w:iCs w:val="0"/>
          <w:color w:val="auto"/>
          <w:sz w:val="20"/>
          <w:szCs w:val="20"/>
        </w:rPr>
        <w:fldChar w:fldCharType="end"/>
      </w:r>
      <w:r w:rsidRPr="005C641A">
        <w:rPr>
          <w:rFonts w:ascii="Times New Roman" w:hAnsi="Times New Roman" w:cs="Times New Roman"/>
          <w:i w:val="0"/>
          <w:iCs w:val="0"/>
          <w:color w:val="auto"/>
          <w:sz w:val="20"/>
          <w:szCs w:val="20"/>
        </w:rPr>
        <w:t xml:space="preserve"> : Day‑of‑year × hour‑of‑day GHI heatmap (W/m²). White contour = 400 W/m² threshold; vertical dashed lines = start and end of the tomato growing season.</w:t>
      </w:r>
    </w:p>
    <w:p w14:paraId="28008F27" w14:textId="517B00FD"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3.3. Solar geometry and shading model</w:t>
      </w:r>
    </w:p>
    <w:p w14:paraId="38809306" w14:textId="744BB932" w:rsidR="00DB6DD1" w:rsidRPr="00DB6DD1" w:rsidRDefault="00DB6DD1" w:rsidP="000034D1">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Accurate hourly solar position calculation forms the foundation for both the PV transposition model and the ground shading factor. Solar declination δ is computed using the Spencer (1971) harmonic approximation:</w:t>
      </w:r>
    </w:p>
    <w:p w14:paraId="37952E70" w14:textId="77777777" w:rsidR="00DB6DD1" w:rsidRPr="00DB6DD1" w:rsidRDefault="00DB6DD1" w:rsidP="00DB6DD1">
      <w:pPr>
        <w:spacing w:line="360" w:lineRule="auto"/>
        <w:jc w:val="both"/>
        <w:rPr>
          <w:rFonts w:ascii="Times New Roman" w:hAnsi="Times New Roman" w:cs="Times New Roman"/>
          <w:sz w:val="24"/>
          <w:szCs w:val="24"/>
        </w:rPr>
      </w:pPr>
    </w:p>
    <w:p w14:paraId="719C9359" w14:textId="77777777" w:rsidR="00AE7F35" w:rsidRPr="006217F4" w:rsidRDefault="00533732" w:rsidP="00AE7F35">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m:rPr>
                  <m:sty m:val="p"/>
                </m:rPr>
                <w:rPr>
                  <w:rFonts w:ascii="Cambria Math" w:eastAsia="Cambria Math" w:hAnsi="Cambria Math" w:cs="Times New Roman"/>
                  <w:sz w:val="24"/>
                  <w:szCs w:val="24"/>
                </w:rPr>
                <m:t>δ=23.45°×sin</m:t>
              </m:r>
              <m:d>
                <m:dPr>
                  <m:begChr m:val="["/>
                  <m:endChr m:val="]"/>
                  <m:ctrlPr>
                    <w:rPr>
                      <w:rFonts w:ascii="Cambria Math" w:eastAsia="Cambria Math" w:hAnsi="Cambria Math" w:cs="Times New Roman"/>
                      <w:sz w:val="24"/>
                      <w:szCs w:val="24"/>
                    </w:rPr>
                  </m:ctrlPr>
                </m:dPr>
                <m:e>
                  <m:f>
                    <m:fPr>
                      <m:ctrlPr>
                        <w:rPr>
                          <w:rFonts w:ascii="Cambria Math" w:eastAsia="Cambria Math" w:hAnsi="Cambria Math" w:cs="Times New Roman"/>
                          <w:sz w:val="24"/>
                          <w:szCs w:val="24"/>
                        </w:rPr>
                      </m:ctrlPr>
                    </m:fPr>
                    <m:num>
                      <m:r>
                        <m:rPr>
                          <m:sty m:val="p"/>
                        </m:rPr>
                        <w:rPr>
                          <w:rFonts w:ascii="Cambria Math" w:eastAsia="Cambria Math" w:hAnsi="Cambria Math" w:cs="Times New Roman"/>
                          <w:sz w:val="24"/>
                          <w:szCs w:val="24"/>
                        </w:rPr>
                        <m:t>360°</m:t>
                      </m:r>
                    </m:num>
                    <m:den>
                      <m:r>
                        <m:rPr>
                          <m:sty m:val="p"/>
                        </m:rPr>
                        <w:rPr>
                          <w:rFonts w:ascii="Cambria Math" w:eastAsia="Cambria Math" w:hAnsi="Cambria Math" w:cs="Times New Roman"/>
                          <w:sz w:val="24"/>
                          <w:szCs w:val="24"/>
                        </w:rPr>
                        <m:t>365</m:t>
                      </m:r>
                    </m:den>
                  </m:f>
                  <m:r>
                    <m:rPr>
                      <m:sty m:val="p"/>
                    </m:rPr>
                    <w:rPr>
                      <w:rFonts w:ascii="Cambria Math" w:eastAsia="Cambria Math" w:hAnsi="Cambria Math" w:cs="Times New Roman"/>
                      <w:sz w:val="24"/>
                      <w:szCs w:val="24"/>
                    </w:rPr>
                    <m:t>×</m:t>
                  </m:r>
                  <m:d>
                    <m:dPr>
                      <m:ctrlPr>
                        <w:rPr>
                          <w:rFonts w:ascii="Cambria Math" w:eastAsia="Cambria Math" w:hAnsi="Cambria Math" w:cs="Times New Roman"/>
                          <w:sz w:val="24"/>
                          <w:szCs w:val="24"/>
                        </w:rPr>
                      </m:ctrlPr>
                    </m:dPr>
                    <m:e>
                      <m:r>
                        <m:rPr>
                          <m:sty m:val="p"/>
                        </m:rPr>
                        <w:rPr>
                          <w:rFonts w:ascii="Cambria Math" w:eastAsia="Cambria Math" w:hAnsi="Cambria Math" w:cs="Times New Roman"/>
                          <w:sz w:val="24"/>
                          <w:szCs w:val="24"/>
                        </w:rPr>
                        <m:t>n-81</m:t>
                      </m:r>
                    </m:e>
                  </m:d>
                </m:e>
              </m:d>
              <m:r>
                <w:rPr>
                  <w:rFonts w:ascii="Cambria Math" w:eastAsia="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4</m:t>
                  </m:r>
                </m:e>
              </m:d>
              <m:ctrlPr>
                <w:rPr>
                  <w:rFonts w:ascii="Cambria Math" w:eastAsia="Cambria Math" w:hAnsi="Cambria Math" w:cs="Times New Roman"/>
                  <w:i/>
                  <w:sz w:val="24"/>
                  <w:szCs w:val="24"/>
                </w:rPr>
              </m:ctrlPr>
            </m:e>
          </m:eqArr>
        </m:oMath>
      </m:oMathPara>
    </w:p>
    <w:p w14:paraId="72B4D3F9" w14:textId="77777777" w:rsidR="00DB6DD1" w:rsidRPr="00DB6DD1" w:rsidRDefault="00DB6DD1" w:rsidP="00DB6DD1">
      <w:pPr>
        <w:spacing w:line="360" w:lineRule="auto"/>
        <w:jc w:val="both"/>
        <w:rPr>
          <w:rFonts w:ascii="Times New Roman" w:hAnsi="Times New Roman" w:cs="Times New Roman"/>
          <w:sz w:val="24"/>
          <w:szCs w:val="24"/>
        </w:rPr>
      </w:pPr>
    </w:p>
    <w:p w14:paraId="1E34EAC6" w14:textId="24D5FD88"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n is the day of year. True solar time is obtained from local standard time by applying both a longitude correction for the offset from the standard meridian and the Equation of Time </w:t>
      </w:r>
      <m:oMath>
        <m:r>
          <w:rPr>
            <w:rFonts w:ascii="Cambria Math" w:hAnsi="Cambria Math" w:cs="Times New Roman"/>
            <w:sz w:val="24"/>
            <w:szCs w:val="24"/>
          </w:rPr>
          <m:t>EoT(n)</m:t>
        </m:r>
      </m:oMath>
      <w:r w:rsidRPr="00DB6DD1">
        <w:rPr>
          <w:rFonts w:ascii="Times New Roman" w:hAnsi="Times New Roman" w:cs="Times New Roman"/>
          <w:sz w:val="24"/>
          <w:szCs w:val="24"/>
        </w:rPr>
        <w:t>, which accounts for the eccentricity of Earth's orbit and the obliquity of the ecliptic (Spencer, 1971):</w:t>
      </w:r>
    </w:p>
    <w:p w14:paraId="6F1F7662" w14:textId="77777777" w:rsidR="00DB6DD1" w:rsidRPr="00DB6DD1" w:rsidRDefault="00DB6DD1" w:rsidP="00DB6DD1">
      <w:pPr>
        <w:spacing w:line="360" w:lineRule="auto"/>
        <w:jc w:val="both"/>
        <w:rPr>
          <w:rFonts w:ascii="Times New Roman" w:hAnsi="Times New Roman" w:cs="Times New Roman"/>
          <w:sz w:val="24"/>
          <w:szCs w:val="24"/>
        </w:rPr>
      </w:pPr>
    </w:p>
    <w:p w14:paraId="1011D0CD" w14:textId="77777777" w:rsidR="00936B2F" w:rsidRPr="006217F4" w:rsidRDefault="00533732" w:rsidP="00936B2F">
      <w:pPr>
        <w:spacing w:line="360" w:lineRule="auto"/>
        <w:jc w:val="both"/>
        <w:rPr>
          <w:rFonts w:ascii="Times New Roman" w:eastAsiaTheme="minorEastAsia" w:hAnsi="Times New Roman" w:cs="Times New Roman"/>
          <w:sz w:val="24"/>
          <w:szCs w:val="24"/>
          <w:lang w:val="fr-FR"/>
        </w:rPr>
      </w:pPr>
      <m:oMathPara>
        <m:oMath>
          <m:eqArr>
            <m:eqArrPr>
              <m:maxDist m:val="1"/>
              <m:ctrlPr>
                <w:rPr>
                  <w:rFonts w:ascii="Cambria Math" w:hAnsi="Cambria Math" w:cs="Times New Roman"/>
                  <w:i/>
                  <w:sz w:val="24"/>
                  <w:szCs w:val="24"/>
                  <w:lang w:val="fr-FR"/>
                </w:rPr>
              </m:ctrlPr>
            </m:eqArrPr>
            <m:e>
              <m:sSub>
                <m:sSubPr>
                  <m:ctrlPr>
                    <w:rPr>
                      <w:rFonts w:ascii="Cambria Math" w:eastAsia="Cambria Math" w:hAnsi="Cambria Math" w:cs="Times New Roman"/>
                      <w:sz w:val="24"/>
                      <w:szCs w:val="24"/>
                      <w:lang w:val="fr-FR"/>
                    </w:rPr>
                  </m:ctrlPr>
                </m:sSubPr>
                <m:e>
                  <m:r>
                    <m:rPr>
                      <m:sty m:val="p"/>
                    </m:rPr>
                    <w:rPr>
                      <w:rFonts w:ascii="Cambria Math" w:eastAsia="Cambria Math" w:hAnsi="Cambria Math" w:cs="Times New Roman"/>
                      <w:sz w:val="24"/>
                      <w:szCs w:val="24"/>
                      <w:lang w:val="fr-FR"/>
                    </w:rPr>
                    <m:t>t</m:t>
                  </m:r>
                </m:e>
                <m:sub>
                  <m:r>
                    <m:rPr>
                      <m:sty m:val="p"/>
                    </m:rPr>
                    <w:rPr>
                      <w:rFonts w:ascii="Cambria Math" w:eastAsia="Cambria Math" w:hAnsi="Cambria Math" w:cs="Times New Roman"/>
                      <w:sz w:val="24"/>
                      <w:szCs w:val="24"/>
                      <w:lang w:val="fr-FR"/>
                    </w:rPr>
                    <m:t>solar</m:t>
                  </m:r>
                </m:sub>
              </m:sSub>
              <m:r>
                <m:rPr>
                  <m:sty m:val="p"/>
                </m:rPr>
                <w:rPr>
                  <w:rFonts w:ascii="Cambria Math" w:eastAsia="Cambria Math" w:hAnsi="Cambria Math" w:cs="Times New Roman"/>
                  <w:sz w:val="24"/>
                  <w:szCs w:val="24"/>
                  <w:lang w:val="fr-FR"/>
                </w:rPr>
                <m:t xml:space="preserve">= </m:t>
              </m:r>
              <m:sSub>
                <m:sSubPr>
                  <m:ctrlPr>
                    <w:rPr>
                      <w:rFonts w:ascii="Cambria Math" w:eastAsia="Cambria Math" w:hAnsi="Cambria Math" w:cs="Times New Roman"/>
                      <w:sz w:val="24"/>
                      <w:szCs w:val="24"/>
                      <w:lang w:val="fr-FR"/>
                    </w:rPr>
                  </m:ctrlPr>
                </m:sSubPr>
                <m:e>
                  <m:r>
                    <m:rPr>
                      <m:sty m:val="p"/>
                    </m:rPr>
                    <w:rPr>
                      <w:rFonts w:ascii="Cambria Math" w:eastAsia="Cambria Math" w:hAnsi="Cambria Math" w:cs="Times New Roman"/>
                      <w:sz w:val="24"/>
                      <w:szCs w:val="24"/>
                      <w:lang w:val="fr-FR"/>
                    </w:rPr>
                    <m:t>t</m:t>
                  </m:r>
                </m:e>
                <m:sub>
                  <m:r>
                    <m:rPr>
                      <m:sty m:val="p"/>
                    </m:rPr>
                    <w:rPr>
                      <w:rFonts w:ascii="Cambria Math" w:eastAsia="Cambria Math" w:hAnsi="Cambria Math" w:cs="Times New Roman"/>
                      <w:sz w:val="24"/>
                      <w:szCs w:val="24"/>
                      <w:lang w:val="fr-FR"/>
                    </w:rPr>
                    <m:t>local</m:t>
                  </m:r>
                </m:sub>
              </m:sSub>
              <m:r>
                <m:rPr>
                  <m:sty m:val="p"/>
                </m:rPr>
                <w:rPr>
                  <w:rFonts w:ascii="Cambria Math" w:eastAsia="Cambria Math" w:hAnsi="Cambria Math" w:cs="Times New Roman"/>
                  <w:sz w:val="24"/>
                  <w:szCs w:val="24"/>
                  <w:lang w:val="fr-FR"/>
                </w:rPr>
                <m:t>+</m:t>
              </m:r>
              <m:f>
                <m:fPr>
                  <m:ctrlPr>
                    <w:rPr>
                      <w:rFonts w:ascii="Cambria Math" w:eastAsia="Cambria Math" w:hAnsi="Cambria Math" w:cs="Times New Roman"/>
                      <w:sz w:val="24"/>
                      <w:szCs w:val="24"/>
                      <w:lang w:val="fr-FR"/>
                    </w:rPr>
                  </m:ctrlPr>
                </m:fPr>
                <m:num>
                  <m:d>
                    <m:dPr>
                      <m:ctrlPr>
                        <w:rPr>
                          <w:rFonts w:ascii="Cambria Math" w:eastAsia="Cambria Math" w:hAnsi="Cambria Math" w:cs="Times New Roman"/>
                          <w:sz w:val="24"/>
                          <w:szCs w:val="24"/>
                          <w:lang w:val="fr-FR"/>
                        </w:rPr>
                      </m:ctrlPr>
                    </m:dPr>
                    <m:e>
                      <m:r>
                        <m:rPr>
                          <m:sty m:val="p"/>
                        </m:rPr>
                        <w:rPr>
                          <w:rFonts w:ascii="Cambria Math" w:eastAsia="Cambria Math" w:hAnsi="Cambria Math" w:cs="Times New Roman"/>
                          <w:sz w:val="24"/>
                          <w:szCs w:val="24"/>
                          <w:lang w:val="fr-FR"/>
                        </w:rPr>
                        <m:t xml:space="preserve">L - </m:t>
                      </m:r>
                      <m:sSub>
                        <m:sSubPr>
                          <m:ctrlPr>
                            <w:rPr>
                              <w:rFonts w:ascii="Cambria Math" w:eastAsia="Cambria Math" w:hAnsi="Cambria Math" w:cs="Times New Roman"/>
                              <w:sz w:val="24"/>
                              <w:szCs w:val="24"/>
                              <w:lang w:val="fr-FR"/>
                            </w:rPr>
                          </m:ctrlPr>
                        </m:sSubPr>
                        <m:e>
                          <m:r>
                            <m:rPr>
                              <m:sty m:val="p"/>
                            </m:rPr>
                            <w:rPr>
                              <w:rFonts w:ascii="Cambria Math" w:eastAsia="Cambria Math" w:hAnsi="Cambria Math" w:cs="Times New Roman"/>
                              <w:sz w:val="24"/>
                              <w:szCs w:val="24"/>
                              <w:lang w:val="fr-FR"/>
                            </w:rPr>
                            <m:t>L</m:t>
                          </m:r>
                        </m:e>
                        <m:sub>
                          <m:r>
                            <m:rPr>
                              <m:sty m:val="p"/>
                            </m:rPr>
                            <w:rPr>
                              <w:rFonts w:ascii="Cambria Math" w:eastAsia="Cambria Math" w:hAnsi="Cambria Math" w:cs="Times New Roman"/>
                              <w:sz w:val="24"/>
                              <w:szCs w:val="24"/>
                              <w:lang w:val="fr-FR"/>
                            </w:rPr>
                            <m:t>std</m:t>
                          </m:r>
                        </m:sub>
                      </m:sSub>
                    </m:e>
                  </m:d>
                </m:num>
                <m:den>
                  <m:r>
                    <m:rPr>
                      <m:sty m:val="p"/>
                    </m:rPr>
                    <w:rPr>
                      <w:rFonts w:ascii="Cambria Math" w:eastAsia="Cambria Math" w:hAnsi="Cambria Math" w:cs="Times New Roman"/>
                      <w:sz w:val="24"/>
                      <w:szCs w:val="24"/>
                      <w:lang w:val="fr-FR"/>
                    </w:rPr>
                    <m:t>15</m:t>
                  </m:r>
                </m:den>
              </m:f>
              <m:r>
                <m:rPr>
                  <m:sty m:val="p"/>
                </m:rPr>
                <w:rPr>
                  <w:rFonts w:ascii="Cambria Math" w:eastAsia="Cambria Math" w:hAnsi="Cambria Math" w:cs="Times New Roman"/>
                  <w:sz w:val="24"/>
                  <w:szCs w:val="24"/>
                  <w:lang w:val="fr-FR"/>
                </w:rPr>
                <m:t xml:space="preserve"> +</m:t>
              </m:r>
              <m:f>
                <m:fPr>
                  <m:ctrlPr>
                    <w:rPr>
                      <w:rFonts w:ascii="Cambria Math" w:eastAsia="Cambria Math" w:hAnsi="Cambria Math" w:cs="Times New Roman"/>
                      <w:sz w:val="24"/>
                      <w:szCs w:val="24"/>
                      <w:lang w:val="fr-FR"/>
                    </w:rPr>
                  </m:ctrlPr>
                </m:fPr>
                <m:num>
                  <m:r>
                    <m:rPr>
                      <m:sty m:val="p"/>
                    </m:rPr>
                    <w:rPr>
                      <w:rFonts w:ascii="Cambria Math" w:eastAsia="Cambria Math" w:hAnsi="Cambria Math" w:cs="Times New Roman"/>
                      <w:sz w:val="24"/>
                      <w:szCs w:val="24"/>
                      <w:lang w:val="fr-FR"/>
                    </w:rPr>
                    <m:t>EoT</m:t>
                  </m:r>
                  <m:d>
                    <m:dPr>
                      <m:ctrlPr>
                        <w:rPr>
                          <w:rFonts w:ascii="Cambria Math" w:eastAsia="Cambria Math" w:hAnsi="Cambria Math" w:cs="Times New Roman"/>
                          <w:sz w:val="24"/>
                          <w:szCs w:val="24"/>
                          <w:lang w:val="fr-FR"/>
                        </w:rPr>
                      </m:ctrlPr>
                    </m:dPr>
                    <m:e>
                      <m:r>
                        <m:rPr>
                          <m:sty m:val="p"/>
                        </m:rPr>
                        <w:rPr>
                          <w:rFonts w:ascii="Cambria Math" w:eastAsia="Cambria Math" w:hAnsi="Cambria Math" w:cs="Times New Roman"/>
                          <w:sz w:val="24"/>
                          <w:szCs w:val="24"/>
                          <w:lang w:val="fr-FR"/>
                        </w:rPr>
                        <m:t>n</m:t>
                      </m:r>
                    </m:e>
                  </m:d>
                </m:num>
                <m:den>
                  <m:r>
                    <m:rPr>
                      <m:sty m:val="p"/>
                    </m:rPr>
                    <w:rPr>
                      <w:rFonts w:ascii="Cambria Math" w:eastAsia="Cambria Math" w:hAnsi="Cambria Math" w:cs="Times New Roman"/>
                      <w:sz w:val="24"/>
                      <w:szCs w:val="24"/>
                      <w:lang w:val="fr-FR"/>
                    </w:rPr>
                    <m:t>60</m:t>
                  </m:r>
                </m:den>
              </m:f>
              <m:r>
                <w:rPr>
                  <w:rFonts w:ascii="Cambria Math" w:hAnsi="Cambria Math" w:cs="Times New Roman"/>
                  <w:sz w:val="24"/>
                  <w:szCs w:val="24"/>
                  <w:lang w:val="fr-FR"/>
                </w:rPr>
                <m:t xml:space="preserve"> </m:t>
              </m:r>
              <m:r>
                <w:rPr>
                  <w:rFonts w:ascii="Cambria Math" w:eastAsia="Cambria Math" w:hAnsi="Cambria Math" w:cs="Times New Roman"/>
                  <w:sz w:val="24"/>
                  <w:szCs w:val="24"/>
                  <w:lang w:val="fr-FR"/>
                </w:rPr>
                <m:t>#</m:t>
              </m:r>
              <m:d>
                <m:dPr>
                  <m:ctrlPr>
                    <w:rPr>
                      <w:rFonts w:ascii="Cambria Math" w:hAnsi="Cambria Math" w:cs="Times New Roman"/>
                      <w:i/>
                      <w:sz w:val="24"/>
                      <w:szCs w:val="24"/>
                      <w:lang w:val="fr-FR"/>
                    </w:rPr>
                  </m:ctrlPr>
                </m:dPr>
                <m:e>
                  <m:r>
                    <w:rPr>
                      <w:rFonts w:ascii="Cambria Math" w:hAnsi="Cambria Math" w:cs="Times New Roman"/>
                      <w:sz w:val="24"/>
                      <w:szCs w:val="24"/>
                      <w:lang w:val="fr-FR"/>
                    </w:rPr>
                    <m:t>5</m:t>
                  </m:r>
                </m:e>
              </m:d>
              <m:ctrlPr>
                <w:rPr>
                  <w:rFonts w:ascii="Cambria Math" w:eastAsia="Cambria Math" w:hAnsi="Cambria Math" w:cs="Times New Roman"/>
                  <w:i/>
                  <w:sz w:val="24"/>
                  <w:szCs w:val="24"/>
                  <w:lang w:val="fr-FR"/>
                </w:rPr>
              </m:ctrlPr>
            </m:e>
          </m:eqArr>
        </m:oMath>
      </m:oMathPara>
    </w:p>
    <w:p w14:paraId="11FDA112" w14:textId="77777777" w:rsidR="00DB6DD1" w:rsidRPr="00DB6DD1" w:rsidRDefault="00DB6DD1" w:rsidP="00DB6DD1">
      <w:pPr>
        <w:spacing w:line="360" w:lineRule="auto"/>
        <w:jc w:val="both"/>
        <w:rPr>
          <w:rFonts w:ascii="Times New Roman" w:hAnsi="Times New Roman" w:cs="Times New Roman"/>
          <w:sz w:val="24"/>
          <w:szCs w:val="24"/>
          <w:lang w:val="fr-FR"/>
        </w:rPr>
      </w:pPr>
    </w:p>
    <w:p w14:paraId="4A18DB26" w14:textId="71FB201B"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The solar hour angle ω follows directly, </w:t>
      </w:r>
      <w:r w:rsidR="000034D1" w:rsidRPr="00DB6DD1">
        <w:rPr>
          <w:rFonts w:ascii="Times New Roman" w:hAnsi="Times New Roman" w:cs="Times New Roman"/>
          <w:sz w:val="24"/>
          <w:szCs w:val="24"/>
        </w:rPr>
        <w:t>equaling</w:t>
      </w:r>
      <w:r w:rsidRPr="00DB6DD1">
        <w:rPr>
          <w:rFonts w:ascii="Times New Roman" w:hAnsi="Times New Roman" w:cs="Times New Roman"/>
          <w:sz w:val="24"/>
          <w:szCs w:val="24"/>
        </w:rPr>
        <w:t xml:space="preserve"> zero at solar noon. Solar elevation angle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s</m:t>
            </m:r>
          </m:sub>
        </m:sSub>
      </m:oMath>
      <w:r w:rsidRPr="00DB6DD1">
        <w:rPr>
          <w:rFonts w:ascii="Times New Roman" w:hAnsi="Times New Roman" w:cs="Times New Roman"/>
          <w:sz w:val="24"/>
          <w:szCs w:val="24"/>
        </w:rPr>
        <w:t xml:space="preserve"> and azimuth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s</m:t>
            </m:r>
          </m:sub>
        </m:sSub>
      </m:oMath>
      <w:r w:rsidRPr="00DB6DD1">
        <w:rPr>
          <w:rFonts w:ascii="Times New Roman" w:hAnsi="Times New Roman" w:cs="Times New Roman"/>
          <w:sz w:val="24"/>
          <w:szCs w:val="24"/>
        </w:rPr>
        <w:t xml:space="preserve"> are then computed from standard spherical trigonometric relations. The ground shading factor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shad</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DB6DD1">
        <w:rPr>
          <w:rFonts w:ascii="Times New Roman" w:hAnsi="Times New Roman" w:cs="Times New Roman"/>
          <w:sz w:val="24"/>
          <w:szCs w:val="24"/>
        </w:rPr>
        <w:t xml:space="preserve">, which quantifies the fraction of land area receiving direct shadow from the panel </w:t>
      </w:r>
      <w:r w:rsidRPr="00DB6DD1">
        <w:rPr>
          <w:rFonts w:ascii="Times New Roman" w:hAnsi="Times New Roman" w:cs="Times New Roman"/>
          <w:sz w:val="24"/>
          <w:szCs w:val="24"/>
        </w:rPr>
        <w:lastRenderedPageBreak/>
        <w:t xml:space="preserve">rows at each hour, is computed following Zainali et al. </w:t>
      </w:r>
      <w:r w:rsidR="000034D1">
        <w:rPr>
          <w:rFonts w:ascii="Times New Roman" w:hAnsi="Times New Roman" w:cs="Times New Roman"/>
          <w:sz w:val="24"/>
          <w:szCs w:val="24"/>
        </w:rPr>
        <w:fldChar w:fldCharType="begin"/>
      </w:r>
      <w:r w:rsidR="000034D1">
        <w:rPr>
          <w:rFonts w:ascii="Times New Roman" w:hAnsi="Times New Roman" w:cs="Times New Roman"/>
          <w:sz w:val="24"/>
          <w:szCs w:val="24"/>
        </w:rPr>
        <w:instrText xml:space="preserve"> ADDIN ZOTERO_ITEM CSL_CITATION {"citationID":"I5EyqZEK","properties":{"unsorted":false,"formattedCitation":"(Zainali et al., 2023)","plainCitation":"(Zainali et al., 2023)","noteIndex":0},"citationItems":[{"id":29,"uris":["http://zotero.org/users/local/i6bXxmSk/items/BYCBY4GP"],"itemData":{"id":29,"type":"article-journal","abstract":"Agrivoltaic systems are becoming increasingly popular as a crucial technology for attaining multiple sustainable development goals, such as affordable and clean energy, zero hunger, clean water and sanitation, and climate action. However, a comprehensive understanding of the shading effects on crops is essential for choosing an optimal agrivoltaic system, as an incorrect choice can result in significant crop yield reductions. In this study, fixed vertical, one-axis tracking, and two-axis tracking photovoltaic arrays were developed for agrivoltaic applications to analyse the shading conditions on the ground used for crop production. The models demonstrated remarkable accuracy in comparison to commercial software such as PVsyst® and SketchUp®. These models will help to reduce crop yield uncertainty under agrivoltaic systems by providing accurate photosynthetically active radiation distribution at the crop level. The photosynthetically active radiation distribution was further analysed using a light homogeneity index, and the results showed that homogeneity and photosynthetically active radiation reduction varied significantly depending on the agrivoltaic system design, ranging from 86% to 95%, and 11% to 22%, respectively. Studying the effect of shading with distribution analysis is crucial for identifying the most suitable agrivoltaic system layout for specific crops and geographical locations.","container-title":"Applied Energy","DOI":"10.1016/j.apenergy.2023.120981","ISSN":"03062619","journalAbbreviation":"Applied Energy","language":"en","page":"120981","source":"DOI.org (Crossref)","title":"Direct and diffuse shading factors modelling for the most representative agrivoltaic system layouts","volume":"339","author":[{"family":"Zainali","given":"Sebastian"},{"family":"Ma Lu","given":"Silvia"},{"family":"Stridh","given":"Bengt"},{"family":"Avelin","given":"Anders"},{"family":"Amaducci","given":"Stefano"},{"family":"Colauzzi","given":"Michele"},{"family":"Campana","given":"Pietro Elia"}],"issued":{"date-parts":[["2023",6]]}}}],"schema":"https://github.com/citation-style-language/schema/raw/master/csl-citation.json"} </w:instrText>
      </w:r>
      <w:r w:rsidR="000034D1">
        <w:rPr>
          <w:rFonts w:ascii="Times New Roman" w:hAnsi="Times New Roman" w:cs="Times New Roman"/>
          <w:sz w:val="24"/>
          <w:szCs w:val="24"/>
        </w:rPr>
        <w:fldChar w:fldCharType="separate"/>
      </w:r>
      <w:r w:rsidR="000034D1" w:rsidRPr="000034D1">
        <w:rPr>
          <w:rFonts w:ascii="Calibri" w:hAnsi="Calibri" w:cs="Calibri"/>
          <w:sz w:val="24"/>
        </w:rPr>
        <w:t>(Zainali et al., 2023)</w:t>
      </w:r>
      <w:r w:rsidR="000034D1">
        <w:rPr>
          <w:rFonts w:ascii="Times New Roman" w:hAnsi="Times New Roman" w:cs="Times New Roman"/>
          <w:sz w:val="24"/>
          <w:szCs w:val="24"/>
        </w:rPr>
        <w:fldChar w:fldCharType="end"/>
      </w:r>
      <w:r w:rsidRPr="00DB6DD1">
        <w:rPr>
          <w:rFonts w:ascii="Times New Roman" w:hAnsi="Times New Roman" w:cs="Times New Roman"/>
          <w:sz w:val="24"/>
          <w:szCs w:val="24"/>
        </w:rPr>
        <w:t>, who validated this formulation against direct measurements across six agrivoltaic layouts:</w:t>
      </w:r>
    </w:p>
    <w:p w14:paraId="369C0FB5" w14:textId="77777777" w:rsidR="00DB6DD1" w:rsidRPr="00DB6DD1" w:rsidRDefault="00DB6DD1" w:rsidP="00DB6DD1">
      <w:pPr>
        <w:spacing w:line="360" w:lineRule="auto"/>
        <w:jc w:val="both"/>
        <w:rPr>
          <w:rFonts w:ascii="Times New Roman" w:hAnsi="Times New Roman" w:cs="Times New Roman"/>
          <w:sz w:val="24"/>
          <w:szCs w:val="24"/>
        </w:rPr>
      </w:pPr>
    </w:p>
    <w:p w14:paraId="2C03E564" w14:textId="21D7DD47" w:rsidR="00DB6DD1" w:rsidRPr="005345A2" w:rsidRDefault="00533732" w:rsidP="00DB6DD1">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F</m:t>
                  </m:r>
                </m:e>
                <m:sub>
                  <m:r>
                    <m:rPr>
                      <m:sty m:val="p"/>
                    </m:rPr>
                    <w:rPr>
                      <w:rFonts w:ascii="Cambria Math" w:eastAsia="Cambria Math" w:hAnsi="Cambria Math" w:cs="Times New Roman"/>
                      <w:sz w:val="24"/>
                      <w:szCs w:val="24"/>
                    </w:rPr>
                    <m:t>shad</m:t>
                  </m:r>
                  <m:d>
                    <m:dPr>
                      <m:ctrlPr>
                        <w:rPr>
                          <w:rFonts w:ascii="Cambria Math" w:eastAsia="Cambria Math" w:hAnsi="Cambria Math" w:cs="Times New Roman"/>
                          <w:sz w:val="24"/>
                          <w:szCs w:val="24"/>
                        </w:rPr>
                      </m:ctrlPr>
                    </m:dPr>
                    <m:e>
                      <m:r>
                        <m:rPr>
                          <m:sty m:val="p"/>
                        </m:rPr>
                        <w:rPr>
                          <w:rFonts w:ascii="Cambria Math" w:eastAsia="Cambria Math" w:hAnsi="Cambria Math" w:cs="Times New Roman"/>
                          <w:sz w:val="24"/>
                          <w:szCs w:val="24"/>
                        </w:rPr>
                        <m:t>t</m:t>
                      </m:r>
                    </m:e>
                  </m:d>
                </m:sub>
              </m:sSub>
              <m:r>
                <m:rPr>
                  <m:sty m:val="p"/>
                </m:rPr>
                <w:rPr>
                  <w:rFonts w:ascii="Cambria Math" w:eastAsia="Cambria Math" w:hAnsi="Cambria Math" w:cs="Times New Roman"/>
                  <w:sz w:val="24"/>
                  <w:szCs w:val="24"/>
                </w:rPr>
                <m:t>=</m:t>
              </m:r>
              <m:func>
                <m:funcPr>
                  <m:ctrlPr>
                    <w:rPr>
                      <w:rFonts w:ascii="Cambria Math" w:eastAsia="Cambria Math" w:hAnsi="Cambria Math" w:cs="Times New Roman"/>
                      <w:sz w:val="24"/>
                      <w:szCs w:val="24"/>
                    </w:rPr>
                  </m:ctrlPr>
                </m:funcPr>
                <m:fName>
                  <m:r>
                    <m:rPr>
                      <m:sty m:val="p"/>
                    </m:rPr>
                    <w:rPr>
                      <w:rFonts w:ascii="Cambria Math" w:eastAsia="Cambria Math" w:hAnsi="Cambria Math" w:cs="Times New Roman"/>
                      <w:sz w:val="24"/>
                      <w:szCs w:val="24"/>
                    </w:rPr>
                    <m:t>min</m:t>
                  </m:r>
                </m:fName>
                <m:e>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f>
                        <m:fPr>
                          <m:ctrlPr>
                            <w:rPr>
                              <w:rFonts w:ascii="Cambria Math" w:eastAsia="Cambria Math" w:hAnsi="Cambria Math" w:cs="Times New Roman"/>
                              <w:sz w:val="24"/>
                              <w:szCs w:val="24"/>
                            </w:rPr>
                          </m:ctrlPr>
                        </m:fPr>
                        <m:num>
                          <m:r>
                            <m:rPr>
                              <m:sty m:val="p"/>
                            </m:rPr>
                            <w:rPr>
                              <w:rFonts w:ascii="Cambria Math" w:eastAsia="Cambria Math" w:hAnsi="Cambria Math" w:cs="Times New Roman"/>
                              <w:sz w:val="24"/>
                              <w:szCs w:val="24"/>
                            </w:rPr>
                            <m:t xml:space="preserve"> </m:t>
                          </m:r>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H</m:t>
                              </m:r>
                            </m:e>
                            <m:sub>
                              <m:r>
                                <m:rPr>
                                  <m:sty m:val="p"/>
                                </m:rPr>
                                <w:rPr>
                                  <w:rFonts w:ascii="Cambria Math" w:eastAsia="Cambria Math" w:hAnsi="Cambria Math" w:cs="Times New Roman"/>
                                  <w:sz w:val="24"/>
                                  <w:szCs w:val="24"/>
                                </w:rPr>
                                <m:t>m</m:t>
                              </m:r>
                            </m:sub>
                          </m:sSub>
                          <m:r>
                            <m:rPr>
                              <m:sty m:val="p"/>
                            </m:rPr>
                            <w:rPr>
                              <w:rFonts w:ascii="Cambria Math" w:eastAsia="Cambria Math" w:hAnsi="Cambria Math" w:cs="Times New Roman"/>
                              <w:sz w:val="24"/>
                              <w:szCs w:val="24"/>
                            </w:rPr>
                            <m:t>×</m:t>
                          </m:r>
                          <m:func>
                            <m:funcPr>
                              <m:ctrlPr>
                                <w:rPr>
                                  <w:rFonts w:ascii="Cambria Math" w:eastAsia="Cambria Math" w:hAnsi="Cambria Math" w:cs="Times New Roman"/>
                                  <w:sz w:val="24"/>
                                  <w:szCs w:val="24"/>
                                </w:rPr>
                              </m:ctrlPr>
                            </m:funcPr>
                            <m:fName>
                              <m:r>
                                <m:rPr>
                                  <m:sty m:val="p"/>
                                </m:rPr>
                                <w:rPr>
                                  <w:rFonts w:ascii="Cambria Math" w:eastAsia="Cambria Math" w:hAnsi="Cambria Math" w:cs="Times New Roman"/>
                                  <w:sz w:val="24"/>
                                  <w:szCs w:val="24"/>
                                </w:rPr>
                                <m:t>cos</m:t>
                              </m:r>
                            </m:fName>
                            <m:e>
                              <m:d>
                                <m:dPr>
                                  <m:ctrlPr>
                                    <w:rPr>
                                      <w:rFonts w:ascii="Cambria Math" w:eastAsia="Cambria Math" w:hAnsi="Cambria Math" w:cs="Times New Roman"/>
                                      <w:sz w:val="24"/>
                                      <w:szCs w:val="24"/>
                                    </w:rPr>
                                  </m:ctrlPr>
                                </m:dPr>
                                <m:e>
                                  <m:r>
                                    <m:rPr>
                                      <m:sty m:val="p"/>
                                    </m:rPr>
                                    <w:rPr>
                                      <w:rFonts w:ascii="Cambria Math" w:eastAsia="Cambria Math" w:hAnsi="Cambria Math" w:cs="Times New Roman"/>
                                      <w:sz w:val="24"/>
                                      <w:szCs w:val="24"/>
                                    </w:rPr>
                                    <m:t>Δγ</m:t>
                                  </m:r>
                                </m:e>
                              </m:d>
                            </m:e>
                          </m:func>
                        </m:num>
                        <m:den>
                          <m:r>
                            <m:rPr>
                              <m:sty m:val="p"/>
                            </m:rPr>
                            <w:rPr>
                              <w:rFonts w:ascii="Cambria Math" w:eastAsia="Cambria Math" w:hAnsi="Cambria Math" w:cs="Times New Roman"/>
                              <w:sz w:val="24"/>
                              <w:szCs w:val="24"/>
                            </w:rPr>
                            <m:t>ro</m:t>
                          </m:r>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w</m:t>
                              </m:r>
                            </m:e>
                            <m:sub>
                              <m:r>
                                <m:rPr>
                                  <m:sty m:val="p"/>
                                </m:rPr>
                                <w:rPr>
                                  <w:rFonts w:ascii="Cambria Math" w:eastAsia="Cambria Math" w:hAnsi="Cambria Math" w:cs="Times New Roman"/>
                                  <w:sz w:val="24"/>
                                  <w:szCs w:val="24"/>
                                </w:rPr>
                                <m:t>spacing</m:t>
                              </m:r>
                            </m:sub>
                          </m:sSub>
                          <m:r>
                            <m:rPr>
                              <m:sty m:val="p"/>
                            </m:rPr>
                            <w:rPr>
                              <w:rFonts w:ascii="Cambria Math" w:eastAsia="Cambria Math" w:hAnsi="Cambria Math" w:cs="Times New Roman"/>
                              <w:sz w:val="24"/>
                              <w:szCs w:val="24"/>
                            </w:rPr>
                            <m:t>×</m:t>
                          </m:r>
                          <m:func>
                            <m:funcPr>
                              <m:ctrlPr>
                                <w:rPr>
                                  <w:rFonts w:ascii="Cambria Math" w:eastAsia="Cambria Math" w:hAnsi="Cambria Math" w:cs="Times New Roman"/>
                                  <w:sz w:val="24"/>
                                  <w:szCs w:val="24"/>
                                </w:rPr>
                              </m:ctrlPr>
                            </m:funcPr>
                            <m:fName>
                              <m:r>
                                <m:rPr>
                                  <m:sty m:val="p"/>
                                </m:rPr>
                                <w:rPr>
                                  <w:rFonts w:ascii="Cambria Math" w:eastAsia="Cambria Math" w:hAnsi="Cambria Math" w:cs="Times New Roman"/>
                                  <w:sz w:val="24"/>
                                  <w:szCs w:val="24"/>
                                </w:rPr>
                                <m:t>tan</m:t>
                              </m:r>
                            </m:fName>
                            <m:e>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α</m:t>
                                      </m:r>
                                    </m:e>
                                    <m:sub>
                                      <m:r>
                                        <m:rPr>
                                          <m:sty m:val="p"/>
                                        </m:rPr>
                                        <w:rPr>
                                          <w:rFonts w:ascii="Cambria Math" w:eastAsia="Cambria Math" w:hAnsi="Cambria Math" w:cs="Times New Roman"/>
                                          <w:sz w:val="24"/>
                                          <w:szCs w:val="24"/>
                                        </w:rPr>
                                        <m:t>s</m:t>
                                      </m:r>
                                    </m:sub>
                                  </m:sSub>
                                </m:e>
                              </m:d>
                            </m:e>
                          </m:func>
                        </m:den>
                      </m:f>
                    </m:e>
                  </m:d>
                </m:e>
              </m:func>
              <m:r>
                <w:rPr>
                  <w:rFonts w:ascii="Cambria Math" w:eastAsia="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6</m:t>
                  </m:r>
                </m:e>
              </m:d>
              <m:ctrlPr>
                <w:rPr>
                  <w:rFonts w:ascii="Cambria Math" w:eastAsia="Cambria Math" w:hAnsi="Cambria Math" w:cs="Times New Roman"/>
                  <w:i/>
                  <w:sz w:val="24"/>
                  <w:szCs w:val="24"/>
                </w:rPr>
              </m:ctrlPr>
            </m:e>
          </m:eqArr>
        </m:oMath>
      </m:oMathPara>
    </w:p>
    <w:p w14:paraId="3C0347CE" w14:textId="77777777" w:rsidR="00EF7215" w:rsidRDefault="00EF7215" w:rsidP="00DB6DD1">
      <w:pPr>
        <w:spacing w:line="360" w:lineRule="auto"/>
        <w:jc w:val="both"/>
        <w:rPr>
          <w:rFonts w:ascii="Times New Roman" w:hAnsi="Times New Roman" w:cs="Times New Roman"/>
          <w:sz w:val="24"/>
          <w:szCs w:val="24"/>
        </w:rPr>
      </w:pPr>
    </w:p>
    <w:p w14:paraId="2C83EB38" w14:textId="6664970A"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oMath>
      <w:r w:rsidRPr="00DB6DD1">
        <w:rPr>
          <w:rFonts w:ascii="Times New Roman" w:hAnsi="Times New Roman" w:cs="Times New Roman"/>
          <w:sz w:val="24"/>
          <w:szCs w:val="24"/>
        </w:rPr>
        <w:t xml:space="preserve"> is the module bottom-edge height above ground in </w:t>
      </w:r>
      <w:r w:rsidR="0022008F" w:rsidRPr="00DB6DD1">
        <w:rPr>
          <w:rFonts w:ascii="Times New Roman" w:hAnsi="Times New Roman" w:cs="Times New Roman"/>
          <w:sz w:val="24"/>
          <w:szCs w:val="24"/>
        </w:rPr>
        <w:t>meters</w:t>
      </w:r>
      <w:r w:rsidRPr="00DB6DD1">
        <w:rPr>
          <w:rFonts w:ascii="Times New Roman" w:hAnsi="Times New Roman" w:cs="Times New Roman"/>
          <w:sz w:val="24"/>
          <w:szCs w:val="24"/>
        </w:rPr>
        <w:t xml:space="preserve">, </w:t>
      </w:r>
      <m:oMath>
        <m:r>
          <w:rPr>
            <w:rFonts w:ascii="Cambria Math" w:hAnsi="Cambria Math" w:cs="Times New Roman"/>
            <w:sz w:val="24"/>
            <w:szCs w:val="24"/>
          </w:rPr>
          <m:t>Δγ</m:t>
        </m:r>
      </m:oMath>
      <w:r w:rsidRPr="00DB6DD1">
        <w:rPr>
          <w:rFonts w:ascii="Times New Roman" w:hAnsi="Times New Roman" w:cs="Times New Roman"/>
          <w:sz w:val="24"/>
          <w:szCs w:val="24"/>
        </w:rPr>
        <w:t xml:space="preserve"> is the azimuth difference between the sun's direction and the row orientation, and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row</m:t>
            </m:r>
          </m:sub>
        </m:sSub>
      </m:oMath>
      <w:r w:rsidRPr="00DB6DD1">
        <w:rPr>
          <w:rFonts w:ascii="Times New Roman" w:hAnsi="Times New Roman" w:cs="Times New Roman"/>
          <w:sz w:val="24"/>
          <w:szCs w:val="24"/>
        </w:rPr>
        <w:t xml:space="preserve"> is the row pitch in </w:t>
      </w:r>
      <w:r w:rsidR="0022008F" w:rsidRPr="00DB6DD1">
        <w:rPr>
          <w:rFonts w:ascii="Times New Roman" w:hAnsi="Times New Roman" w:cs="Times New Roman"/>
          <w:sz w:val="24"/>
          <w:szCs w:val="24"/>
        </w:rPr>
        <w:t>meters</w:t>
      </w:r>
      <w:r w:rsidRPr="00DB6DD1">
        <w:rPr>
          <w:rFonts w:ascii="Times New Roman" w:hAnsi="Times New Roman" w:cs="Times New Roman"/>
          <w:sz w:val="24"/>
          <w:szCs w:val="24"/>
        </w:rPr>
        <w:t>. The expression is clipped to a maximum of 1.0 to prevent non-physical values at very low solar elevation angles near sunrise and sunset.</w:t>
      </w:r>
    </w:p>
    <w:p w14:paraId="5BE39E88" w14:textId="77777777" w:rsidR="00DB6DD1" w:rsidRPr="00DB6DD1" w:rsidRDefault="00DB6DD1" w:rsidP="00DB6DD1">
      <w:pPr>
        <w:spacing w:line="360" w:lineRule="auto"/>
        <w:jc w:val="both"/>
        <w:rPr>
          <w:rFonts w:ascii="Times New Roman" w:hAnsi="Times New Roman" w:cs="Times New Roman"/>
          <w:sz w:val="24"/>
          <w:szCs w:val="24"/>
        </w:rPr>
      </w:pPr>
    </w:p>
    <w:p w14:paraId="789B1BCE" w14:textId="645ED5BB"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3.4. Photovoltaic energy model</w:t>
      </w:r>
    </w:p>
    <w:p w14:paraId="5614AFDC" w14:textId="33803AE8"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3.4.1. Plane-of-array irradiance</w:t>
      </w:r>
    </w:p>
    <w:p w14:paraId="3633C845" w14:textId="1D51BC3E" w:rsidR="00DB6DD1" w:rsidRPr="00DB6DD1" w:rsidRDefault="00DB6DD1" w:rsidP="00A41304">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Unlike simplified approaches that apply a fixed beam-to-diffuse fraction to GHI, this study uses the direct DNI and DHI columns from the PVGIS-SARAH2 files. Plane-of-array irradiance is decomposed into three components following the isotropic sky model of </w:t>
      </w:r>
      <w:r w:rsidRPr="00406D0A">
        <w:rPr>
          <w:rFonts w:ascii="Times New Roman" w:hAnsi="Times New Roman" w:cs="Times New Roman"/>
          <w:sz w:val="24"/>
          <w:szCs w:val="24"/>
        </w:rPr>
        <w:t>Liu and Jordan (1960)</w:t>
      </w:r>
      <w:r w:rsidR="0010733D" w:rsidRPr="00406D0A">
        <w:rPr>
          <w:rFonts w:ascii="Times New Roman" w:hAnsi="Times New Roman" w:cs="Times New Roman"/>
          <w:sz w:val="24"/>
          <w:szCs w:val="24"/>
        </w:rPr>
        <w:t xml:space="preserve"> </w:t>
      </w:r>
      <w:r w:rsidR="00D84F70">
        <w:rPr>
          <w:rFonts w:ascii="Times New Roman" w:hAnsi="Times New Roman" w:cs="Times New Roman"/>
          <w:color w:val="FF0000"/>
          <w:sz w:val="24"/>
          <w:szCs w:val="24"/>
        </w:rPr>
        <w:fldChar w:fldCharType="begin"/>
      </w:r>
      <w:r w:rsidR="00D84F70">
        <w:rPr>
          <w:rFonts w:ascii="Times New Roman" w:hAnsi="Times New Roman" w:cs="Times New Roman"/>
          <w:color w:val="FF0000"/>
          <w:sz w:val="24"/>
          <w:szCs w:val="24"/>
        </w:rPr>
        <w:instrText xml:space="preserve"> ADDIN ZOTERO_ITEM CSL_CITATION {"citationID":"lE6IbT8G","properties":{"unsorted":false,"formattedCitation":"(Liu &amp; Jordan, n.d.)","plainCitation":"(Liu &amp; Jordan, n.d.)","noteIndex":0},"citationItems":[{"id":142,"uris":["http://zotero.org/users/local/i6bXxmSk/items/6FZR5E9S"],"itemData":{"id":142,"type":"article-journal","language":"en","source":"Zotero","title":"Characteristic Distribution Total Solar Radiation","author":[{"family":"Liu","given":"Benjamin Y H"},{"family":"Jordan","given":"Richard C"}]}}],"schema":"https://github.com/citation-style-language/schema/raw/master/csl-citation.json"} </w:instrText>
      </w:r>
      <w:r w:rsidR="00D84F70">
        <w:rPr>
          <w:rFonts w:ascii="Times New Roman" w:hAnsi="Times New Roman" w:cs="Times New Roman"/>
          <w:color w:val="FF0000"/>
          <w:sz w:val="24"/>
          <w:szCs w:val="24"/>
        </w:rPr>
        <w:fldChar w:fldCharType="separate"/>
      </w:r>
      <w:r w:rsidR="00D84F70" w:rsidRPr="00D84F70">
        <w:rPr>
          <w:rFonts w:ascii="Calibri" w:hAnsi="Calibri" w:cs="Calibri"/>
          <w:sz w:val="24"/>
        </w:rPr>
        <w:t>(Liu &amp; Jordan, n.d.)</w:t>
      </w:r>
      <w:r w:rsidR="00D84F70">
        <w:rPr>
          <w:rFonts w:ascii="Times New Roman" w:hAnsi="Times New Roman" w:cs="Times New Roman"/>
          <w:color w:val="FF0000"/>
          <w:sz w:val="24"/>
          <w:szCs w:val="24"/>
        </w:rPr>
        <w:fldChar w:fldCharType="end"/>
      </w:r>
      <w:r w:rsidRPr="00DB6DD1">
        <w:rPr>
          <w:rFonts w:ascii="Times New Roman" w:hAnsi="Times New Roman" w:cs="Times New Roman"/>
          <w:sz w:val="24"/>
          <w:szCs w:val="24"/>
        </w:rPr>
        <w:t>:</w:t>
      </w:r>
    </w:p>
    <w:p w14:paraId="62432E06" w14:textId="1D1973F1" w:rsidR="00DB6DD1" w:rsidRPr="00A41304" w:rsidRDefault="00533732" w:rsidP="00DB6DD1">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G</m:t>
                  </m:r>
                </m:e>
                <m:sub>
                  <m:r>
                    <m:rPr>
                      <m:sty m:val="p"/>
                    </m:rPr>
                    <w:rPr>
                      <w:rFonts w:ascii="Cambria Math" w:eastAsia="Cambria Math" w:hAnsi="Cambria Math" w:cs="Times New Roman"/>
                      <w:sz w:val="24"/>
                      <w:szCs w:val="24"/>
                    </w:rPr>
                    <m:t>front</m:t>
                  </m:r>
                </m:sub>
              </m:sSub>
              <m:r>
                <m:rPr>
                  <m:sty m:val="p"/>
                </m:rPr>
                <w:rPr>
                  <w:rFonts w:ascii="Cambria Math" w:eastAsia="Cambria Math" w:hAnsi="Cambria Math" w:cs="Times New Roman"/>
                  <w:sz w:val="24"/>
                  <w:szCs w:val="24"/>
                </w:rPr>
                <m:t>= DNI ×</m:t>
              </m:r>
              <m:func>
                <m:funcPr>
                  <m:ctrlPr>
                    <w:rPr>
                      <w:rFonts w:ascii="Cambria Math" w:eastAsia="Cambria Math" w:hAnsi="Cambria Math" w:cs="Times New Roman"/>
                      <w:sz w:val="24"/>
                      <w:szCs w:val="24"/>
                    </w:rPr>
                  </m:ctrlPr>
                </m:funcPr>
                <m:fName>
                  <m:r>
                    <m:rPr>
                      <m:sty m:val="p"/>
                    </m:rPr>
                    <w:rPr>
                      <w:rFonts w:ascii="Cambria Math" w:eastAsia="Cambria Math" w:hAnsi="Cambria Math" w:cs="Times New Roman"/>
                      <w:sz w:val="24"/>
                      <w:szCs w:val="24"/>
                    </w:rPr>
                    <m:t>cos</m:t>
                  </m:r>
                </m:fName>
                <m:e>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θ</m:t>
                          </m:r>
                        </m:e>
                        <m:sub>
                          <m:r>
                            <m:rPr>
                              <m:sty m:val="p"/>
                            </m:rPr>
                            <w:rPr>
                              <w:rFonts w:ascii="Cambria Math" w:eastAsia="Cambria Math" w:hAnsi="Cambria Math" w:cs="Times New Roman"/>
                              <w:sz w:val="24"/>
                              <w:szCs w:val="24"/>
                            </w:rPr>
                            <m:t>i</m:t>
                          </m:r>
                        </m:sub>
                      </m:sSub>
                    </m:e>
                  </m:d>
                </m:e>
              </m:func>
              <m:r>
                <m:rPr>
                  <m:sty m:val="p"/>
                </m:rPr>
                <w:rPr>
                  <w:rFonts w:ascii="Cambria Math" w:eastAsia="Cambria Math" w:hAnsi="Cambria Math" w:cs="Times New Roman"/>
                  <w:sz w:val="24"/>
                  <w:szCs w:val="24"/>
                </w:rPr>
                <m:t>+ DHI ×</m:t>
              </m:r>
              <m:f>
                <m:fPr>
                  <m:ctrlPr>
                    <w:rPr>
                      <w:rFonts w:ascii="Cambria Math" w:eastAsia="Cambria Math" w:hAnsi="Cambria Math" w:cs="Times New Roman"/>
                      <w:sz w:val="24"/>
                      <w:szCs w:val="24"/>
                    </w:rPr>
                  </m:ctrlPr>
                </m:fPr>
                <m:num>
                  <m:r>
                    <m:rPr>
                      <m:sty m:val="p"/>
                    </m:rPr>
                    <w:rPr>
                      <w:rFonts w:ascii="Cambria Math" w:eastAsia="Cambria Math" w:hAnsi="Cambria Math" w:cs="Times New Roman"/>
                      <w:sz w:val="24"/>
                      <w:szCs w:val="24"/>
                    </w:rPr>
                    <m:t>1 + cosβ</m:t>
                  </m:r>
                </m:num>
                <m:den>
                  <m:r>
                    <m:rPr>
                      <m:sty m:val="p"/>
                    </m:rPr>
                    <w:rPr>
                      <w:rFonts w:ascii="Cambria Math" w:eastAsia="Cambria Math" w:hAnsi="Cambria Math" w:cs="Times New Roman"/>
                      <w:sz w:val="24"/>
                      <w:szCs w:val="24"/>
                    </w:rPr>
                    <m:t>2</m:t>
                  </m:r>
                </m:den>
              </m:f>
              <m:r>
                <m:rPr>
                  <m:sty m:val="p"/>
                </m:rPr>
                <w:rPr>
                  <w:rFonts w:ascii="Cambria Math" w:eastAsia="Cambria Math" w:hAnsi="Cambria Math" w:cs="Times New Roman"/>
                  <w:sz w:val="24"/>
                  <w:szCs w:val="24"/>
                </w:rPr>
                <m:t xml:space="preserve">+ GHI × </m:t>
              </m:r>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ρ</m:t>
                  </m:r>
                </m:e>
                <m:sub>
                  <m:r>
                    <m:rPr>
                      <m:sty m:val="p"/>
                    </m:rPr>
                    <w:rPr>
                      <w:rFonts w:ascii="Cambria Math" w:eastAsia="Cambria Math" w:hAnsi="Cambria Math" w:cs="Times New Roman"/>
                      <w:sz w:val="24"/>
                      <w:szCs w:val="24"/>
                    </w:rPr>
                    <m:t>g</m:t>
                  </m:r>
                </m:sub>
              </m:sSub>
              <m:r>
                <m:rPr>
                  <m:sty m:val="p"/>
                </m:rP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m:rPr>
                      <m:sty m:val="p"/>
                    </m:rPr>
                    <w:rPr>
                      <w:rFonts w:ascii="Cambria Math" w:eastAsia="Cambria Math" w:hAnsi="Cambria Math" w:cs="Times New Roman"/>
                      <w:sz w:val="24"/>
                      <w:szCs w:val="24"/>
                    </w:rPr>
                    <m:t>1 - cosβ</m:t>
                  </m:r>
                </m:num>
                <m:den>
                  <m:r>
                    <m:rPr>
                      <m:sty m:val="p"/>
                    </m:rPr>
                    <w:rPr>
                      <w:rFonts w:ascii="Cambria Math" w:eastAsia="Cambria Math" w:hAnsi="Cambria Math" w:cs="Times New Roman"/>
                      <w:sz w:val="24"/>
                      <w:szCs w:val="24"/>
                    </w:rPr>
                    <m:t>2</m:t>
                  </m:r>
                </m:den>
              </m:f>
              <m:r>
                <w:rPr>
                  <w:rFonts w:ascii="Cambria Math" w:eastAsia="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m:t>
                  </m:r>
                </m:e>
              </m:d>
              <m:ctrlPr>
                <w:rPr>
                  <w:rFonts w:ascii="Cambria Math" w:eastAsia="Cambria Math" w:hAnsi="Cambria Math" w:cs="Times New Roman"/>
                  <w:i/>
                  <w:sz w:val="24"/>
                  <w:szCs w:val="24"/>
                </w:rPr>
              </m:ctrlPr>
            </m:e>
          </m:eqArr>
        </m:oMath>
      </m:oMathPara>
    </w:p>
    <w:p w14:paraId="0EE4C597" w14:textId="774F1FA8" w:rsid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oMath>
      <w:r w:rsidRPr="00DB6DD1">
        <w:rPr>
          <w:rFonts w:ascii="Times New Roman" w:hAnsi="Times New Roman" w:cs="Times New Roman"/>
          <w:sz w:val="24"/>
          <w:szCs w:val="24"/>
        </w:rPr>
        <w:t xml:space="preserve"> is the angle of incidence on the tilted panel surface, </w:t>
      </w:r>
      <m:oMath>
        <m:r>
          <w:rPr>
            <w:rFonts w:ascii="Cambria Math" w:hAnsi="Cambria Math" w:cs="Times New Roman"/>
            <w:sz w:val="24"/>
            <w:szCs w:val="24"/>
          </w:rPr>
          <m:t>β</m:t>
        </m:r>
      </m:oMath>
      <w:r w:rsidRPr="00DB6DD1">
        <w:rPr>
          <w:rFonts w:ascii="Times New Roman" w:hAnsi="Times New Roman" w:cs="Times New Roman"/>
          <w:sz w:val="24"/>
          <w:szCs w:val="24"/>
        </w:rPr>
        <w:t xml:space="preserve"> is the tilt angle, and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g</m:t>
            </m:r>
          </m:sub>
        </m:sSub>
        <m:r>
          <w:rPr>
            <w:rFonts w:ascii="Cambria Math" w:hAnsi="Cambria Math" w:cs="Times New Roman"/>
            <w:sz w:val="24"/>
            <w:szCs w:val="24"/>
          </w:rPr>
          <m:t>= 0.25</m:t>
        </m:r>
      </m:oMath>
      <w:r w:rsidRPr="00DB6DD1">
        <w:rPr>
          <w:rFonts w:ascii="Times New Roman" w:hAnsi="Times New Roman" w:cs="Times New Roman"/>
          <w:sz w:val="24"/>
          <w:szCs w:val="24"/>
        </w:rPr>
        <w:t xml:space="preserve"> is the ground albedo for agricultural soil </w:t>
      </w:r>
      <w:r w:rsidR="00DC19DD">
        <w:rPr>
          <w:rFonts w:ascii="Times New Roman" w:hAnsi="Times New Roman" w:cs="Times New Roman"/>
          <w:sz w:val="24"/>
          <w:szCs w:val="24"/>
        </w:rPr>
        <w:fldChar w:fldCharType="begin"/>
      </w:r>
      <w:r w:rsidR="00DC19DD">
        <w:rPr>
          <w:rFonts w:ascii="Times New Roman" w:hAnsi="Times New Roman" w:cs="Times New Roman"/>
          <w:sz w:val="24"/>
          <w:szCs w:val="24"/>
        </w:rPr>
        <w:instrText xml:space="preserve"> ADDIN ZOTERO_ITEM CSL_CITATION {"citationID":"aPsmcWN6","properties":{"unsorted":false,"formattedCitation":"(Monteith &amp; Unsworth, 2008)","plainCitation":"(Monteith &amp; Unsworth, 2008)","noteIndex":0},"citationItems":[{"id":152,"uris":["http://zotero.org/users/local/i6bXxmSk/items/I7GSLSN8"],"itemData":{"id":152,"type":"book","call-number":"QH505 .M58 2008","edition":"3rd ed","ISBN":"978-0-12-505103-3","language":"en","number-of-pages":"418","publisher":"Elsevier","publisher-place":"Amsterdam ; Boston","source":"Library of Congress ISBN","title":"Principles of environmental physics","author":[{"family":"Monteith","given":"John Lennox"},{"family":"Unsworth","given":"M. H."}],"issued":{"date-parts":[["2008"]]}}}],"schema":"https://github.com/citation-style-language/schema/raw/master/csl-citation.json"} </w:instrText>
      </w:r>
      <w:r w:rsidR="00DC19DD">
        <w:rPr>
          <w:rFonts w:ascii="Times New Roman" w:hAnsi="Times New Roman" w:cs="Times New Roman"/>
          <w:sz w:val="24"/>
          <w:szCs w:val="24"/>
        </w:rPr>
        <w:fldChar w:fldCharType="separate"/>
      </w:r>
      <w:r w:rsidR="00DC19DD" w:rsidRPr="00DC19DD">
        <w:rPr>
          <w:rFonts w:ascii="Calibri" w:hAnsi="Calibri" w:cs="Calibri"/>
          <w:sz w:val="24"/>
        </w:rPr>
        <w:t>(Monteith &amp; Unsworth, 2008)</w:t>
      </w:r>
      <w:r w:rsidR="00DC19DD">
        <w:rPr>
          <w:rFonts w:ascii="Times New Roman" w:hAnsi="Times New Roman" w:cs="Times New Roman"/>
          <w:sz w:val="24"/>
          <w:szCs w:val="24"/>
        </w:rPr>
        <w:fldChar w:fldCharType="end"/>
      </w:r>
      <w:r w:rsidRPr="00DB6DD1">
        <w:rPr>
          <w:rFonts w:ascii="Times New Roman" w:hAnsi="Times New Roman" w:cs="Times New Roman"/>
          <w:sz w:val="24"/>
          <w:szCs w:val="24"/>
        </w:rPr>
        <w:t>.</w:t>
      </w:r>
      <w:r w:rsidR="00317CE8">
        <w:rPr>
          <w:rFonts w:ascii="Times New Roman" w:hAnsi="Times New Roman" w:cs="Times New Roman"/>
          <w:sz w:val="24"/>
          <w:szCs w:val="24"/>
        </w:rPr>
        <w:t xml:space="preserve"> </w:t>
      </w:r>
      <w:r w:rsidRPr="00DB6DD1">
        <w:rPr>
          <w:rFonts w:ascii="Times New Roman" w:hAnsi="Times New Roman" w:cs="Times New Roman"/>
          <w:sz w:val="24"/>
          <w:szCs w:val="24"/>
        </w:rPr>
        <w:t>For bifacial modules (</w:t>
      </w:r>
      <w:r w:rsidR="00317CE8" w:rsidRPr="00DB6DD1">
        <w:rPr>
          <w:rFonts w:ascii="Times New Roman" w:hAnsi="Times New Roman" w:cs="Times New Roman"/>
          <w:sz w:val="24"/>
          <w:szCs w:val="24"/>
        </w:rPr>
        <w:t>Bifaciality</w:t>
      </w:r>
      <w:r w:rsidRPr="00DB6DD1">
        <w:rPr>
          <w:rFonts w:ascii="Times New Roman" w:hAnsi="Times New Roman" w:cs="Times New Roman"/>
          <w:sz w:val="24"/>
          <w:szCs w:val="24"/>
        </w:rPr>
        <w:t xml:space="preserve"> factor </w:t>
      </w:r>
      <m:oMath>
        <m:r>
          <w:rPr>
            <w:rFonts w:ascii="Cambria Math" w:hAnsi="Cambria Math" w:cs="Times New Roman"/>
            <w:sz w:val="24"/>
            <w:szCs w:val="24"/>
          </w:rPr>
          <m:t>ϕ = 0.70</m:t>
        </m:r>
      </m:oMath>
      <w:r w:rsidRPr="00DB6DD1">
        <w:rPr>
          <w:rFonts w:ascii="Times New Roman" w:hAnsi="Times New Roman" w:cs="Times New Roman"/>
          <w:sz w:val="24"/>
          <w:szCs w:val="24"/>
        </w:rPr>
        <w:t>), the rear surface receives diffuse sky radiation on its underside plus ground-reflected radiation. The effective plane-of-array irradiance combining both sides is:</w:t>
      </w:r>
    </w:p>
    <w:p w14:paraId="212F92A1" w14:textId="77777777" w:rsidR="00EF7215" w:rsidRPr="00DB6DD1" w:rsidRDefault="00EF7215" w:rsidP="00DB6DD1">
      <w:pPr>
        <w:spacing w:line="360" w:lineRule="auto"/>
        <w:jc w:val="both"/>
        <w:rPr>
          <w:rFonts w:ascii="Times New Roman" w:hAnsi="Times New Roman" w:cs="Times New Roman"/>
          <w:sz w:val="24"/>
          <w:szCs w:val="24"/>
        </w:rPr>
      </w:pPr>
    </w:p>
    <w:p w14:paraId="7D32F997" w14:textId="77777777" w:rsidR="003403FD" w:rsidRPr="006217F4" w:rsidRDefault="00533732" w:rsidP="003403FD">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eff</m:t>
                  </m:r>
                </m:sub>
              </m:sSub>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front</m:t>
                  </m:r>
                </m:sub>
              </m:sSub>
              <m:r>
                <w:rPr>
                  <w:rFonts w:ascii="Cambria Math" w:eastAsia="Cambria Math" w:hAnsi="Cambria Math" w:cs="Times New Roman"/>
                  <w:sz w:val="24"/>
                  <w:szCs w:val="24"/>
                </w:rPr>
                <m:t xml:space="preserve">+ ϕ ×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rear</m:t>
                  </m:r>
                </m:sub>
              </m:sSub>
              <m:r>
                <w:rPr>
                  <w:rFonts w:ascii="Cambria Math" w:eastAsia="Cambria Math" w:hAnsi="Cambria Math" w:cs="Times New Roman"/>
                  <w:sz w:val="24"/>
                  <w:szCs w:val="24"/>
                </w:rPr>
                <m:t xml:space="preserve">× </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 xml:space="preserve">1 -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η</m:t>
                      </m:r>
                    </m:e>
                    <m:sub>
                      <m:r>
                        <w:rPr>
                          <w:rFonts w:ascii="Cambria Math" w:eastAsia="Cambria Math" w:hAnsi="Cambria Math" w:cs="Times New Roman"/>
                          <w:sz w:val="24"/>
                          <w:szCs w:val="24"/>
                        </w:rPr>
                        <m:t>loss</m:t>
                      </m:r>
                    </m:sub>
                  </m:sSub>
                </m:e>
              </m:d>
              <m:r>
                <w:rPr>
                  <w:rFonts w:ascii="Cambria Math" w:eastAsia="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8</m:t>
                  </m:r>
                </m:e>
              </m:d>
              <m:ctrlPr>
                <w:rPr>
                  <w:rFonts w:ascii="Cambria Math" w:eastAsia="Cambria Math" w:hAnsi="Cambria Math" w:cs="Times New Roman"/>
                  <w:i/>
                  <w:sz w:val="24"/>
                  <w:szCs w:val="24"/>
                </w:rPr>
              </m:ctrlPr>
            </m:e>
          </m:eqArr>
        </m:oMath>
      </m:oMathPara>
    </w:p>
    <w:p w14:paraId="4884F365" w14:textId="77777777" w:rsidR="00DB6DD1" w:rsidRPr="00DB6DD1" w:rsidRDefault="00DB6DD1" w:rsidP="00DB6DD1">
      <w:pPr>
        <w:spacing w:line="360" w:lineRule="auto"/>
        <w:jc w:val="both"/>
        <w:rPr>
          <w:rFonts w:ascii="Times New Roman" w:hAnsi="Times New Roman" w:cs="Times New Roman"/>
          <w:sz w:val="24"/>
          <w:szCs w:val="24"/>
        </w:rPr>
      </w:pPr>
    </w:p>
    <w:p w14:paraId="7FDC9151" w14:textId="41DF9E47"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lastRenderedPageBreak/>
        <w:t>3.4.2. Cell temperature and power output</w:t>
      </w:r>
    </w:p>
    <w:p w14:paraId="4BBFD0C7" w14:textId="0EDFACFB" w:rsidR="00DB6DD1" w:rsidRPr="00DB6DD1" w:rsidRDefault="00DB6DD1" w:rsidP="00317CE8">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Cell operating temperature is modelled using the Faiman (2008) approach, which is more appropriate for dynamic hourly simulation than the Nominal Operating Cell Temperature (NOCT) method because it explicitly accounts for wind-dependent convective cooling:</w:t>
      </w:r>
    </w:p>
    <w:p w14:paraId="18B941FB" w14:textId="77777777" w:rsidR="00DB6DD1" w:rsidRPr="00DB6DD1" w:rsidRDefault="00DB6DD1" w:rsidP="00DB6DD1">
      <w:pPr>
        <w:spacing w:line="360" w:lineRule="auto"/>
        <w:jc w:val="both"/>
        <w:rPr>
          <w:rFonts w:ascii="Times New Roman" w:hAnsi="Times New Roman" w:cs="Times New Roman"/>
          <w:sz w:val="24"/>
          <w:szCs w:val="24"/>
        </w:rPr>
      </w:pPr>
    </w:p>
    <w:p w14:paraId="217C210B" w14:textId="34CC2D2C" w:rsidR="00DB6DD1" w:rsidRPr="007260A3" w:rsidRDefault="00533732" w:rsidP="00DB6DD1">
      <w:pPr>
        <w:spacing w:line="360" w:lineRule="auto"/>
        <w:jc w:val="both"/>
        <w:rPr>
          <w:rFonts w:ascii="Times New Roman" w:eastAsiaTheme="minorEastAsia" w:hAnsi="Times New Roman" w:cs="Times New Roman"/>
          <w:sz w:val="24"/>
          <w:szCs w:val="24"/>
          <w:lang w:val="fr-FR"/>
        </w:rPr>
      </w:pPr>
      <m:oMathPara>
        <m:oMath>
          <m:eqArr>
            <m:eqArrPr>
              <m:maxDist m:val="1"/>
              <m:ctrlPr>
                <w:rPr>
                  <w:rFonts w:ascii="Cambria Math" w:hAnsi="Cambria Math" w:cs="Times New Roman"/>
                  <w:i/>
                  <w:sz w:val="24"/>
                  <w:szCs w:val="24"/>
                  <w:lang w:val="fr-FR"/>
                </w:rPr>
              </m:ctrlPr>
            </m:eqArr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cell</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r>
                <w:rPr>
                  <w:rFonts w:ascii="Cambria Math" w:eastAsia="Cambria Math" w:hAnsi="Cambria Math" w:cs="Times New Roman"/>
                  <w:sz w:val="24"/>
                  <w:szCs w:val="24"/>
                  <w:lang w:val="fr-FR"/>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amb</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r>
                <w:rPr>
                  <w:rFonts w:ascii="Cambria Math" w:eastAsia="Cambria Math" w:hAnsi="Cambria Math" w:cs="Times New Roman"/>
                  <w:sz w:val="24"/>
                  <w:szCs w:val="24"/>
                  <w:lang w:val="fr-FR"/>
                </w:rPr>
                <m:t>+</m:t>
              </m:r>
              <m:f>
                <m:fPr>
                  <m:ctrlPr>
                    <w:rPr>
                      <w:rFonts w:ascii="Cambria Math" w:eastAsia="Cambria Math" w:hAnsi="Cambria Math" w:cs="Times New Roman"/>
                      <w:i/>
                      <w:sz w:val="24"/>
                      <w:szCs w:val="24"/>
                      <w:lang w:val="fr-FR"/>
                    </w:rPr>
                  </m:ctrlPr>
                </m:fPr>
                <m:num>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G</m:t>
                      </m:r>
                    </m:e>
                    <m:sub>
                      <m:r>
                        <w:rPr>
                          <w:rFonts w:ascii="Cambria Math" w:eastAsia="Cambria Math" w:hAnsi="Cambria Math" w:cs="Times New Roman"/>
                          <w:sz w:val="24"/>
                          <w:szCs w:val="24"/>
                          <w:lang w:val="fr-FR"/>
                        </w:rPr>
                        <m:t>eff</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num>
                <m:den>
                  <m:d>
                    <m:dPr>
                      <m:ctrlPr>
                        <w:rPr>
                          <w:rFonts w:ascii="Cambria Math" w:eastAsia="Cambria Math" w:hAnsi="Cambria Math" w:cs="Times New Roman"/>
                          <w:i/>
                          <w:sz w:val="24"/>
                          <w:szCs w:val="24"/>
                          <w:lang w:val="fr-FR"/>
                        </w:rPr>
                      </m:ctrlPr>
                    </m:d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U</m:t>
                          </m:r>
                        </m:e>
                        <m:sub>
                          <m:r>
                            <w:rPr>
                              <w:rFonts w:ascii="Cambria Math" w:eastAsia="Cambria Math" w:hAnsi="Cambria Math" w:cs="Times New Roman"/>
                              <w:sz w:val="24"/>
                              <w:szCs w:val="24"/>
                              <w:lang w:val="fr-FR"/>
                            </w:rPr>
                            <m:t>0</m:t>
                          </m:r>
                        </m:sub>
                      </m:sSub>
                      <m:r>
                        <w:rPr>
                          <w:rFonts w:ascii="Cambria Math" w:eastAsia="Cambria Math" w:hAnsi="Cambria Math" w:cs="Times New Roman"/>
                          <w:sz w:val="24"/>
                          <w:szCs w:val="24"/>
                          <w:lang w:val="fr-FR"/>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U</m:t>
                          </m:r>
                        </m:e>
                        <m:sub>
                          <m:r>
                            <w:rPr>
                              <w:rFonts w:ascii="Cambria Math" w:eastAsia="Cambria Math" w:hAnsi="Cambria Math" w:cs="Times New Roman"/>
                              <w:sz w:val="24"/>
                              <w:szCs w:val="24"/>
                              <w:lang w:val="fr-FR"/>
                            </w:rPr>
                            <m:t>1</m:t>
                          </m:r>
                        </m:sub>
                      </m:sSub>
                      <m:r>
                        <w:rPr>
                          <w:rFonts w:ascii="Cambria Math" w:eastAsia="Cambria Math" w:hAnsi="Cambria Math" w:cs="Times New Roman"/>
                          <w:sz w:val="24"/>
                          <w:szCs w:val="24"/>
                          <w:lang w:val="fr-FR"/>
                        </w:rPr>
                        <m:t>× u</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e>
                  </m:d>
                </m:den>
              </m:f>
              <m:r>
                <w:rPr>
                  <w:rFonts w:ascii="Cambria Math" w:eastAsia="Cambria Math" w:hAnsi="Cambria Math" w:cs="Times New Roman"/>
                  <w:sz w:val="24"/>
                  <w:szCs w:val="24"/>
                  <w:lang w:val="fr-FR"/>
                </w:rPr>
                <m:t xml:space="preserve">   #</m:t>
              </m:r>
              <m:d>
                <m:dPr>
                  <m:ctrlPr>
                    <w:rPr>
                      <w:rFonts w:ascii="Cambria Math" w:hAnsi="Cambria Math" w:cs="Times New Roman"/>
                      <w:i/>
                      <w:sz w:val="24"/>
                      <w:szCs w:val="24"/>
                      <w:lang w:val="fr-FR"/>
                    </w:rPr>
                  </m:ctrlPr>
                </m:dPr>
                <m:e>
                  <m:r>
                    <w:rPr>
                      <w:rFonts w:ascii="Cambria Math" w:hAnsi="Cambria Math" w:cs="Times New Roman"/>
                      <w:sz w:val="24"/>
                      <w:szCs w:val="24"/>
                      <w:lang w:val="fr-FR"/>
                    </w:rPr>
                    <m:t>9</m:t>
                  </m:r>
                </m:e>
              </m:d>
              <m:ctrlPr>
                <w:rPr>
                  <w:rFonts w:ascii="Cambria Math" w:eastAsia="Cambria Math" w:hAnsi="Cambria Math" w:cs="Times New Roman"/>
                  <w:i/>
                  <w:sz w:val="24"/>
                  <w:szCs w:val="24"/>
                  <w:lang w:val="fr-FR"/>
                </w:rPr>
              </m:ctrlPr>
            </m:e>
          </m:eqArr>
        </m:oMath>
      </m:oMathPara>
    </w:p>
    <w:p w14:paraId="320C6815" w14:textId="6DBF03F1"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U₀ = 25 W/m²·K is the constant thermal loss coefficient and U₁ = 6.84 W·s/m³·K is the wind-dependent coefficient, both from Faiman </w:t>
      </w:r>
      <w:r w:rsidR="00A057C9">
        <w:rPr>
          <w:rFonts w:ascii="Times New Roman" w:hAnsi="Times New Roman" w:cs="Times New Roman"/>
          <w:sz w:val="24"/>
          <w:szCs w:val="24"/>
        </w:rPr>
        <w:fldChar w:fldCharType="begin"/>
      </w:r>
      <w:r w:rsidR="00A057C9">
        <w:rPr>
          <w:rFonts w:ascii="Times New Roman" w:hAnsi="Times New Roman" w:cs="Times New Roman"/>
          <w:sz w:val="24"/>
          <w:szCs w:val="24"/>
        </w:rPr>
        <w:instrText xml:space="preserve"> ADDIN ZOTERO_ITEM CSL_CITATION {"citationID":"MgVrS9dd","properties":{"unsorted":false,"formattedCitation":"(Faiman, 2008)","plainCitation":"(Faiman, 2008)","noteIndex":0},"citationItems":[{"id":101,"uris":["http://zotero.org/users/local/i6bXxmSk/items/7WFT7EEP"],"itemData":{"id":101,"type":"article-journal","abstract":"Abstract\n            By a careful study of data collected from seven varieties of photovoltaic (PV) module it is demonstrated that a simple modified form of the Hottel–Whillier–Bliss (HWB) equation, familiar from the analysis of flat‐plate solar–thermal collectors, can be employed to predict module temperatures within an accuracy comparable to the cell‐to‐cell temperature differences typically encountered within a module. Furthermore, for modules within the range of construction parameters employed in this study, the actual values of the two modified HWB constants do not appear to depend upon module type. The implication of these results for the accuracy of outdoor module characterization is discussed. Copyright © 2008 John Wiley &amp; Sons, Ltd.","container-title":"Progress in Photovoltaics: Research and Applications","DOI":"10.1002/pip.813","ISSN":"1062-7995, 1099-159X","issue":"4","journalAbbreviation":"Progress in Photovoltaics","language":"en","license":"http://onlinelibrary.wiley.com/termsAndConditions#vor","page":"307-315","source":"DOI.org (Crossref)","title":"Assessing the outdoor operating temperature of photovoltaic modules","volume":"16","author":[{"family":"Faiman","given":"David"}],"issued":{"date-parts":[["2008",6]]}}}],"schema":"https://github.com/citation-style-language/schema/raw/master/csl-citation.json"} </w:instrText>
      </w:r>
      <w:r w:rsidR="00A057C9">
        <w:rPr>
          <w:rFonts w:ascii="Times New Roman" w:hAnsi="Times New Roman" w:cs="Times New Roman"/>
          <w:sz w:val="24"/>
          <w:szCs w:val="24"/>
        </w:rPr>
        <w:fldChar w:fldCharType="separate"/>
      </w:r>
      <w:r w:rsidR="00A057C9" w:rsidRPr="00A057C9">
        <w:rPr>
          <w:rFonts w:ascii="Calibri" w:hAnsi="Calibri" w:cs="Calibri"/>
          <w:sz w:val="24"/>
        </w:rPr>
        <w:t>(Faiman, 2008)</w:t>
      </w:r>
      <w:r w:rsidR="00A057C9">
        <w:rPr>
          <w:rFonts w:ascii="Times New Roman" w:hAnsi="Times New Roman" w:cs="Times New Roman"/>
          <w:sz w:val="24"/>
          <w:szCs w:val="24"/>
        </w:rPr>
        <w:fldChar w:fldCharType="end"/>
      </w:r>
      <w:r w:rsidRPr="00DB6DD1">
        <w:rPr>
          <w:rFonts w:ascii="Times New Roman" w:hAnsi="Times New Roman" w:cs="Times New Roman"/>
          <w:sz w:val="24"/>
          <w:szCs w:val="24"/>
        </w:rPr>
        <w:t xml:space="preserve">. Module power output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PV</m:t>
            </m:r>
          </m:sub>
        </m:sSub>
      </m:oMath>
      <w:r w:rsidRPr="00DB6DD1">
        <w:rPr>
          <w:rFonts w:ascii="Times New Roman" w:hAnsi="Times New Roman" w:cs="Times New Roman"/>
          <w:sz w:val="24"/>
          <w:szCs w:val="24"/>
        </w:rPr>
        <w:t xml:space="preserve"> in watts at each timestep is then:</w:t>
      </w:r>
    </w:p>
    <w:p w14:paraId="2101B33D" w14:textId="77777777" w:rsidR="00DB6DD1" w:rsidRPr="00DB6DD1" w:rsidRDefault="00DB6DD1" w:rsidP="00DB6DD1">
      <w:pPr>
        <w:spacing w:line="360" w:lineRule="auto"/>
        <w:jc w:val="both"/>
        <w:rPr>
          <w:rFonts w:ascii="Times New Roman" w:hAnsi="Times New Roman" w:cs="Times New Roman"/>
          <w:sz w:val="24"/>
          <w:szCs w:val="24"/>
        </w:rPr>
      </w:pPr>
    </w:p>
    <w:p w14:paraId="31A9EDB4" w14:textId="77777777" w:rsidR="00076B83" w:rsidRPr="006217F4" w:rsidRDefault="00533732" w:rsidP="00076B83">
      <w:pPr>
        <w:spacing w:line="360" w:lineRule="auto"/>
        <w:jc w:val="both"/>
        <w:rPr>
          <w:rFonts w:ascii="Times New Roman" w:eastAsiaTheme="minorEastAsia" w:hAnsi="Times New Roman" w:cs="Times New Roman"/>
          <w:sz w:val="24"/>
          <w:szCs w:val="24"/>
          <w:lang w:val="fr-FR"/>
        </w:rPr>
      </w:pPr>
      <m:oMathPara>
        <m:oMath>
          <m:eqArr>
            <m:eqArrPr>
              <m:maxDist m:val="1"/>
              <m:ctrlPr>
                <w:rPr>
                  <w:rFonts w:ascii="Cambria Math" w:hAnsi="Cambria Math" w:cs="Times New Roman"/>
                  <w:i/>
                  <w:sz w:val="24"/>
                  <w:szCs w:val="24"/>
                  <w:lang w:val="fr-FR"/>
                </w:rPr>
              </m:ctrlPr>
            </m:eqArr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P</m:t>
                  </m:r>
                </m:e>
                <m:sub>
                  <m:r>
                    <w:rPr>
                      <w:rFonts w:ascii="Cambria Math" w:eastAsia="Cambria Math" w:hAnsi="Cambria Math" w:cs="Times New Roman"/>
                      <w:sz w:val="24"/>
                      <w:szCs w:val="24"/>
                      <w:lang w:val="fr-FR"/>
                    </w:rPr>
                    <m:t>PV</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r>
                <w:rPr>
                  <w:rFonts w:ascii="Cambria Math" w:eastAsia="Cambria Math" w:hAnsi="Cambria Math" w:cs="Times New Roman"/>
                  <w:sz w:val="24"/>
                  <w:szCs w:val="24"/>
                  <w:lang w:val="fr-FR"/>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P</m:t>
                  </m:r>
                </m:e>
                <m:sub>
                  <m:r>
                    <w:rPr>
                      <w:rFonts w:ascii="Cambria Math" w:eastAsia="Cambria Math" w:hAnsi="Cambria Math" w:cs="Times New Roman"/>
                      <w:sz w:val="24"/>
                      <w:szCs w:val="24"/>
                      <w:lang w:val="fr-FR"/>
                    </w:rPr>
                    <m:t>STC</m:t>
                  </m:r>
                </m:sub>
              </m:sSub>
              <m:r>
                <w:rPr>
                  <w:rFonts w:ascii="Cambria Math" w:eastAsia="Cambria Math" w:hAnsi="Cambria Math" w:cs="Times New Roman"/>
                  <w:sz w:val="24"/>
                  <w:szCs w:val="24"/>
                  <w:lang w:val="fr-FR"/>
                </w:rPr>
                <m:t xml:space="preserve">× N × </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1-</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rPr>
                        <m:t>η</m:t>
                      </m:r>
                    </m:e>
                    <m:sub>
                      <m:r>
                        <w:rPr>
                          <w:rFonts w:ascii="Cambria Math" w:eastAsia="Cambria Math" w:hAnsi="Cambria Math" w:cs="Times New Roman"/>
                          <w:sz w:val="24"/>
                          <w:szCs w:val="24"/>
                          <w:lang w:val="fr-FR"/>
                        </w:rPr>
                        <m:t>loss</m:t>
                      </m:r>
                    </m:sub>
                  </m:sSub>
                </m:e>
              </m:d>
              <m:r>
                <w:rPr>
                  <w:rFonts w:ascii="Cambria Math" w:eastAsia="Cambria Math" w:hAnsi="Cambria Math" w:cs="Times New Roman"/>
                  <w:sz w:val="24"/>
                  <w:szCs w:val="24"/>
                  <w:lang w:val="fr-FR"/>
                </w:rPr>
                <m:t>×</m:t>
              </m:r>
              <m:d>
                <m:dPr>
                  <m:begChr m:val="["/>
                  <m:endChr m:val="]"/>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 xml:space="preserve">1 +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lang w:val="fr-FR"/>
                        </w:rPr>
                        <m:t>p</m:t>
                      </m:r>
                    </m:sub>
                  </m:sSub>
                  <m:d>
                    <m:dPr>
                      <m:ctrlPr>
                        <w:rPr>
                          <w:rFonts w:ascii="Cambria Math" w:eastAsia="Cambria Math" w:hAnsi="Cambria Math" w:cs="Times New Roman"/>
                          <w:i/>
                          <w:sz w:val="24"/>
                          <w:szCs w:val="24"/>
                          <w:lang w:val="fr-FR"/>
                        </w:rPr>
                      </m:ctrlPr>
                    </m:d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cell</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r>
                        <w:rPr>
                          <w:rFonts w:ascii="Cambria Math" w:eastAsia="Cambria Math" w:hAnsi="Cambria Math" w:cs="Times New Roman"/>
                          <w:sz w:val="24"/>
                          <w:szCs w:val="24"/>
                          <w:lang w:val="fr-FR"/>
                        </w:rPr>
                        <m:t>- 25</m:t>
                      </m:r>
                    </m:e>
                  </m:d>
                </m:e>
              </m:d>
              <m:r>
                <w:rPr>
                  <w:rFonts w:ascii="Cambria Math" w:eastAsia="Cambria Math" w:hAnsi="Cambria Math" w:cs="Times New Roman"/>
                  <w:sz w:val="24"/>
                  <w:szCs w:val="24"/>
                  <w:lang w:val="fr-FR"/>
                </w:rPr>
                <m:t>×</m:t>
              </m:r>
              <m:f>
                <m:fPr>
                  <m:ctrlPr>
                    <w:rPr>
                      <w:rFonts w:ascii="Cambria Math" w:eastAsia="Cambria Math" w:hAnsi="Cambria Math" w:cs="Times New Roman"/>
                      <w:i/>
                      <w:sz w:val="24"/>
                      <w:szCs w:val="24"/>
                      <w:lang w:val="fr-FR"/>
                    </w:rPr>
                  </m:ctrlPr>
                </m:fPr>
                <m:num>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G</m:t>
                      </m:r>
                    </m:e>
                    <m:sub>
                      <m:r>
                        <w:rPr>
                          <w:rFonts w:ascii="Cambria Math" w:eastAsia="Cambria Math" w:hAnsi="Cambria Math" w:cs="Times New Roman"/>
                          <w:sz w:val="24"/>
                          <w:szCs w:val="24"/>
                          <w:lang w:val="fr-FR"/>
                        </w:rPr>
                        <m:t>eff</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num>
                <m:den>
                  <m:r>
                    <w:rPr>
                      <w:rFonts w:ascii="Cambria Math" w:eastAsia="Cambria Math" w:hAnsi="Cambria Math" w:cs="Times New Roman"/>
                      <w:sz w:val="24"/>
                      <w:szCs w:val="24"/>
                      <w:lang w:val="fr-FR"/>
                    </w:rPr>
                    <m:t>1000</m:t>
                  </m:r>
                </m:den>
              </m:f>
              <m:r>
                <w:rPr>
                  <w:rFonts w:ascii="Cambria Math" w:eastAsia="Cambria Math" w:hAnsi="Cambria Math" w:cs="Times New Roman"/>
                  <w:sz w:val="24"/>
                  <w:szCs w:val="24"/>
                  <w:lang w:val="fr-FR"/>
                </w:rPr>
                <m:t xml:space="preserve"> #</m:t>
              </m:r>
              <m:d>
                <m:dPr>
                  <m:ctrlPr>
                    <w:rPr>
                      <w:rFonts w:ascii="Cambria Math" w:hAnsi="Cambria Math" w:cs="Times New Roman"/>
                      <w:i/>
                      <w:sz w:val="24"/>
                      <w:szCs w:val="24"/>
                      <w:lang w:val="fr-FR"/>
                    </w:rPr>
                  </m:ctrlPr>
                </m:dPr>
                <m:e>
                  <m:r>
                    <w:rPr>
                      <w:rFonts w:ascii="Cambria Math" w:hAnsi="Cambria Math" w:cs="Times New Roman"/>
                      <w:sz w:val="24"/>
                      <w:szCs w:val="24"/>
                      <w:lang w:val="fr-FR"/>
                    </w:rPr>
                    <m:t>10</m:t>
                  </m:r>
                </m:e>
              </m:d>
              <m:ctrlPr>
                <w:rPr>
                  <w:rFonts w:ascii="Cambria Math" w:eastAsia="Cambria Math" w:hAnsi="Cambria Math" w:cs="Times New Roman"/>
                  <w:i/>
                  <w:sz w:val="24"/>
                  <w:szCs w:val="24"/>
                  <w:lang w:val="fr-FR"/>
                </w:rPr>
              </m:ctrlPr>
            </m:e>
          </m:eqArr>
        </m:oMath>
      </m:oMathPara>
    </w:p>
    <w:p w14:paraId="6CC2139C" w14:textId="77777777" w:rsidR="00DB6DD1" w:rsidRPr="00DB6DD1" w:rsidRDefault="00DB6DD1" w:rsidP="00DB6DD1">
      <w:pPr>
        <w:spacing w:line="360" w:lineRule="auto"/>
        <w:jc w:val="both"/>
        <w:rPr>
          <w:rFonts w:ascii="Times New Roman" w:hAnsi="Times New Roman" w:cs="Times New Roman"/>
          <w:sz w:val="24"/>
          <w:szCs w:val="24"/>
          <w:lang w:val="fr-FR"/>
        </w:rPr>
      </w:pPr>
    </w:p>
    <w:p w14:paraId="6C774A32" w14:textId="16BDCA10"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r>
          <w:rPr>
            <w:rFonts w:ascii="Cambria Math" w:hAnsi="Cambria Math" w:cs="Times New Roman"/>
            <w:sz w:val="24"/>
            <w:szCs w:val="24"/>
          </w:rPr>
          <m:t>N</m:t>
        </m:r>
      </m:oMath>
      <w:r w:rsidRPr="00DB6DD1">
        <w:rPr>
          <w:rFonts w:ascii="Times New Roman" w:hAnsi="Times New Roman" w:cs="Times New Roman"/>
          <w:sz w:val="24"/>
          <w:szCs w:val="24"/>
        </w:rPr>
        <w:t xml:space="preserve"> is the number of modules,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STC</m:t>
            </m:r>
          </m:sub>
        </m:sSub>
        <m:r>
          <w:rPr>
            <w:rFonts w:ascii="Cambria Math" w:hAnsi="Cambria Math" w:cs="Times New Roman"/>
            <w:sz w:val="24"/>
            <w:szCs w:val="24"/>
          </w:rPr>
          <m:t xml:space="preserve">= 550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p</m:t>
            </m:r>
          </m:sub>
        </m:sSub>
      </m:oMath>
      <w:r w:rsidRPr="00DB6DD1">
        <w:rPr>
          <w:rFonts w:ascii="Times New Roman" w:hAnsi="Times New Roman" w:cs="Times New Roman"/>
          <w:sz w:val="24"/>
          <w:szCs w:val="24"/>
        </w:rPr>
        <w:t xml:space="preserve"> is the rated power under standard test conditions (Jinko Tiger Neo N-type bifacial datasheet),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loss</m:t>
            </m:r>
          </m:sub>
        </m:sSub>
        <m:r>
          <w:rPr>
            <w:rFonts w:ascii="Cambria Math" w:hAnsi="Cambria Math" w:cs="Times New Roman"/>
            <w:sz w:val="24"/>
            <w:szCs w:val="24"/>
          </w:rPr>
          <m:t>= 0.12</m:t>
        </m:r>
      </m:oMath>
      <w:r w:rsidRPr="00DB6DD1">
        <w:rPr>
          <w:rFonts w:ascii="Times New Roman" w:hAnsi="Times New Roman" w:cs="Times New Roman"/>
          <w:sz w:val="24"/>
          <w:szCs w:val="24"/>
        </w:rPr>
        <w:t xml:space="preserve"> aggregates wiring, inverter, and mismatch losses consistent with field measurements from comparable bifacial utility-scale installations</w:t>
      </w:r>
      <w:r w:rsidR="0006785D">
        <w:rPr>
          <w:rFonts w:ascii="Times New Roman" w:hAnsi="Times New Roman" w:cs="Times New Roman"/>
          <w:sz w:val="24"/>
          <w:szCs w:val="24"/>
        </w:rPr>
        <w:t xml:space="preserve"> </w:t>
      </w:r>
      <w:r w:rsidR="0006785D">
        <w:rPr>
          <w:rFonts w:ascii="Times New Roman" w:hAnsi="Times New Roman" w:cs="Times New Roman"/>
          <w:sz w:val="24"/>
          <w:szCs w:val="24"/>
        </w:rPr>
        <w:fldChar w:fldCharType="begin"/>
      </w:r>
      <w:r w:rsidR="0006785D">
        <w:rPr>
          <w:rFonts w:ascii="Times New Roman" w:hAnsi="Times New Roman" w:cs="Times New Roman"/>
          <w:sz w:val="24"/>
          <w:szCs w:val="24"/>
        </w:rPr>
        <w:instrText xml:space="preserve"> ADDIN ZOTERO_ITEM CSL_CITATION {"citationID":"w9bsXzU1","properties":{"unsorted":false,"formattedCitation":"(Jordan &amp; Kurtz, 2013)","plainCitation":"(Jordan &amp; Kurtz, 2013)","noteIndex":0},"citationItems":[{"id":150,"uris":["http://zotero.org/users/local/i6bXxmSk/items/3Z7TMDZJ"],"itemData":{"id":150,"type":"article-journal","abstract":"As photovoltaic penetration of the power grid increases, accurate predictions of return on investment require accurate prediction of decreased power output over time. Degradation rates must be known in order to predict power delivery. This article reviews degradation rates of flatplate terrestrial modules and systems reported in published literature from field testing throughout the last 40 years. Nearly 2000 degradation rates, measured on individual modules or entire systems, have been assembled from the literature, showing a median value of 0.5%/year. The review consists of three parts: a brief historical outline, an analytical summary of degradation rates, and a detailed bibliography partitioned by technology.","container-title":"Progress in Photovoltaics: Research and Applications","DOI":"10.1002/pip.1182","ISSN":"1062-7995, 1099-159X","issue":"1","journalAbbreviation":"Progress in Photovoltaics","language":"en","license":"http://onlinelibrary.wiley.com/termsAndConditions#vor","page":"12-29","source":"DOI.org (Crossref)","title":"Photovoltaic Degradation Rates—an Analytical Review","volume":"21","author":[{"family":"Jordan","given":"D. C."},{"family":"Kurtz","given":"S. R."}],"issued":{"date-parts":[["2013",1]]}}}],"schema":"https://github.com/citation-style-language/schema/raw/master/csl-citation.json"} </w:instrText>
      </w:r>
      <w:r w:rsidR="0006785D">
        <w:rPr>
          <w:rFonts w:ascii="Times New Roman" w:hAnsi="Times New Roman" w:cs="Times New Roman"/>
          <w:sz w:val="24"/>
          <w:szCs w:val="24"/>
        </w:rPr>
        <w:fldChar w:fldCharType="separate"/>
      </w:r>
      <w:r w:rsidR="0006785D" w:rsidRPr="0006785D">
        <w:rPr>
          <w:rFonts w:ascii="Calibri" w:hAnsi="Calibri" w:cs="Calibri"/>
          <w:sz w:val="24"/>
        </w:rPr>
        <w:t>(Jordan &amp; Kurtz, 2013)</w:t>
      </w:r>
      <w:r w:rsidR="0006785D">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p</m:t>
            </m:r>
          </m:sub>
        </m:sSub>
        <m:r>
          <w:rPr>
            <w:rFonts w:ascii="Cambria Math" w:hAnsi="Cambria Math" w:cs="Times New Roman"/>
            <w:sz w:val="24"/>
            <w:szCs w:val="24"/>
          </w:rPr>
          <m:t>= -0.0035 °</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-1</m:t>
            </m:r>
          </m:sup>
        </m:sSup>
      </m:oMath>
      <w:r w:rsidRPr="00DB6DD1">
        <w:rPr>
          <w:rFonts w:ascii="Times New Roman" w:hAnsi="Times New Roman" w:cs="Times New Roman"/>
          <w:sz w:val="24"/>
          <w:szCs w:val="24"/>
        </w:rPr>
        <w:t xml:space="preserve"> is the temperature power coefficient from the module datasheet.</w:t>
      </w:r>
    </w:p>
    <w:p w14:paraId="37664A30" w14:textId="77777777" w:rsidR="00DB6DD1" w:rsidRPr="00DB6DD1" w:rsidRDefault="00DB6DD1" w:rsidP="00DB6DD1">
      <w:pPr>
        <w:spacing w:line="360" w:lineRule="auto"/>
        <w:jc w:val="both"/>
        <w:rPr>
          <w:rFonts w:ascii="Times New Roman" w:hAnsi="Times New Roman" w:cs="Times New Roman"/>
          <w:sz w:val="24"/>
          <w:szCs w:val="24"/>
        </w:rPr>
      </w:pPr>
    </w:p>
    <w:p w14:paraId="25160CEA" w14:textId="3A937A2B"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3.5. Crop yield model</w:t>
      </w:r>
    </w:p>
    <w:p w14:paraId="6FC2186B" w14:textId="2E8EF222" w:rsidR="00DB6DD1" w:rsidRPr="00DB6DD1" w:rsidRDefault="00DB6DD1" w:rsidP="00EF7215">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Relative crop yield </w:t>
      </w:r>
      <m:oMath>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crop</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ref</m:t>
                </m:r>
              </m:sub>
            </m:sSub>
          </m:den>
        </m:f>
        <m:r>
          <w:rPr>
            <w:rFonts w:ascii="Cambria Math" w:hAnsi="Cambria Math" w:cs="Times New Roman"/>
            <w:sz w:val="24"/>
            <w:szCs w:val="24"/>
          </w:rPr>
          <m:t xml:space="preserve"> </m:t>
        </m:r>
      </m:oMath>
      <w:r w:rsidRPr="00DB6DD1">
        <w:rPr>
          <w:rFonts w:ascii="Times New Roman" w:hAnsi="Times New Roman" w:cs="Times New Roman"/>
          <w:sz w:val="24"/>
          <w:szCs w:val="24"/>
        </w:rPr>
        <w:t xml:space="preserve"> is estimated from the seasonal integral of photosynthetically active radiation (PAR) reaching the crop canopy under the APV panels, normalized to the corresponding open-field PAR integral. PAR is estimated as 48% of GHI following </w:t>
      </w:r>
      <w:r w:rsidRPr="008E609C">
        <w:rPr>
          <w:rFonts w:ascii="Times New Roman" w:hAnsi="Times New Roman" w:cs="Times New Roman"/>
          <w:sz w:val="24"/>
          <w:szCs w:val="24"/>
        </w:rPr>
        <w:t xml:space="preserve">McCree </w:t>
      </w:r>
      <w:r w:rsidR="00E50CBC" w:rsidRPr="008E609C">
        <w:rPr>
          <w:rFonts w:ascii="Times New Roman" w:hAnsi="Times New Roman" w:cs="Times New Roman"/>
          <w:sz w:val="24"/>
          <w:szCs w:val="24"/>
        </w:rPr>
        <w:fldChar w:fldCharType="begin"/>
      </w:r>
      <w:r w:rsidR="00E50CBC" w:rsidRPr="008E609C">
        <w:rPr>
          <w:rFonts w:ascii="Times New Roman" w:hAnsi="Times New Roman" w:cs="Times New Roman"/>
          <w:sz w:val="24"/>
          <w:szCs w:val="24"/>
        </w:rPr>
        <w:instrText xml:space="preserve"> ADDIN ZOTERO_ITEM CSL_CITATION {"citationID":"xp3iqxv9","properties":{"unsorted":false,"formattedCitation":"(McCree, 1971)","plainCitation":"(McCree, 1971)","noteIndex":0},"citationItems":[{"id":103,"uris":["http://zotero.org/users/local/i6bXxmSk/items/5EV429J2"],"itemData":{"id":103,"type":"article-journal","abstract":"McC'~E, K. J., 1972. The action spectrum, absorptance and quantum yield of photosynthesis in crop plants. Agrie. MeteoroL, 9: 191-216.","container-title":"Agricultural Meteorology","DOI":"10.1016/0002-1571(71)90022-7","ISSN":"00021571","journalAbbreviation":"Agricultural Meteorology","language":"en","license":"https://www.elsevier.com/tdm/userlicense/1.0/","page":"191-216","source":"DOI.org (Crossref)","title":"The action spectrum, absorptance and quantum yield of photosynthesis in crop plants","volume":"9","author":[{"family":"McCree","given":"K.J."}],"issued":{"date-parts":[["1971",1]]}}}],"schema":"https://github.com/citation-style-language/schema/raw/master/csl-citation.json"} </w:instrText>
      </w:r>
      <w:r w:rsidR="00E50CBC" w:rsidRPr="008E609C">
        <w:rPr>
          <w:rFonts w:ascii="Times New Roman" w:hAnsi="Times New Roman" w:cs="Times New Roman"/>
          <w:sz w:val="24"/>
          <w:szCs w:val="24"/>
        </w:rPr>
        <w:fldChar w:fldCharType="separate"/>
      </w:r>
      <w:r w:rsidR="00E50CBC" w:rsidRPr="008E609C">
        <w:rPr>
          <w:rFonts w:ascii="Times New Roman" w:hAnsi="Times New Roman" w:cs="Times New Roman"/>
          <w:sz w:val="24"/>
          <w:szCs w:val="24"/>
        </w:rPr>
        <w:t>(McCree, 1971)</w:t>
      </w:r>
      <w:r w:rsidR="00E50CBC" w:rsidRPr="008E609C">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and the subsequent empirical calibration by </w:t>
      </w:r>
      <w:r w:rsidRPr="008E609C">
        <w:rPr>
          <w:rFonts w:ascii="Times New Roman" w:hAnsi="Times New Roman" w:cs="Times New Roman"/>
          <w:sz w:val="24"/>
          <w:szCs w:val="24"/>
        </w:rPr>
        <w:t xml:space="preserve">Jacovides et al. </w:t>
      </w:r>
      <w:r w:rsidR="00E50CBC">
        <w:rPr>
          <w:rFonts w:ascii="Times New Roman" w:hAnsi="Times New Roman" w:cs="Times New Roman"/>
          <w:color w:val="FF0000"/>
          <w:sz w:val="24"/>
          <w:szCs w:val="24"/>
        </w:rPr>
        <w:fldChar w:fldCharType="begin"/>
      </w:r>
      <w:r w:rsidR="00E50CBC">
        <w:rPr>
          <w:rFonts w:ascii="Times New Roman" w:hAnsi="Times New Roman" w:cs="Times New Roman"/>
          <w:color w:val="FF0000"/>
          <w:sz w:val="24"/>
          <w:szCs w:val="24"/>
        </w:rPr>
        <w:instrText xml:space="preserve"> ADDIN ZOTERO_ITEM CSL_CITATION {"citationID":"391mOkoW","properties":{"unsorted":false,"formattedCitation":"(Jacovides et al., 2006)","plainCitation":"(Jacovides et al., 2006)","noteIndex":0},"citationItems":[{"id":138,"uris":["http://zotero.org/users/local/i6bXxmSk/items/4J9VLXZW"],"itemData":{"id":138,"type":"article-journal","abstract":"Proper design and performance predictions of solar energy systems require accurate information on the availability of solar radiation. The diffuse-to-global solar radiation correlation, originally developed by Liu and Jordan, has been extensively used as the technique providing accurate results, although it is latitude dependent. Thus, in the present study, empirical correlations of this type were developed to establish a relationship between the hourly diffuse fraction (kd) and the hourly clearness index (kt) using hourly global and diffuse irradiation measurements on a horizontal surface performed at Athalassa, Cyprus. The proposed correlations were compared against 10 models available in the literature in terms of the widely used statistical indicators, rmse, mbe and t test. From this analysis, it can be concluded that the proposed yearly correlation predicts diffuse values accurately, whereas all candidate models examined appear to be location-independent for diffuse irradiation predictions.","container-title":"Renewable Energy","DOI":"10.1016/j.renene.2005.11.009","ISSN":"09601481","issue":"15","journalAbbreviation":"Renewable Energy","language":"en","license":"https://www.elsevier.com/tdm/userlicense/1.0/","page":"2492-2504","source":"DOI.org (Crossref)","title":"Comparative study of various correlations in estimating hourly diffuse fraction of global solar radiation","volume":"31","author":[{"family":"Jacovides","given":"C.P."},{"family":"Tymvios","given":"F.S."},{"family":"Assimakopoulos","given":"V.D."},{"family":"Kaltsounides","given":"N.A."}],"issued":{"date-parts":[["2006",12]]}}}],"schema":"https://github.com/citation-style-language/schema/raw/master/csl-citation.json"} </w:instrText>
      </w:r>
      <w:r w:rsidR="00E50CBC">
        <w:rPr>
          <w:rFonts w:ascii="Times New Roman" w:hAnsi="Times New Roman" w:cs="Times New Roman"/>
          <w:color w:val="FF0000"/>
          <w:sz w:val="24"/>
          <w:szCs w:val="24"/>
        </w:rPr>
        <w:fldChar w:fldCharType="separate"/>
      </w:r>
      <w:r w:rsidR="00E50CBC" w:rsidRPr="00E50CBC">
        <w:rPr>
          <w:rFonts w:ascii="Calibri" w:hAnsi="Calibri" w:cs="Calibri"/>
          <w:sz w:val="24"/>
        </w:rPr>
        <w:t xml:space="preserve">(Jacovides et al., </w:t>
      </w:r>
      <w:r w:rsidR="00E50CBC" w:rsidRPr="00E50CBC">
        <w:rPr>
          <w:rFonts w:ascii="Calibri" w:hAnsi="Calibri" w:cs="Calibri"/>
          <w:sz w:val="24"/>
        </w:rPr>
        <w:lastRenderedPageBreak/>
        <w:t>2006)</w:t>
      </w:r>
      <w:r w:rsidR="00E50CBC">
        <w:rPr>
          <w:rFonts w:ascii="Times New Roman" w:hAnsi="Times New Roman" w:cs="Times New Roman"/>
          <w:color w:val="FF0000"/>
          <w:sz w:val="24"/>
          <w:szCs w:val="24"/>
        </w:rPr>
        <w:fldChar w:fldCharType="end"/>
      </w:r>
      <w:r w:rsidRPr="00DB6DD1">
        <w:rPr>
          <w:rFonts w:ascii="Times New Roman" w:hAnsi="Times New Roman" w:cs="Times New Roman"/>
          <w:sz w:val="24"/>
          <w:szCs w:val="24"/>
        </w:rPr>
        <w:t>, who confirmed that the PAR/GHI ratio for agricultural sites under mixed sky conditions falls in the range 0.45–0.50, with 0.48 as the central estimate.</w:t>
      </w:r>
    </w:p>
    <w:p w14:paraId="345CE6B0" w14:textId="5301C8E2" w:rsidR="00DB6DD1" w:rsidRPr="00DB6DD1" w:rsidRDefault="00DB6DD1" w:rsidP="00EF7215">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A crop-specific PAR saturation threshold is applied: when incident PAR exceeds the light saturation point, additional photons produce no incremental photosynthesis. For tomato (Solanum lycopersicum), the light saturation point is approximately 800 μmol/m²/s ≈ 174 W/m² (Mohammedi et al., 2023; </w:t>
      </w:r>
      <w:proofErr w:type="spellStart"/>
      <w:r w:rsidRPr="003775EA">
        <w:rPr>
          <w:rFonts w:ascii="Times New Roman" w:hAnsi="Times New Roman" w:cs="Times New Roman"/>
          <w:color w:val="FF0000"/>
          <w:sz w:val="24"/>
          <w:szCs w:val="24"/>
        </w:rPr>
        <w:t>Heuvelink</w:t>
      </w:r>
      <w:proofErr w:type="spellEnd"/>
      <w:r w:rsidRPr="003775EA">
        <w:rPr>
          <w:rFonts w:ascii="Times New Roman" w:hAnsi="Times New Roman" w:cs="Times New Roman"/>
          <w:color w:val="FF0000"/>
          <w:sz w:val="24"/>
          <w:szCs w:val="24"/>
        </w:rPr>
        <w:t>, 2005</w:t>
      </w:r>
      <w:r w:rsidRPr="00DB6DD1">
        <w:rPr>
          <w:rFonts w:ascii="Times New Roman" w:hAnsi="Times New Roman" w:cs="Times New Roman"/>
          <w:sz w:val="24"/>
          <w:szCs w:val="24"/>
        </w:rPr>
        <w:t>), which is substantially higher than the 76 W/m² appropriate for shade-tolerant species such as lettuce or spinach. Using the correct species-specific threshold is methodologically critical: an erroneously low threshold inflates the simulated crop yield ratio to unity regardless of shading, masking the actual trade-off between panel coverage and crop productivity.</w:t>
      </w:r>
    </w:p>
    <w:p w14:paraId="6B0AC5E7" w14:textId="76717BC4"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The hourly PAR integral over the growing season yields the annual yield ratio:</w:t>
      </w:r>
    </w:p>
    <w:p w14:paraId="17571233" w14:textId="77777777" w:rsidR="00DB6DD1" w:rsidRPr="00DB6DD1" w:rsidRDefault="00DB6DD1" w:rsidP="00DB6DD1">
      <w:pPr>
        <w:spacing w:line="360" w:lineRule="auto"/>
        <w:jc w:val="both"/>
        <w:rPr>
          <w:rFonts w:ascii="Times New Roman" w:hAnsi="Times New Roman" w:cs="Times New Roman"/>
          <w:sz w:val="24"/>
          <w:szCs w:val="24"/>
        </w:rPr>
      </w:pPr>
    </w:p>
    <w:p w14:paraId="040AA54B" w14:textId="7DA6AF33" w:rsidR="00DB6DD1" w:rsidRPr="00B91FB9" w:rsidRDefault="00533732" w:rsidP="00B91FB9">
      <w:pPr>
        <w:spacing w:after="80"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crop</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ref</m:t>
                      </m:r>
                    </m:sub>
                  </m:sSub>
                </m:den>
              </m:f>
              <m:r>
                <w:rPr>
                  <w:rFonts w:ascii="Cambria Math" w:hAnsi="Cambria Math" w:cs="Times New Roman"/>
                  <w:sz w:val="24"/>
                  <w:szCs w:val="24"/>
                </w:rPr>
                <m:t>=</m:t>
              </m:r>
              <m:f>
                <m:fPr>
                  <m:ctrlPr>
                    <w:rPr>
                      <w:rFonts w:ascii="Cambria Math" w:hAnsi="Cambria Math" w:cs="Times New Roman"/>
                      <w:i/>
                      <w:sz w:val="24"/>
                      <w:szCs w:val="24"/>
                    </w:rPr>
                  </m:ctrlPr>
                </m:fPr>
                <m:num>
                  <m:nary>
                    <m:naryPr>
                      <m:limLoc m:val="subSup"/>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up>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sup>
                    <m:e>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AV</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sat</m:t>
                                  </m:r>
                                </m:sub>
                              </m:sSub>
                            </m:e>
                          </m:d>
                        </m:e>
                      </m:func>
                      <m:r>
                        <w:rPr>
                          <w:rFonts w:ascii="Cambria Math" w:hAnsi="Cambria Math" w:cs="Times New Roman"/>
                          <w:sz w:val="24"/>
                          <w:szCs w:val="24"/>
                        </w:rPr>
                        <m:t>dt</m:t>
                      </m:r>
                    </m:e>
                  </m:nary>
                </m:num>
                <m:den>
                  <m:nary>
                    <m:naryPr>
                      <m:limLoc m:val="subSup"/>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up>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sup>
                    <m:e>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open</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dt</m:t>
                      </m:r>
                    </m:e>
                  </m:nary>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11</m:t>
                  </m:r>
                </m:e>
              </m:d>
            </m:e>
          </m:eqArr>
        </m:oMath>
      </m:oMathPara>
    </w:p>
    <w:p w14:paraId="6367168D" w14:textId="77777777" w:rsidR="009F433F" w:rsidRDefault="009F433F" w:rsidP="00DB6DD1">
      <w:pPr>
        <w:spacing w:line="360" w:lineRule="auto"/>
        <w:jc w:val="both"/>
        <w:rPr>
          <w:rFonts w:ascii="Times New Roman" w:hAnsi="Times New Roman" w:cs="Times New Roman"/>
          <w:sz w:val="24"/>
          <w:szCs w:val="24"/>
        </w:rPr>
      </w:pPr>
    </w:p>
    <w:p w14:paraId="2773DAD5" w14:textId="4741D85A"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AV</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=GHI(t)×0.48×(1-</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shad</m:t>
            </m:r>
          </m:sub>
        </m:sSub>
        <m:r>
          <w:rPr>
            <w:rFonts w:ascii="Cambria Math" w:hAnsi="Cambria Math" w:cs="Times New Roman"/>
            <w:sz w:val="24"/>
            <w:szCs w:val="24"/>
          </w:rPr>
          <m:t>(t)</m:t>
        </m:r>
      </m:oMath>
      <w:r w:rsidRPr="00DB6DD1">
        <w:rPr>
          <w:rFonts w:ascii="Times New Roman" w:hAnsi="Times New Roman" w:cs="Times New Roman"/>
          <w:sz w:val="24"/>
          <w:szCs w:val="24"/>
        </w:rPr>
        <w:t xml:space="preserve"> is the PAR reaching the crop canopy under panels, </w:t>
      </w:r>
      <m:oMath>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open</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=GHI</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×0.48</m:t>
        </m:r>
      </m:oMath>
      <w:r w:rsidR="00354B83" w:rsidRPr="006217F4">
        <w:rPr>
          <w:rFonts w:ascii="Times New Roman" w:hAnsi="Times New Roman" w:cs="Times New Roman"/>
          <w:sz w:val="24"/>
          <w:szCs w:val="24"/>
        </w:rPr>
        <w:t xml:space="preserve"> </w:t>
      </w:r>
      <w:r w:rsidRPr="00DB6DD1">
        <w:rPr>
          <w:rFonts w:ascii="Times New Roman" w:hAnsi="Times New Roman" w:cs="Times New Roman"/>
          <w:sz w:val="24"/>
          <w:szCs w:val="24"/>
        </w:rPr>
        <w:t xml:space="preserve"> is open-field PAR, </w:t>
      </w:r>
      <m:oMath>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sat</m:t>
            </m:r>
          </m:sub>
        </m:sSub>
        <m:r>
          <w:rPr>
            <w:rFonts w:ascii="Cambria Math" w:hAnsi="Cambria Math" w:cs="Times New Roman"/>
            <w:sz w:val="24"/>
            <w:szCs w:val="24"/>
          </w:rPr>
          <m:t>=174 W</m:t>
        </m:r>
        <m:r>
          <m:rPr>
            <m:lit/>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523FDF">
        <w:rPr>
          <w:rFonts w:ascii="Times New Roman" w:eastAsiaTheme="minorEastAsia" w:hAnsi="Times New Roman" w:cs="Times New Roman"/>
          <w:sz w:val="24"/>
          <w:szCs w:val="24"/>
        </w:rPr>
        <w:t xml:space="preserve">  </w:t>
      </w:r>
      <w:r w:rsidRPr="00DB6DD1">
        <w:rPr>
          <w:rFonts w:ascii="Times New Roman" w:hAnsi="Times New Roman" w:cs="Times New Roman"/>
          <w:sz w:val="24"/>
          <w:szCs w:val="24"/>
        </w:rPr>
        <w:t>is the tomato-specific saturation threshold</w:t>
      </w:r>
      <w:r w:rsidR="00596B4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shad</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oMath>
      <w:r w:rsidRPr="00DB6DD1">
        <w:rPr>
          <w:rFonts w:ascii="Times New Roman" w:hAnsi="Times New Roman" w:cs="Times New Roman"/>
          <w:sz w:val="24"/>
          <w:szCs w:val="24"/>
        </w:rPr>
        <w:t xml:space="preserve">is the hourly shading factor (Eq. 6),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 xml:space="preserve"> </m:t>
        </m:r>
      </m:oMath>
      <w:r w:rsidRPr="00DB6DD1">
        <w:rPr>
          <w:rFonts w:ascii="Times New Roman"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Pr="00DB6DD1">
        <w:rPr>
          <w:rFonts w:ascii="Times New Roman" w:hAnsi="Times New Roman" w:cs="Times New Roman"/>
          <w:sz w:val="24"/>
          <w:szCs w:val="24"/>
        </w:rPr>
        <w:t xml:space="preserve"> are the site-specific season start and end dates from Table 5.</w:t>
      </w:r>
    </w:p>
    <w:p w14:paraId="229EEAC6" w14:textId="77777777" w:rsidR="00DB6DD1" w:rsidRPr="00DB6DD1" w:rsidRDefault="00DB6DD1" w:rsidP="00DB6DD1">
      <w:pPr>
        <w:spacing w:line="360" w:lineRule="auto"/>
        <w:jc w:val="both"/>
        <w:rPr>
          <w:rFonts w:ascii="Times New Roman" w:hAnsi="Times New Roman" w:cs="Times New Roman"/>
          <w:sz w:val="24"/>
          <w:szCs w:val="24"/>
        </w:rPr>
      </w:pPr>
    </w:p>
    <w:p w14:paraId="6FCF3222" w14:textId="7E9D1ED4" w:rsidR="00C85CB8" w:rsidRPr="00C85CB8" w:rsidRDefault="00C85CB8" w:rsidP="00C85CB8">
      <w:pPr>
        <w:spacing w:after="80" w:line="360" w:lineRule="auto"/>
        <w:jc w:val="center"/>
        <w:rPr>
          <w:rFonts w:ascii="Times New Roman" w:hAnsi="Times New Roman" w:cs="Times New Roman"/>
          <w:sz w:val="20"/>
          <w:szCs w:val="20"/>
        </w:rPr>
      </w:pPr>
      <w:r w:rsidRPr="00C85CB8">
        <w:rPr>
          <w:rFonts w:ascii="Times New Roman" w:hAnsi="Times New Roman" w:cs="Times New Roman"/>
          <w:sz w:val="20"/>
          <w:szCs w:val="20"/>
        </w:rPr>
        <w:t xml:space="preserve">Table </w:t>
      </w:r>
      <w:r w:rsidRPr="00C85CB8">
        <w:rPr>
          <w:rFonts w:ascii="Times New Roman" w:hAnsi="Times New Roman" w:cs="Times New Roman"/>
          <w:sz w:val="20"/>
          <w:szCs w:val="20"/>
        </w:rPr>
        <w:fldChar w:fldCharType="begin"/>
      </w:r>
      <w:r w:rsidRPr="00C85CB8">
        <w:rPr>
          <w:rFonts w:ascii="Times New Roman" w:hAnsi="Times New Roman" w:cs="Times New Roman"/>
          <w:sz w:val="20"/>
          <w:szCs w:val="20"/>
        </w:rPr>
        <w:instrText xml:space="preserve"> SEQ Table \* ARABIC </w:instrText>
      </w:r>
      <w:r w:rsidRPr="00C85CB8">
        <w:rPr>
          <w:rFonts w:ascii="Times New Roman" w:hAnsi="Times New Roman" w:cs="Times New Roman"/>
          <w:sz w:val="20"/>
          <w:szCs w:val="20"/>
        </w:rPr>
        <w:fldChar w:fldCharType="separate"/>
      </w:r>
      <w:r w:rsidR="00346A87">
        <w:rPr>
          <w:rFonts w:ascii="Times New Roman" w:hAnsi="Times New Roman" w:cs="Times New Roman"/>
          <w:noProof/>
          <w:sz w:val="20"/>
          <w:szCs w:val="20"/>
        </w:rPr>
        <w:t>6</w:t>
      </w:r>
      <w:r w:rsidRPr="00C85CB8">
        <w:rPr>
          <w:rFonts w:ascii="Times New Roman" w:hAnsi="Times New Roman" w:cs="Times New Roman"/>
          <w:sz w:val="20"/>
          <w:szCs w:val="20"/>
        </w:rPr>
        <w:fldChar w:fldCharType="end"/>
      </w:r>
      <w:r w:rsidRPr="00C85CB8">
        <w:rPr>
          <w:rFonts w:ascii="Times New Roman" w:hAnsi="Times New Roman" w:cs="Times New Roman"/>
          <w:sz w:val="20"/>
          <w:szCs w:val="20"/>
        </w:rPr>
        <w:t xml:space="preserve"> : </w:t>
      </w:r>
      <w:r w:rsidR="00D535DF">
        <w:rPr>
          <w:rFonts w:ascii="Times New Roman" w:hAnsi="Times New Roman" w:cs="Times New Roman"/>
          <w:sz w:val="20"/>
          <w:szCs w:val="20"/>
        </w:rPr>
        <w:t>S</w:t>
      </w:r>
      <w:r w:rsidR="00D535DF" w:rsidRPr="00D535DF">
        <w:rPr>
          <w:rFonts w:ascii="Times New Roman" w:hAnsi="Times New Roman" w:cs="Times New Roman"/>
          <w:sz w:val="20"/>
          <w:szCs w:val="20"/>
        </w:rPr>
        <w:t>ummarizes the growing season boundaries at each site along with the primary climatic constraint that determines them</w:t>
      </w:r>
      <w:r w:rsidRPr="00C85CB8">
        <w:rPr>
          <w:rFonts w:ascii="Times New Roman" w:hAnsi="Times New Roman" w:cs="Times New Roman"/>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8"/>
        <w:gridCol w:w="1780"/>
        <w:gridCol w:w="2036"/>
        <w:gridCol w:w="2862"/>
      </w:tblGrid>
      <w:tr w:rsidR="00C85CB8" w:rsidRPr="006217F4" w14:paraId="08E04A9B" w14:textId="77777777" w:rsidTr="004C17F0">
        <w:trPr>
          <w:tblHeader/>
          <w:jc w:val="center"/>
        </w:trPr>
        <w:tc>
          <w:tcPr>
            <w:tcW w:w="0" w:type="auto"/>
            <w:tcMar>
              <w:top w:w="150" w:type="dxa"/>
              <w:left w:w="0" w:type="dxa"/>
              <w:bottom w:w="150" w:type="dxa"/>
              <w:right w:w="240" w:type="dxa"/>
            </w:tcMar>
            <w:vAlign w:val="center"/>
            <w:hideMark/>
          </w:tcPr>
          <w:p w14:paraId="7D43170A"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Parameter</w:t>
            </w:r>
          </w:p>
        </w:tc>
        <w:tc>
          <w:tcPr>
            <w:tcW w:w="0" w:type="auto"/>
            <w:tcMar>
              <w:top w:w="150" w:type="dxa"/>
              <w:left w:w="240" w:type="dxa"/>
              <w:bottom w:w="150" w:type="dxa"/>
              <w:right w:w="240" w:type="dxa"/>
            </w:tcMar>
            <w:vAlign w:val="center"/>
            <w:hideMark/>
          </w:tcPr>
          <w:p w14:paraId="11D7C8B5"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Konya (Turkey)</w:t>
            </w:r>
          </w:p>
        </w:tc>
        <w:tc>
          <w:tcPr>
            <w:tcW w:w="0" w:type="auto"/>
            <w:tcMar>
              <w:top w:w="150" w:type="dxa"/>
              <w:left w:w="240" w:type="dxa"/>
              <w:bottom w:w="150" w:type="dxa"/>
              <w:right w:w="240" w:type="dxa"/>
            </w:tcMar>
            <w:vAlign w:val="center"/>
            <w:hideMark/>
          </w:tcPr>
          <w:p w14:paraId="1E3B74CA"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Almería (Spain)</w:t>
            </w:r>
          </w:p>
        </w:tc>
        <w:tc>
          <w:tcPr>
            <w:tcW w:w="0" w:type="auto"/>
            <w:tcMar>
              <w:top w:w="150" w:type="dxa"/>
              <w:left w:w="240" w:type="dxa"/>
              <w:bottom w:w="150" w:type="dxa"/>
              <w:right w:w="240" w:type="dxa"/>
            </w:tcMar>
            <w:vAlign w:val="center"/>
            <w:hideMark/>
          </w:tcPr>
          <w:p w14:paraId="69FC233A"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Ouagadougou (Burkina Faso)</w:t>
            </w:r>
          </w:p>
        </w:tc>
      </w:tr>
      <w:tr w:rsidR="00C85CB8" w:rsidRPr="006217F4" w14:paraId="091466F0" w14:textId="77777777" w:rsidTr="004C17F0">
        <w:trPr>
          <w:jc w:val="center"/>
        </w:trPr>
        <w:tc>
          <w:tcPr>
            <w:tcW w:w="0" w:type="auto"/>
            <w:tcMar>
              <w:top w:w="150" w:type="dxa"/>
              <w:left w:w="0" w:type="dxa"/>
              <w:bottom w:w="150" w:type="dxa"/>
              <w:right w:w="240" w:type="dxa"/>
            </w:tcMar>
            <w:vAlign w:val="center"/>
            <w:hideMark/>
          </w:tcPr>
          <w:p w14:paraId="1F9ACA51"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 xml:space="preserve">Growing season start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e>
              </m:d>
            </m:oMath>
          </w:p>
        </w:tc>
        <w:tc>
          <w:tcPr>
            <w:tcW w:w="0" w:type="auto"/>
            <w:tcMar>
              <w:top w:w="150" w:type="dxa"/>
              <w:left w:w="240" w:type="dxa"/>
              <w:bottom w:w="150" w:type="dxa"/>
              <w:right w:w="240" w:type="dxa"/>
            </w:tcMar>
            <w:vAlign w:val="center"/>
            <w:hideMark/>
          </w:tcPr>
          <w:p w14:paraId="10504D23"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25 April</w:t>
            </w:r>
          </w:p>
        </w:tc>
        <w:tc>
          <w:tcPr>
            <w:tcW w:w="0" w:type="auto"/>
            <w:tcMar>
              <w:top w:w="150" w:type="dxa"/>
              <w:left w:w="240" w:type="dxa"/>
              <w:bottom w:w="150" w:type="dxa"/>
              <w:right w:w="240" w:type="dxa"/>
            </w:tcMar>
            <w:vAlign w:val="center"/>
            <w:hideMark/>
          </w:tcPr>
          <w:p w14:paraId="73ABE4AB"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 March</w:t>
            </w:r>
          </w:p>
        </w:tc>
        <w:tc>
          <w:tcPr>
            <w:tcW w:w="0" w:type="auto"/>
            <w:tcMar>
              <w:top w:w="150" w:type="dxa"/>
              <w:left w:w="240" w:type="dxa"/>
              <w:bottom w:w="150" w:type="dxa"/>
              <w:right w:w="0" w:type="dxa"/>
            </w:tcMar>
            <w:vAlign w:val="center"/>
            <w:hideMark/>
          </w:tcPr>
          <w:p w14:paraId="247073BA"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 July</w:t>
            </w:r>
          </w:p>
        </w:tc>
      </w:tr>
      <w:tr w:rsidR="00C85CB8" w:rsidRPr="006217F4" w14:paraId="0A7A5FC9" w14:textId="77777777" w:rsidTr="004C17F0">
        <w:trPr>
          <w:jc w:val="center"/>
        </w:trPr>
        <w:tc>
          <w:tcPr>
            <w:tcW w:w="0" w:type="auto"/>
            <w:tcMar>
              <w:top w:w="150" w:type="dxa"/>
              <w:left w:w="0" w:type="dxa"/>
              <w:bottom w:w="150" w:type="dxa"/>
              <w:right w:w="240" w:type="dxa"/>
            </w:tcMar>
            <w:vAlign w:val="center"/>
            <w:hideMark/>
          </w:tcPr>
          <w:p w14:paraId="6EBDB9C9"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 xml:space="preserve">Growing season end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e>
              </m:d>
            </m:oMath>
          </w:p>
        </w:tc>
        <w:tc>
          <w:tcPr>
            <w:tcW w:w="0" w:type="auto"/>
            <w:tcMar>
              <w:top w:w="150" w:type="dxa"/>
              <w:left w:w="240" w:type="dxa"/>
              <w:bottom w:w="150" w:type="dxa"/>
              <w:right w:w="240" w:type="dxa"/>
            </w:tcMar>
            <w:vAlign w:val="center"/>
            <w:hideMark/>
          </w:tcPr>
          <w:p w14:paraId="7F8D417C"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 October</w:t>
            </w:r>
          </w:p>
        </w:tc>
        <w:tc>
          <w:tcPr>
            <w:tcW w:w="0" w:type="auto"/>
            <w:tcMar>
              <w:top w:w="150" w:type="dxa"/>
              <w:left w:w="240" w:type="dxa"/>
              <w:bottom w:w="150" w:type="dxa"/>
              <w:right w:w="240" w:type="dxa"/>
            </w:tcMar>
            <w:vAlign w:val="center"/>
            <w:hideMark/>
          </w:tcPr>
          <w:p w14:paraId="691640C8"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 June</w:t>
            </w:r>
          </w:p>
        </w:tc>
        <w:tc>
          <w:tcPr>
            <w:tcW w:w="0" w:type="auto"/>
            <w:tcMar>
              <w:top w:w="150" w:type="dxa"/>
              <w:left w:w="240" w:type="dxa"/>
              <w:bottom w:w="150" w:type="dxa"/>
              <w:right w:w="0" w:type="dxa"/>
            </w:tcMar>
            <w:vAlign w:val="center"/>
            <w:hideMark/>
          </w:tcPr>
          <w:p w14:paraId="15C039E9"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30 October</w:t>
            </w:r>
          </w:p>
        </w:tc>
      </w:tr>
      <w:tr w:rsidR="00C85CB8" w:rsidRPr="006217F4" w14:paraId="0F39D7E5" w14:textId="77777777" w:rsidTr="004C17F0">
        <w:trPr>
          <w:jc w:val="center"/>
        </w:trPr>
        <w:tc>
          <w:tcPr>
            <w:tcW w:w="0" w:type="auto"/>
            <w:tcMar>
              <w:top w:w="150" w:type="dxa"/>
              <w:left w:w="0" w:type="dxa"/>
              <w:bottom w:w="150" w:type="dxa"/>
              <w:right w:w="240" w:type="dxa"/>
            </w:tcMar>
            <w:vAlign w:val="center"/>
            <w:hideMark/>
          </w:tcPr>
          <w:p w14:paraId="13B96815"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lastRenderedPageBreak/>
              <w:t>Season duration (days)</w:t>
            </w:r>
          </w:p>
        </w:tc>
        <w:tc>
          <w:tcPr>
            <w:tcW w:w="0" w:type="auto"/>
            <w:tcMar>
              <w:top w:w="150" w:type="dxa"/>
              <w:left w:w="240" w:type="dxa"/>
              <w:bottom w:w="150" w:type="dxa"/>
              <w:right w:w="240" w:type="dxa"/>
            </w:tcMar>
            <w:vAlign w:val="center"/>
            <w:hideMark/>
          </w:tcPr>
          <w:p w14:paraId="4ADA9ABC"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189</w:t>
            </w:r>
          </w:p>
        </w:tc>
        <w:tc>
          <w:tcPr>
            <w:tcW w:w="0" w:type="auto"/>
            <w:tcMar>
              <w:top w:w="150" w:type="dxa"/>
              <w:left w:w="240" w:type="dxa"/>
              <w:bottom w:w="150" w:type="dxa"/>
              <w:right w:w="240" w:type="dxa"/>
            </w:tcMar>
            <w:vAlign w:val="center"/>
            <w:hideMark/>
          </w:tcPr>
          <w:p w14:paraId="3F6F0579"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122</w:t>
            </w:r>
          </w:p>
        </w:tc>
        <w:tc>
          <w:tcPr>
            <w:tcW w:w="0" w:type="auto"/>
            <w:tcMar>
              <w:top w:w="150" w:type="dxa"/>
              <w:left w:w="240" w:type="dxa"/>
              <w:bottom w:w="150" w:type="dxa"/>
              <w:right w:w="0" w:type="dxa"/>
            </w:tcMar>
            <w:vAlign w:val="center"/>
            <w:hideMark/>
          </w:tcPr>
          <w:p w14:paraId="2131D15E"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122</w:t>
            </w:r>
          </w:p>
        </w:tc>
      </w:tr>
      <w:tr w:rsidR="00C85CB8" w:rsidRPr="006217F4" w14:paraId="2A0391AA" w14:textId="77777777" w:rsidTr="004C17F0">
        <w:trPr>
          <w:jc w:val="center"/>
        </w:trPr>
        <w:tc>
          <w:tcPr>
            <w:tcW w:w="0" w:type="auto"/>
            <w:tcMar>
              <w:top w:w="150" w:type="dxa"/>
              <w:left w:w="0" w:type="dxa"/>
              <w:bottom w:w="150" w:type="dxa"/>
              <w:right w:w="240" w:type="dxa"/>
            </w:tcMar>
            <w:vAlign w:val="center"/>
            <w:hideMark/>
          </w:tcPr>
          <w:p w14:paraId="391C3060"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Primary climatic constraint</w:t>
            </w:r>
          </w:p>
        </w:tc>
        <w:tc>
          <w:tcPr>
            <w:tcW w:w="0" w:type="auto"/>
            <w:tcMar>
              <w:top w:w="150" w:type="dxa"/>
              <w:left w:w="240" w:type="dxa"/>
              <w:bottom w:w="150" w:type="dxa"/>
              <w:right w:w="240" w:type="dxa"/>
            </w:tcMar>
            <w:vAlign w:val="center"/>
            <w:hideMark/>
          </w:tcPr>
          <w:p w14:paraId="0978B7F5"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Spring frost risk</w:t>
            </w:r>
          </w:p>
        </w:tc>
        <w:tc>
          <w:tcPr>
            <w:tcW w:w="0" w:type="auto"/>
            <w:tcMar>
              <w:top w:w="150" w:type="dxa"/>
              <w:left w:w="240" w:type="dxa"/>
              <w:bottom w:w="150" w:type="dxa"/>
              <w:right w:w="240" w:type="dxa"/>
            </w:tcMar>
            <w:vAlign w:val="center"/>
            <w:hideMark/>
          </w:tcPr>
          <w:p w14:paraId="7735E6C0"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Summer heat stress</w:t>
            </w:r>
          </w:p>
        </w:tc>
        <w:tc>
          <w:tcPr>
            <w:tcW w:w="0" w:type="auto"/>
            <w:tcMar>
              <w:top w:w="150" w:type="dxa"/>
              <w:left w:w="240" w:type="dxa"/>
              <w:bottom w:w="150" w:type="dxa"/>
              <w:right w:w="0" w:type="dxa"/>
            </w:tcMar>
            <w:vAlign w:val="center"/>
            <w:hideMark/>
          </w:tcPr>
          <w:p w14:paraId="69E24F28" w14:textId="77777777" w:rsidR="00C85CB8" w:rsidRPr="006217F4" w:rsidRDefault="00C85CB8" w:rsidP="005928BD">
            <w:pPr>
              <w:spacing w:after="80" w:line="240" w:lineRule="auto"/>
              <w:jc w:val="both"/>
              <w:rPr>
                <w:rFonts w:ascii="Times New Roman" w:hAnsi="Times New Roman" w:cs="Times New Roman"/>
                <w:sz w:val="20"/>
                <w:szCs w:val="20"/>
              </w:rPr>
            </w:pPr>
            <w:r w:rsidRPr="006217F4">
              <w:rPr>
                <w:rFonts w:ascii="Times New Roman" w:hAnsi="Times New Roman" w:cs="Times New Roman"/>
                <w:sz w:val="20"/>
                <w:szCs w:val="20"/>
              </w:rPr>
              <w:t>Pre-monsoon heat (March–May)</w:t>
            </w:r>
          </w:p>
        </w:tc>
      </w:tr>
    </w:tbl>
    <w:p w14:paraId="02ABA3D1" w14:textId="77777777" w:rsidR="00DB6DD1" w:rsidRDefault="00DB6DD1" w:rsidP="00DB6DD1">
      <w:pPr>
        <w:spacing w:line="360" w:lineRule="auto"/>
        <w:jc w:val="both"/>
        <w:rPr>
          <w:rFonts w:ascii="Times New Roman" w:hAnsi="Times New Roman" w:cs="Times New Roman"/>
          <w:sz w:val="24"/>
          <w:szCs w:val="24"/>
        </w:rPr>
      </w:pPr>
    </w:p>
    <w:p w14:paraId="42C2FD83" w14:textId="77777777" w:rsidR="005748AD" w:rsidRDefault="00BB2413" w:rsidP="005748AD">
      <w:pPr>
        <w:keepNext/>
        <w:spacing w:line="360" w:lineRule="auto"/>
        <w:jc w:val="both"/>
      </w:pPr>
      <w:r>
        <w:rPr>
          <w:rFonts w:ascii="Times New Roman" w:hAnsi="Times New Roman" w:cs="Times New Roman"/>
          <w:noProof/>
          <w:sz w:val="24"/>
          <w:szCs w:val="24"/>
        </w:rPr>
        <w:drawing>
          <wp:inline distT="0" distB="0" distL="0" distR="0" wp14:anchorId="780D92C5" wp14:editId="5E8A1E17">
            <wp:extent cx="5943600" cy="3871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1DE3EC86" w14:textId="3032559E" w:rsidR="00646B77" w:rsidRPr="005C641A" w:rsidRDefault="005748AD" w:rsidP="005748AD">
      <w:pPr>
        <w:pStyle w:val="Caption"/>
        <w:jc w:val="both"/>
        <w:rPr>
          <w:rFonts w:ascii="Times New Roman" w:hAnsi="Times New Roman" w:cs="Times New Roman"/>
          <w:i w:val="0"/>
          <w:iCs w:val="0"/>
          <w:color w:val="auto"/>
          <w:sz w:val="20"/>
          <w:szCs w:val="20"/>
        </w:rPr>
      </w:pPr>
      <w:r w:rsidRPr="005C641A">
        <w:rPr>
          <w:rFonts w:ascii="Times New Roman" w:hAnsi="Times New Roman" w:cs="Times New Roman"/>
          <w:i w:val="0"/>
          <w:iCs w:val="0"/>
          <w:color w:val="auto"/>
          <w:sz w:val="20"/>
          <w:szCs w:val="20"/>
        </w:rPr>
        <w:t xml:space="preserve">Figure </w:t>
      </w:r>
      <w:r w:rsidRPr="005C641A">
        <w:rPr>
          <w:rFonts w:ascii="Times New Roman" w:hAnsi="Times New Roman" w:cs="Times New Roman"/>
          <w:i w:val="0"/>
          <w:iCs w:val="0"/>
          <w:color w:val="auto"/>
          <w:sz w:val="20"/>
          <w:szCs w:val="20"/>
        </w:rPr>
        <w:fldChar w:fldCharType="begin"/>
      </w:r>
      <w:r w:rsidRPr="005C641A">
        <w:rPr>
          <w:rFonts w:ascii="Times New Roman" w:hAnsi="Times New Roman" w:cs="Times New Roman"/>
          <w:i w:val="0"/>
          <w:iCs w:val="0"/>
          <w:color w:val="auto"/>
          <w:sz w:val="20"/>
          <w:szCs w:val="20"/>
        </w:rPr>
        <w:instrText xml:space="preserve"> SEQ Figure \* ARABIC </w:instrText>
      </w:r>
      <w:r w:rsidRPr="005C641A">
        <w:rPr>
          <w:rFonts w:ascii="Times New Roman" w:hAnsi="Times New Roman" w:cs="Times New Roman"/>
          <w:i w:val="0"/>
          <w:iCs w:val="0"/>
          <w:color w:val="auto"/>
          <w:sz w:val="20"/>
          <w:szCs w:val="20"/>
        </w:rPr>
        <w:fldChar w:fldCharType="separate"/>
      </w:r>
      <w:r w:rsidRPr="005C641A">
        <w:rPr>
          <w:rFonts w:ascii="Times New Roman" w:hAnsi="Times New Roman" w:cs="Times New Roman"/>
          <w:i w:val="0"/>
          <w:iCs w:val="0"/>
          <w:color w:val="auto"/>
          <w:sz w:val="20"/>
          <w:szCs w:val="20"/>
        </w:rPr>
        <w:t>7</w:t>
      </w:r>
      <w:r w:rsidRPr="005C641A">
        <w:rPr>
          <w:rFonts w:ascii="Times New Roman" w:hAnsi="Times New Roman" w:cs="Times New Roman"/>
          <w:i w:val="0"/>
          <w:iCs w:val="0"/>
          <w:color w:val="auto"/>
          <w:sz w:val="20"/>
          <w:szCs w:val="20"/>
        </w:rPr>
        <w:fldChar w:fldCharType="end"/>
      </w:r>
      <w:r w:rsidRPr="005C641A">
        <w:rPr>
          <w:rFonts w:ascii="Times New Roman" w:hAnsi="Times New Roman" w:cs="Times New Roman"/>
          <w:i w:val="0"/>
          <w:iCs w:val="0"/>
          <w:color w:val="auto"/>
          <w:sz w:val="20"/>
          <w:szCs w:val="20"/>
        </w:rPr>
        <w:t xml:space="preserve"> : Growing season calendar, monthly mean temperature </w:t>
      </w:r>
      <w:r w:rsidR="005C641A" w:rsidRPr="005C641A">
        <w:rPr>
          <w:rFonts w:ascii="Times New Roman" w:hAnsi="Times New Roman" w:cs="Times New Roman"/>
          <w:i w:val="0"/>
          <w:iCs w:val="0"/>
          <w:color w:val="auto"/>
          <w:sz w:val="20"/>
          <w:szCs w:val="20"/>
        </w:rPr>
        <w:t>colored</w:t>
      </w:r>
      <w:r w:rsidRPr="005C641A">
        <w:rPr>
          <w:rFonts w:ascii="Times New Roman" w:hAnsi="Times New Roman" w:cs="Times New Roman"/>
          <w:i w:val="0"/>
          <w:iCs w:val="0"/>
          <w:color w:val="auto"/>
          <w:sz w:val="20"/>
          <w:szCs w:val="20"/>
        </w:rPr>
        <w:t xml:space="preserve"> by stress class, and water balance (deficit/surplus). The benefit of APV shading during heat‑stress periods is indicated.</w:t>
      </w:r>
    </w:p>
    <w:p w14:paraId="185CBEEC" w14:textId="77777777" w:rsidR="00207C1E" w:rsidRPr="00DB6DD1" w:rsidRDefault="00207C1E" w:rsidP="00DB6DD1">
      <w:pPr>
        <w:spacing w:line="360" w:lineRule="auto"/>
        <w:jc w:val="both"/>
        <w:rPr>
          <w:rFonts w:ascii="Times New Roman" w:hAnsi="Times New Roman" w:cs="Times New Roman"/>
          <w:sz w:val="24"/>
          <w:szCs w:val="24"/>
        </w:rPr>
      </w:pPr>
    </w:p>
    <w:p w14:paraId="723F5294" w14:textId="66AF5B77"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3.6. Evapotranspiration reduction under APV panels</w:t>
      </w:r>
    </w:p>
    <w:p w14:paraId="4E6A938D" w14:textId="3F1F226D" w:rsidR="00DB6DD1" w:rsidRDefault="00DB6DD1" w:rsidP="00112C38">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One of the most agriculturally significant benefits of agrivoltaic systems in semi-arid regions is the reduction of crop evapotranspiration that results from panel shading, which directly translates into lower irrigation requirements. Field evidence from lysimeter experiments consistently confirms this effect </w:t>
      </w:r>
      <w:r w:rsidR="005E5D6A">
        <w:rPr>
          <w:rFonts w:ascii="Times New Roman" w:hAnsi="Times New Roman" w:cs="Times New Roman"/>
          <w:sz w:val="24"/>
          <w:szCs w:val="24"/>
        </w:rPr>
        <w:fldChar w:fldCharType="begin"/>
      </w:r>
      <w:r w:rsidR="005E5D6A">
        <w:rPr>
          <w:rFonts w:ascii="Times New Roman" w:hAnsi="Times New Roman" w:cs="Times New Roman"/>
          <w:sz w:val="24"/>
          <w:szCs w:val="24"/>
        </w:rPr>
        <w:instrText xml:space="preserve"> ADDIN ZOTERO_ITEM CSL_CITATION {"citationID":"6PURcD5q","properties":{"unsorted":false,"formattedCitation":"(Elamri et al., 2018; Mohammedi et al., 2023; Semeraro et al., 2024)","plainCitation":"(Elamri et al., 2018; Mohammedi et al., 2023; Semeraro et al., 2024)","noteIndex":0},"citationItems":[{"id":20,"uris":["http://zotero.org/users/local/i6bXxmSk/items/HHB3VW5U"],"itemData":{"id":20,"type":"article-journal","abstract":"The installation of tilting-angle solar panels above agricultural plots provides renewable energy and means of action to dampen some of the eﬀects and hazards of climate change. When the panels are properly operated, their drop shadow reduces water consumption by the plants, as a consequence of alternating shade and sun bands with a short-term impact on the stomatal conductance and a global decrease of gas exchanges. This urged the development of a new model for crop growth and water budget, adapted here from existing literature to handle such transient conditions, characterized by short-term (infra-day) ﬂuctuations. The main diﬃculty was to combine short-term ﬂuctuations in the climatic forcings (radiation interception and rain redistribution by the panels) and long-term agronomic evaluation, hence the coexistence of several calculation time steps in model structure. All ﬁeld experiments were conducted on purpose in the agrivoltaic plot of Lavalette (Montpellier, France). Speciﬁc adaptations consisted in describing the stomatal behavior of the plants for ﬂuctuating solar radiations and varied water status, aiming at improving both the piloting of the solar panels and water management, i.e. the choice of irrigation amounts. Model simulations have been able to reproduce the expected beneﬁts from agrivoltaic installations, for example showing that it is possible to improve land use eﬃciency and water productivity at once, by reducing irrigation amounts by 20%, when tolerating a decrease of 10% in yield or, alternatively, a slight extension of the cropping cycle. Agrivoltaism appears a solution for the future when facing climate change and the food and energy challenges, typically in the rural areas and the developing countries and especially if the procedure presented here proves relevant for other crops and contexts.","container-title":"Agricultural Water Management","DOI":"10.1016/j.agwat.2018.07.001","ISSN":"03783774","journalAbbreviation":"Agricultural Water Management","language":"en","page":"440-453","source":"DOI.org (Crossref)","title":"Water budget and crop modelling for agrivoltaic systems: Application to irrigated lettuces","title-short":"Water budget and crop modelling for agrivoltaic systems","volume":"208","author":[{"family":"Elamri","given":"Y."},{"family":"Cheviron","given":"B."},{"family":"Lopez","given":"J.-M."},{"family":"Dejean","given":"C."},{"family":"Belaud","given":"G."}],"issued":{"date-parts":[["2018",9]]}}},{"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w:instrText>
      </w:r>
      <w:r w:rsidR="005E5D6A" w:rsidRPr="00014D3B">
        <w:rPr>
          <w:rFonts w:ascii="Times New Roman" w:hAnsi="Times New Roman" w:cs="Times New Roman"/>
          <w:sz w:val="24"/>
          <w:szCs w:val="24"/>
        </w:rPr>
        <w:instrText>-title":"Processes","DOI":"10.3390/pr11123370","ISSN":"2227-9</w:instrText>
      </w:r>
      <w:r w:rsidR="005E5D6A" w:rsidRPr="004B4E3B">
        <w:rPr>
          <w:rFonts w:ascii="Times New Roman" w:hAnsi="Times New Roman" w:cs="Times New Roman"/>
          <w:sz w:val="24"/>
          <w:szCs w:val="24"/>
        </w:rPr>
        <w:instrText xml:space="preserve">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id":49,"uris":["http://zotero.org/users/local/i6bXxmSk/items/IWU4GWTD"],"itemData":{"id":49,"type":"article-journal","container-title":"Applied Energy","DOI":"10.1016/j.apenergy.2023.122565","ISSN":"03062619","journalAbbreviation":"Applied Energy","language":"en","page":"122565","source":"DOI.org (Crossref)","title":"Shading effects in agrivoltaic systems can make the difference in boosting food security in climate change","volume":"358","author":[{"family":"Semeraro","given":"Teodoro"},{"family":"Scarano","given":"Aurelia"},{"family":"Curci","given":"Lorenzo Maria"},{"family":"Leggieri","given":"Angelo"},{"family":"Lenucci","given":"Marcello"},{"family":"Basset","given":"Alberto"},{"family":"Santino","given":"Angelo"},{"family":"Piro","given":"Gabriella"},{"family":"De Caroli","given":"Monica"}],"issued":{"date-parts":[["2024",3]]}}}],"schema":"https://github.com/citation-style-language/schema/raw/master/csl-citation.json"} </w:instrText>
      </w:r>
      <w:r w:rsidR="005E5D6A">
        <w:rPr>
          <w:rFonts w:ascii="Times New Roman" w:hAnsi="Times New Roman" w:cs="Times New Roman"/>
          <w:sz w:val="24"/>
          <w:szCs w:val="24"/>
        </w:rPr>
        <w:fldChar w:fldCharType="separate"/>
      </w:r>
      <w:r w:rsidR="005E5D6A" w:rsidRPr="004B4E3B">
        <w:rPr>
          <w:rFonts w:ascii="Calibri" w:hAnsi="Calibri" w:cs="Calibri"/>
          <w:sz w:val="24"/>
        </w:rPr>
        <w:t xml:space="preserve">(Elamri et al., 2018; Mohammedi et al., 2023; Semeraro et al., </w:t>
      </w:r>
      <w:r w:rsidR="005E5D6A" w:rsidRPr="004B4E3B">
        <w:rPr>
          <w:rFonts w:ascii="Calibri" w:hAnsi="Calibri" w:cs="Calibri"/>
          <w:sz w:val="24"/>
        </w:rPr>
        <w:lastRenderedPageBreak/>
        <w:t>2024)</w:t>
      </w:r>
      <w:r w:rsidR="005E5D6A">
        <w:rPr>
          <w:rFonts w:ascii="Times New Roman" w:hAnsi="Times New Roman" w:cs="Times New Roman"/>
          <w:sz w:val="24"/>
          <w:szCs w:val="24"/>
        </w:rPr>
        <w:fldChar w:fldCharType="end"/>
      </w:r>
      <w:r w:rsidRPr="004B4E3B">
        <w:rPr>
          <w:rFonts w:ascii="Times New Roman" w:hAnsi="Times New Roman" w:cs="Times New Roman"/>
          <w:sz w:val="24"/>
          <w:szCs w:val="24"/>
        </w:rPr>
        <w:t xml:space="preserve">. </w:t>
      </w:r>
      <w:r w:rsidRPr="00DB6DD1">
        <w:rPr>
          <w:rFonts w:ascii="Times New Roman" w:hAnsi="Times New Roman" w:cs="Times New Roman"/>
          <w:sz w:val="24"/>
          <w:szCs w:val="24"/>
        </w:rPr>
        <w:t xml:space="preserve">Reference evapotranspiration ET₀ is calculated hourly using the FAO-56 Penman-Monteith equation </w:t>
      </w:r>
      <w:r w:rsidR="004B4E3B">
        <w:rPr>
          <w:rFonts w:ascii="Times New Roman" w:hAnsi="Times New Roman" w:cs="Times New Roman"/>
          <w:sz w:val="24"/>
          <w:szCs w:val="24"/>
        </w:rPr>
        <w:fldChar w:fldCharType="begin"/>
      </w:r>
      <w:r w:rsidR="004B4E3B">
        <w:rPr>
          <w:rFonts w:ascii="Times New Roman" w:hAnsi="Times New Roman" w:cs="Times New Roman"/>
          <w:sz w:val="24"/>
          <w:szCs w:val="24"/>
        </w:rPr>
        <w:instrText xml:space="preserve"> ADDIN ZOTERO_ITEM CSL_CITATION {"citationID":"3dPc7VG8","properties":{"unsorted":false,"formattedCitation":"(Allen et al., n.d.)","plainCitation":"(Allen et al., n.d.)","noteIndex":0},"citationItems":[{"id":160,"uris":["http://zotero.org/users/local/i6bXxmSk/items/CER8HKEQ"],"itemData":{"id":160,"type":"article-journal","language":"en","source":"Zotero","title":"Crop evapotranspiration - Guidelines for computing crop water requirements - FAO Irrigation and drainage paper 56","author":[{"family":"Allen","given":"Richard G"},{"family":"Pereira","given":"Luis S"},{"family":"Raes","given":"Dirk"},{"family":"Smith","given":"Martin"}]}}],"schema":"https://github.com/citation-style-language/schema/raw/master/csl-citation.json"} </w:instrText>
      </w:r>
      <w:r w:rsidR="004B4E3B">
        <w:rPr>
          <w:rFonts w:ascii="Times New Roman" w:hAnsi="Times New Roman" w:cs="Times New Roman"/>
          <w:sz w:val="24"/>
          <w:szCs w:val="24"/>
        </w:rPr>
        <w:fldChar w:fldCharType="separate"/>
      </w:r>
      <w:r w:rsidR="004B4E3B" w:rsidRPr="004B4E3B">
        <w:rPr>
          <w:rFonts w:ascii="Calibri" w:hAnsi="Calibri" w:cs="Calibri"/>
          <w:sz w:val="24"/>
        </w:rPr>
        <w:t>(Allen et al., n.d.)</w:t>
      </w:r>
      <w:r w:rsidR="004B4E3B">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147599DD" w14:textId="77777777" w:rsidR="009F433F" w:rsidRPr="00DB6DD1" w:rsidRDefault="009F433F" w:rsidP="00112C38">
      <w:pPr>
        <w:spacing w:line="360" w:lineRule="auto"/>
        <w:ind w:firstLine="720"/>
        <w:jc w:val="both"/>
        <w:rPr>
          <w:rFonts w:ascii="Times New Roman" w:hAnsi="Times New Roman" w:cs="Times New Roman"/>
          <w:sz w:val="24"/>
          <w:szCs w:val="24"/>
        </w:rPr>
      </w:pPr>
    </w:p>
    <w:p w14:paraId="6EF7C752" w14:textId="0F72FF32" w:rsidR="00DB6DD1" w:rsidRPr="00112C38" w:rsidRDefault="00533732" w:rsidP="00DB6DD1">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eastAsia="Cambria Math" w:hAnsi="Cambria Math" w:cs="Times New Roman"/>
                  <w:sz w:val="24"/>
                  <w:szCs w:val="24"/>
                </w:rPr>
                <m:t>E</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0</m:t>
                  </m:r>
                </m:sub>
              </m:sSub>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0.408δ</m:t>
                  </m:r>
                  <m:d>
                    <m:dPr>
                      <m:ctrlPr>
                        <w:rPr>
                          <w:rFonts w:ascii="Cambria Math" w:eastAsia="Cambria Math" w:hAnsi="Cambria Math" w:cs="Times New Roman"/>
                          <w:i/>
                          <w:sz w:val="24"/>
                          <w:szCs w:val="24"/>
                        </w:rPr>
                      </m:ctrlPr>
                    </m:d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R</m:t>
                          </m:r>
                        </m:e>
                        <m:sub>
                          <m:r>
                            <w:rPr>
                              <w:rFonts w:ascii="Cambria Math" w:eastAsia="Cambria Math" w:hAnsi="Cambria Math" w:cs="Times New Roman"/>
                              <w:sz w:val="24"/>
                              <w:szCs w:val="24"/>
                            </w:rPr>
                            <m:t>n</m:t>
                          </m:r>
                        </m:sub>
                      </m:sSub>
                      <m:r>
                        <w:rPr>
                          <w:rFonts w:ascii="Cambria Math" w:eastAsia="Cambria Math" w:hAnsi="Cambria Math" w:cs="Times New Roman"/>
                          <w:sz w:val="24"/>
                          <w:szCs w:val="24"/>
                        </w:rPr>
                        <m:t>-G</m:t>
                      </m:r>
                    </m:e>
                  </m:d>
                  <m:r>
                    <w:rPr>
                      <w:rFonts w:ascii="Cambria Math" w:eastAsia="Cambria Math" w:hAnsi="Cambria Math" w:cs="Times New Roman"/>
                      <w:sz w:val="24"/>
                      <w:szCs w:val="24"/>
                    </w:rPr>
                    <m:t>+ γ</m:t>
                  </m:r>
                  <m:d>
                    <m:dPr>
                      <m:ctrlPr>
                        <w:rPr>
                          <w:rFonts w:ascii="Cambria Math" w:eastAsia="Cambria Math" w:hAnsi="Cambria Math" w:cs="Times New Roman"/>
                          <w:i/>
                          <w:sz w:val="24"/>
                          <w:szCs w:val="24"/>
                        </w:rPr>
                      </m:ctrlPr>
                    </m:dPr>
                    <m:e>
                      <m:f>
                        <m:fPr>
                          <m:ctrlPr>
                            <w:rPr>
                              <w:rFonts w:ascii="Cambria Math" w:eastAsia="Cambria Math" w:hAnsi="Cambria Math" w:cs="Times New Roman"/>
                              <w:i/>
                              <w:sz w:val="24"/>
                              <w:szCs w:val="24"/>
                            </w:rPr>
                          </m:ctrlPr>
                        </m:fPr>
                        <m:num>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n</m:t>
                              </m:r>
                            </m:sub>
                          </m:sSub>
                        </m:num>
                        <m:den>
                          <m:r>
                            <w:rPr>
                              <w:rFonts w:ascii="Cambria Math" w:eastAsia="Cambria Math" w:hAnsi="Cambria Math" w:cs="Times New Roman"/>
                              <w:sz w:val="24"/>
                              <w:szCs w:val="24"/>
                            </w:rPr>
                            <m:t>T+273</m:t>
                          </m:r>
                        </m:den>
                      </m:f>
                    </m:e>
                  </m:d>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i/>
                          <w:sz w:val="24"/>
                          <w:szCs w:val="24"/>
                        </w:rPr>
                      </m:ctrlPr>
                    </m:d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a</m:t>
                          </m:r>
                        </m:sub>
                      </m:sSub>
                    </m:e>
                  </m:d>
                </m:num>
                <m:den>
                  <m:r>
                    <w:rPr>
                      <w:rFonts w:ascii="Cambria Math" w:eastAsia="Cambria Math" w:hAnsi="Cambria Math" w:cs="Times New Roman"/>
                      <w:sz w:val="24"/>
                      <w:szCs w:val="24"/>
                    </w:rPr>
                    <m:t>δ + γ</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p>
                        <m:sSupPr>
                          <m:ctrlPr>
                            <w:rPr>
                              <w:rFonts w:ascii="Cambria Math" w:eastAsia="Cambria Math" w:hAnsi="Cambria Math" w:cs="Times New Roman"/>
                              <w:i/>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2</m:t>
                          </m:r>
                        </m:sup>
                      </m:sSup>
                    </m:e>
                  </m:d>
                </m:den>
              </m:f>
              <m:r>
                <w:rPr>
                  <w:rFonts w:ascii="Cambria Math" w:eastAsia="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m:t>
                  </m:r>
                </m:e>
              </m:d>
              <m:ctrlPr>
                <w:rPr>
                  <w:rFonts w:ascii="Cambria Math" w:eastAsia="Cambria Math" w:hAnsi="Cambria Math" w:cs="Times New Roman"/>
                  <w:i/>
                  <w:sz w:val="24"/>
                  <w:szCs w:val="24"/>
                </w:rPr>
              </m:ctrlPr>
            </m:e>
          </m:eqArr>
        </m:oMath>
      </m:oMathPara>
    </w:p>
    <w:p w14:paraId="541BB61C" w14:textId="77777777" w:rsidR="009F433F" w:rsidRDefault="009F433F" w:rsidP="00DB6DD1">
      <w:pPr>
        <w:spacing w:line="360" w:lineRule="auto"/>
        <w:jc w:val="both"/>
        <w:rPr>
          <w:rFonts w:ascii="Times New Roman" w:hAnsi="Times New Roman" w:cs="Times New Roman"/>
          <w:sz w:val="24"/>
          <w:szCs w:val="24"/>
        </w:rPr>
      </w:pPr>
    </w:p>
    <w:p w14:paraId="53E26E33" w14:textId="22BBAB7B"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r>
          <w:rPr>
            <w:rFonts w:ascii="Cambria Math" w:hAnsi="Cambria Math" w:cs="Times New Roman"/>
            <w:sz w:val="24"/>
            <w:szCs w:val="24"/>
          </w:rPr>
          <m:t>δ</m:t>
        </m:r>
      </m:oMath>
      <w:r w:rsidRPr="00DB6DD1">
        <w:rPr>
          <w:rFonts w:ascii="Times New Roman" w:hAnsi="Times New Roman" w:cs="Times New Roman"/>
          <w:sz w:val="24"/>
          <w:szCs w:val="24"/>
        </w:rPr>
        <w:t xml:space="preserve"> is the slope of the saturation </w:t>
      </w:r>
      <w:r w:rsidR="007A2284" w:rsidRPr="00DB6DD1">
        <w:rPr>
          <w:rFonts w:ascii="Times New Roman" w:hAnsi="Times New Roman" w:cs="Times New Roman"/>
          <w:sz w:val="24"/>
          <w:szCs w:val="24"/>
        </w:rPr>
        <w:t>vapor</w:t>
      </w:r>
      <w:r w:rsidRPr="00DB6DD1">
        <w:rPr>
          <w:rFonts w:ascii="Times New Roman" w:hAnsi="Times New Roman" w:cs="Times New Roman"/>
          <w:sz w:val="24"/>
          <w:szCs w:val="24"/>
        </w:rPr>
        <w:t xml:space="preserve"> pressure curve (kPa/°C), </w:t>
      </w:r>
      <m:oMath>
        <m:r>
          <w:rPr>
            <w:rFonts w:ascii="Cambria Math" w:hAnsi="Cambria Math" w:cs="Times New Roman"/>
            <w:sz w:val="24"/>
            <w:szCs w:val="24"/>
          </w:rPr>
          <m:t>γ</m:t>
        </m:r>
      </m:oMath>
      <w:r w:rsidRPr="00DB6DD1">
        <w:rPr>
          <w:rFonts w:ascii="Times New Roman" w:hAnsi="Times New Roman" w:cs="Times New Roman"/>
          <w:sz w:val="24"/>
          <w:szCs w:val="24"/>
        </w:rPr>
        <w:t xml:space="preserve"> is the psychrometric constant (0.0665 kPa/°C at Konya elevation, adjusted for Almería and Ouagadougou),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oMath>
      <w:r w:rsidRPr="00DB6DD1">
        <w:rPr>
          <w:rFonts w:ascii="Times New Roman" w:hAnsi="Times New Roman" w:cs="Times New Roman"/>
          <w:sz w:val="24"/>
          <w:szCs w:val="24"/>
        </w:rPr>
        <w:t xml:space="preserve"> is net radiation (MJ/m²/h), </w:t>
      </w:r>
      <m:oMath>
        <m:r>
          <w:rPr>
            <w:rFonts w:ascii="Cambria Math" w:hAnsi="Cambria Math" w:cs="Times New Roman"/>
            <w:sz w:val="24"/>
            <w:szCs w:val="24"/>
          </w:rPr>
          <m:t>G</m:t>
        </m:r>
      </m:oMath>
      <w:r w:rsidRPr="00DB6DD1">
        <w:rPr>
          <w:rFonts w:ascii="Times New Roman" w:hAnsi="Times New Roman" w:cs="Times New Roman"/>
          <w:sz w:val="24"/>
          <w:szCs w:val="24"/>
        </w:rPr>
        <w:t xml:space="preserve"> is soil heat flux (neglected at hourly scale following </w:t>
      </w:r>
      <w:r w:rsidR="00214435">
        <w:rPr>
          <w:rFonts w:ascii="Times New Roman" w:hAnsi="Times New Roman" w:cs="Times New Roman"/>
          <w:sz w:val="24"/>
          <w:szCs w:val="24"/>
        </w:rPr>
        <w:fldChar w:fldCharType="begin"/>
      </w:r>
      <w:r w:rsidR="00214435">
        <w:rPr>
          <w:rFonts w:ascii="Times New Roman" w:hAnsi="Times New Roman" w:cs="Times New Roman"/>
          <w:sz w:val="24"/>
          <w:szCs w:val="24"/>
        </w:rPr>
        <w:instrText xml:space="preserve"> ADDIN ZOTERO_ITEM CSL_CITATION {"citationID":"B9pyAiud","properties":{"unsorted":false,"formattedCitation":"(Allen et al., n.d.)","plainCitation":"(Allen et al., n.d.)","noteIndex":0},"citationItems":[{"id":160,"uris":["http://zotero.org/users/local/i6bXxmSk/items/CER8HKEQ"],"itemData":{"id":160,"type":"article-journal","language":"en","source":"Zotero","title":"Crop evapotranspiration - Guidelines for computing crop water requirements - FAO Irrigation and drainage paper 56","author":[{"family":"Allen","given":"Richard G"},{"family":"Pereira","given":"Luis S"},{"family":"Raes","given":"Dirk"},{"family":"Smith","given":"Martin"}]}}],"schema":"https://github.com/citation-style-language/schema/raw/master/csl-citation.json"} </w:instrText>
      </w:r>
      <w:r w:rsidR="00214435">
        <w:rPr>
          <w:rFonts w:ascii="Times New Roman" w:hAnsi="Times New Roman" w:cs="Times New Roman"/>
          <w:sz w:val="24"/>
          <w:szCs w:val="24"/>
        </w:rPr>
        <w:fldChar w:fldCharType="separate"/>
      </w:r>
      <w:r w:rsidR="00214435" w:rsidRPr="00214435">
        <w:rPr>
          <w:rFonts w:ascii="Calibri" w:hAnsi="Calibri" w:cs="Calibri"/>
          <w:sz w:val="24"/>
        </w:rPr>
        <w:t>(Allen et al., n.d.)</w:t>
      </w:r>
      <w:r w:rsidR="00214435">
        <w:rPr>
          <w:rFonts w:ascii="Times New Roman" w:hAnsi="Times New Roman" w:cs="Times New Roman"/>
          <w:sz w:val="24"/>
          <w:szCs w:val="24"/>
        </w:rPr>
        <w:fldChar w:fldCharType="end"/>
      </w:r>
      <w:r w:rsidRPr="00DB6DD1">
        <w:rPr>
          <w:rFonts w:ascii="Times New Roman" w:hAnsi="Times New Roman" w:cs="Times New Roman"/>
          <w:sz w:val="24"/>
          <w:szCs w:val="24"/>
        </w:rPr>
        <w:t xml:space="preserve">), u₂ is wind speed at 2 m height (corrected from 10 m using a logarithmic profile with roughness length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 0.03 m</m:t>
        </m:r>
      </m:oMath>
      <w:r w:rsidRPr="00DB6DD1">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rPr>
          <m:t>)</m:t>
        </m:r>
      </m:oMath>
      <w:r w:rsidRPr="00DB6DD1">
        <w:rPr>
          <w:rFonts w:ascii="Times New Roman" w:hAnsi="Times New Roman" w:cs="Times New Roman"/>
          <w:sz w:val="24"/>
          <w:szCs w:val="24"/>
        </w:rPr>
        <w:t xml:space="preserve"> is </w:t>
      </w:r>
      <w:r w:rsidR="007A2284" w:rsidRPr="00DB6DD1">
        <w:rPr>
          <w:rFonts w:ascii="Times New Roman" w:hAnsi="Times New Roman" w:cs="Times New Roman"/>
          <w:sz w:val="24"/>
          <w:szCs w:val="24"/>
        </w:rPr>
        <w:t>vapor</w:t>
      </w:r>
      <w:r w:rsidRPr="00DB6DD1">
        <w:rPr>
          <w:rFonts w:ascii="Times New Roman" w:hAnsi="Times New Roman" w:cs="Times New Roman"/>
          <w:sz w:val="24"/>
          <w:szCs w:val="24"/>
        </w:rPr>
        <w:t xml:space="preserve"> pressure deficit, and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m:t>
            </m:r>
          </m:sub>
        </m:sSub>
        <m:r>
          <w:rPr>
            <w:rFonts w:ascii="Cambria Math" w:hAnsi="Cambria Math" w:cs="Times New Roman"/>
            <w:sz w:val="24"/>
            <w:szCs w:val="24"/>
          </w:rPr>
          <m:t>= 37</m:t>
        </m:r>
      </m:oMath>
      <w:r w:rsidRPr="00DB6DD1">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w:rPr>
            <w:rFonts w:ascii="Cambria Math" w:hAnsi="Cambria Math" w:cs="Times New Roman"/>
            <w:sz w:val="24"/>
            <w:szCs w:val="24"/>
          </w:rPr>
          <m:t>= 0.24</m:t>
        </m:r>
      </m:oMath>
      <w:r w:rsidRPr="00DB6DD1">
        <w:rPr>
          <w:rFonts w:ascii="Times New Roman" w:hAnsi="Times New Roman" w:cs="Times New Roman"/>
          <w:sz w:val="24"/>
          <w:szCs w:val="24"/>
        </w:rPr>
        <w:t xml:space="preserve"> are hourly daytime coefficients.</w:t>
      </w:r>
    </w:p>
    <w:p w14:paraId="731835F1" w14:textId="21ED97C7"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APV panels intercept incoming solar radiation and thereby reduce the net radiation term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oMath>
      <w:r w:rsidRPr="00DB6DD1">
        <w:rPr>
          <w:rFonts w:ascii="Times New Roman" w:hAnsi="Times New Roman" w:cs="Times New Roman"/>
          <w:sz w:val="24"/>
          <w:szCs w:val="24"/>
        </w:rPr>
        <w:t xml:space="preserve"> that drives evaporation. This shading correction is captured as:</w:t>
      </w:r>
    </w:p>
    <w:p w14:paraId="02DA637A" w14:textId="77777777" w:rsidR="00DB6DD1" w:rsidRPr="00DB6DD1" w:rsidRDefault="00DB6DD1" w:rsidP="00DB6DD1">
      <w:pPr>
        <w:spacing w:line="360" w:lineRule="auto"/>
        <w:jc w:val="both"/>
        <w:rPr>
          <w:rFonts w:ascii="Times New Roman" w:hAnsi="Times New Roman" w:cs="Times New Roman"/>
          <w:sz w:val="24"/>
          <w:szCs w:val="24"/>
        </w:rPr>
      </w:pPr>
    </w:p>
    <w:p w14:paraId="65963E43" w14:textId="1B12BD80" w:rsidR="00DB6DD1" w:rsidRPr="00884F50" w:rsidRDefault="00533732" w:rsidP="00884F50">
      <w:pPr>
        <w:spacing w:line="360" w:lineRule="auto"/>
        <w:jc w:val="center"/>
        <w:rPr>
          <w:rFonts w:ascii="Times New Roman" w:eastAsiaTheme="minorEastAsia" w:hAnsi="Times New Roman" w:cs="Times New Roman"/>
          <w:sz w:val="24"/>
          <w:szCs w:val="24"/>
          <w:lang w:val="fr-FR"/>
        </w:rPr>
      </w:pPr>
      <m:oMathPara>
        <m:oMath>
          <m:eqArr>
            <m:eqArrPr>
              <m:maxDist m:val="1"/>
              <m:ctrlPr>
                <w:rPr>
                  <w:rFonts w:ascii="Cambria Math" w:eastAsia="Cambria Math" w:hAnsi="Cambria Math" w:cs="Times New Roman"/>
                  <w:i/>
                  <w:sz w:val="24"/>
                  <w:szCs w:val="24"/>
                  <w:lang w:val="fr-FR"/>
                </w:rPr>
              </m:ctrlPr>
            </m:eqArr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R</m:t>
                  </m:r>
                </m:e>
                <m:sub>
                  <m:r>
                    <w:rPr>
                      <w:rFonts w:ascii="Cambria Math" w:eastAsia="Cambria Math" w:hAnsi="Cambria Math" w:cs="Times New Roman"/>
                      <w:sz w:val="24"/>
                      <w:szCs w:val="24"/>
                      <w:lang w:val="fr-FR"/>
                    </w:rPr>
                    <m:t>n,APV</m:t>
                  </m:r>
                </m:sub>
              </m:sSub>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r>
                <w:rPr>
                  <w:rFonts w:ascii="Cambria Math" w:eastAsia="Cambria Math" w:hAnsi="Cambria Math" w:cs="Times New Roman"/>
                  <w:sz w:val="24"/>
                  <w:szCs w:val="24"/>
                  <w:lang w:val="fr-FR"/>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R</m:t>
                  </m:r>
                </m:e>
                <m:sub>
                  <m:r>
                    <w:rPr>
                      <w:rFonts w:ascii="Cambria Math" w:eastAsia="Cambria Math" w:hAnsi="Cambria Math" w:cs="Times New Roman"/>
                      <w:sz w:val="24"/>
                      <w:szCs w:val="24"/>
                      <w:lang w:val="fr-FR"/>
                    </w:rPr>
                    <m:t>n,open</m:t>
                  </m:r>
                </m:sub>
              </m:sSub>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r>
                <w:rPr>
                  <w:rFonts w:ascii="Cambria Math" w:eastAsia="Cambria Math" w:hAnsi="Cambria Math" w:cs="Times New Roman"/>
                  <w:sz w:val="24"/>
                  <w:szCs w:val="24"/>
                  <w:lang w:val="fr-FR"/>
                </w:rPr>
                <m:t xml:space="preserve">× </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 xml:space="preserve">1 -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F</m:t>
                      </m:r>
                    </m:e>
                    <m:sub>
                      <m:r>
                        <w:rPr>
                          <w:rFonts w:ascii="Cambria Math" w:eastAsia="Cambria Math" w:hAnsi="Cambria Math" w:cs="Times New Roman"/>
                          <w:sz w:val="24"/>
                          <w:szCs w:val="24"/>
                          <w:lang w:val="fr-FR"/>
                        </w:rPr>
                        <m:t>shad</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e>
              </m:d>
              <m:r>
                <w:rPr>
                  <w:rFonts w:ascii="Cambria Math" w:eastAsia="Cambria Math" w:hAnsi="Cambria Math" w:cs="Times New Roman"/>
                  <w:sz w:val="24"/>
                  <w:szCs w:val="24"/>
                  <w:lang w:val="fr-FR"/>
                </w:rPr>
                <m:t>#</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13</m:t>
                  </m:r>
                </m:e>
              </m:d>
            </m:e>
          </m:eqArr>
        </m:oMath>
      </m:oMathPara>
    </w:p>
    <w:p w14:paraId="47762A60" w14:textId="77777777" w:rsidR="009F433F" w:rsidRDefault="009F433F" w:rsidP="00DB6DD1">
      <w:pPr>
        <w:spacing w:line="360" w:lineRule="auto"/>
        <w:jc w:val="both"/>
        <w:rPr>
          <w:rFonts w:ascii="Times New Roman" w:hAnsi="Times New Roman" w:cs="Times New Roman"/>
          <w:sz w:val="24"/>
          <w:szCs w:val="24"/>
        </w:rPr>
      </w:pPr>
    </w:p>
    <w:p w14:paraId="4CFB6A37" w14:textId="0569D0A6" w:rsid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In practice, the full Penman-Monteith calculation with the modified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oMath>
      <w:r w:rsidRPr="00DB6DD1">
        <w:rPr>
          <w:rFonts w:ascii="Times New Roman" w:hAnsi="Times New Roman" w:cs="Times New Roman"/>
          <w:sz w:val="24"/>
          <w:szCs w:val="24"/>
        </w:rPr>
        <w:t xml:space="preserve"> is linearized around the shading fraction to give:</w:t>
      </w:r>
    </w:p>
    <w:p w14:paraId="2C6DB349" w14:textId="77777777" w:rsidR="009F433F" w:rsidRPr="00DB6DD1" w:rsidRDefault="009F433F" w:rsidP="00DB6DD1">
      <w:pPr>
        <w:spacing w:line="360" w:lineRule="auto"/>
        <w:jc w:val="both"/>
        <w:rPr>
          <w:rFonts w:ascii="Times New Roman" w:hAnsi="Times New Roman" w:cs="Times New Roman"/>
          <w:sz w:val="24"/>
          <w:szCs w:val="24"/>
        </w:rPr>
      </w:pPr>
    </w:p>
    <w:p w14:paraId="35D416E3" w14:textId="4374DCB8" w:rsidR="00DB6DD1" w:rsidRPr="000F0BB0" w:rsidRDefault="00533732" w:rsidP="000F0BB0">
      <w:pPr>
        <w:spacing w:line="360" w:lineRule="auto"/>
        <w:jc w:val="center"/>
        <w:rPr>
          <w:rFonts w:ascii="Times New Roman" w:eastAsiaTheme="minorEastAsia" w:hAnsi="Times New Roman" w:cs="Times New Roman"/>
          <w:sz w:val="24"/>
          <w:szCs w:val="24"/>
          <w:lang w:val="fr-FR"/>
        </w:rPr>
      </w:pPr>
      <m:oMathPara>
        <m:oMath>
          <m:eqArr>
            <m:eqArrPr>
              <m:maxDist m:val="1"/>
              <m:ctrlPr>
                <w:rPr>
                  <w:rFonts w:ascii="Cambria Math" w:eastAsia="Cambria Math" w:hAnsi="Cambria Math" w:cs="Times New Roman"/>
                  <w:i/>
                  <w:sz w:val="24"/>
                  <w:szCs w:val="24"/>
                  <w:lang w:val="fr-FR"/>
                </w:rPr>
              </m:ctrlPr>
            </m:eqArrPr>
            <m:e>
              <m:r>
                <w:rPr>
                  <w:rFonts w:ascii="Cambria Math" w:eastAsia="Cambria Math" w:hAnsi="Cambria Math" w:cs="Times New Roman"/>
                  <w:sz w:val="24"/>
                  <w:szCs w:val="24"/>
                  <w:lang w:val="fr-FR"/>
                </w:rPr>
                <m:t>E</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APV</m:t>
                  </m:r>
                </m:sub>
              </m:sSub>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r>
                <w:rPr>
                  <w:rFonts w:ascii="Cambria Math" w:eastAsia="Cambria Math" w:hAnsi="Cambria Math" w:cs="Times New Roman"/>
                  <w:sz w:val="24"/>
                  <w:szCs w:val="24"/>
                  <w:lang w:val="fr-FR"/>
                </w:rPr>
                <m:t>= E</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0</m:t>
                  </m:r>
                </m:sub>
              </m:sSub>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r>
                <w:rPr>
                  <w:rFonts w:ascii="Cambria Math" w:eastAsia="Cambria Math" w:hAnsi="Cambria Math" w:cs="Times New Roman"/>
                  <w:sz w:val="24"/>
                  <w:szCs w:val="24"/>
                  <w:lang w:val="fr-FR"/>
                </w:rPr>
                <m:t xml:space="preserve">× </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 xml:space="preserve">1 -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rPr>
                        <m:t>α</m:t>
                      </m:r>
                    </m:e>
                    <m:sub>
                      <m:r>
                        <w:rPr>
                          <w:rFonts w:ascii="Cambria Math" w:eastAsia="Cambria Math" w:hAnsi="Cambria Math" w:cs="Times New Roman"/>
                          <w:sz w:val="24"/>
                          <w:szCs w:val="24"/>
                          <w:lang w:val="fr-FR"/>
                        </w:rPr>
                        <m:t>shade</m:t>
                      </m:r>
                    </m:sub>
                  </m:sSub>
                  <m:r>
                    <w:rPr>
                      <w:rFonts w:ascii="Cambria Math" w:eastAsia="Cambria Math" w:hAnsi="Cambria Math" w:cs="Times New Roman"/>
                      <w:sz w:val="24"/>
                      <w:szCs w:val="24"/>
                      <w:lang w:val="fr-FR"/>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F</m:t>
                      </m:r>
                    </m:e>
                    <m:sub>
                      <m:r>
                        <w:rPr>
                          <w:rFonts w:ascii="Cambria Math" w:eastAsia="Cambria Math" w:hAnsi="Cambria Math" w:cs="Times New Roman"/>
                          <w:sz w:val="24"/>
                          <w:szCs w:val="24"/>
                          <w:lang w:val="fr-FR"/>
                        </w:rPr>
                        <m:t>shad</m:t>
                      </m:r>
                    </m:sub>
                  </m:sSub>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e>
              </m:d>
              <m:r>
                <w:rPr>
                  <w:rFonts w:ascii="Cambria Math" w:eastAsia="Cambria Math" w:hAnsi="Cambria Math" w:cs="Times New Roman"/>
                  <w:sz w:val="24"/>
                  <w:szCs w:val="24"/>
                  <w:lang w:val="fr-FR"/>
                </w:rPr>
                <m:t>#</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14</m:t>
                  </m:r>
                </m:e>
              </m:d>
            </m:e>
          </m:eqArr>
        </m:oMath>
      </m:oMathPara>
    </w:p>
    <w:p w14:paraId="64770573" w14:textId="77777777" w:rsidR="009F433F" w:rsidRDefault="009F433F" w:rsidP="00DB6DD1">
      <w:pPr>
        <w:spacing w:line="360" w:lineRule="auto"/>
        <w:jc w:val="both"/>
        <w:rPr>
          <w:rFonts w:ascii="Times New Roman" w:hAnsi="Times New Roman" w:cs="Times New Roman"/>
          <w:sz w:val="24"/>
          <w:szCs w:val="24"/>
        </w:rPr>
      </w:pPr>
    </w:p>
    <w:p w14:paraId="310A5731" w14:textId="0783C05B" w:rsid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shade</m:t>
            </m:r>
          </m:sub>
        </m:sSub>
        <m:r>
          <w:rPr>
            <w:rFonts w:ascii="Cambria Math" w:hAnsi="Cambria Math" w:cs="Times New Roman"/>
            <w:sz w:val="24"/>
            <w:szCs w:val="24"/>
          </w:rPr>
          <m:t>= 0.40</m:t>
        </m:r>
      </m:oMath>
      <w:r w:rsidRPr="00DB6DD1">
        <w:rPr>
          <w:rFonts w:ascii="Times New Roman" w:hAnsi="Times New Roman" w:cs="Times New Roman"/>
          <w:sz w:val="24"/>
          <w:szCs w:val="24"/>
        </w:rPr>
        <w:t xml:space="preserve"> is an empirically calibrated shading efficiency coefficient representing the fraction of ET reduction per unit shading fraction. This value lies within the 0.30–0.50 range established from lysimeter measurements at APV sites in semi-arid Mediterranean and continental </w:t>
      </w:r>
      <w:r w:rsidRPr="00DB6DD1">
        <w:rPr>
          <w:rFonts w:ascii="Times New Roman" w:hAnsi="Times New Roman" w:cs="Times New Roman"/>
          <w:sz w:val="24"/>
          <w:szCs w:val="24"/>
        </w:rPr>
        <w:lastRenderedPageBreak/>
        <w:t>climates</w:t>
      </w:r>
      <w:r w:rsidR="008560A4">
        <w:rPr>
          <w:rFonts w:ascii="Times New Roman" w:hAnsi="Times New Roman" w:cs="Times New Roman"/>
          <w:sz w:val="24"/>
          <w:szCs w:val="24"/>
        </w:rPr>
        <w:t xml:space="preserve"> </w:t>
      </w:r>
      <w:r w:rsidR="008560A4">
        <w:rPr>
          <w:rFonts w:ascii="Times New Roman" w:hAnsi="Times New Roman" w:cs="Times New Roman"/>
          <w:sz w:val="24"/>
          <w:szCs w:val="24"/>
        </w:rPr>
        <w:fldChar w:fldCharType="begin"/>
      </w:r>
      <w:r w:rsidR="008560A4">
        <w:rPr>
          <w:rFonts w:ascii="Times New Roman" w:hAnsi="Times New Roman" w:cs="Times New Roman"/>
          <w:sz w:val="24"/>
          <w:szCs w:val="24"/>
        </w:rPr>
        <w:instrText xml:space="preserve"> ADDIN ZOTERO_ITEM CSL_CITATION {"citationID":"rIxAbRqk","properties":{"unsorted":false,"formattedCitation":"(Elamri et al., 2018; Hassanpour Adeh et al., 2018)","plainCitation":"(Elamri et al., 2018; Hassanpour Adeh et al., 2018)","noteIndex":0},"citationItems":[{"id":20,"uris":["http://zotero.org/users/local/i6bXxmSk/items/HHB3VW5U"],"itemData":{"id":20,"type":"article-journal","abstract":"The installation of tilting-angle solar panels above agricultural plots provides renewable energy and means of action to dampen some of the eﬀects and hazards of climate change. When the panels are properly operated, their drop shadow reduces water consumption by the plants, as a consequence of alternating shade and sun bands with a short-term impact on the stomatal conductance and a global decrease of gas exchanges. This urged the development of a new model for crop growth and water budget, adapted here from existing literature to handle such transient conditions, characterized by short-term (infra-day) ﬂuctuations. The main diﬃculty was to combine short-term ﬂuctuations in the climatic forcings (radiation interception and rain redistribution by the panels) and long-term agronomic evaluation, hence the coexistence of several calculation time steps in model structure. All ﬁeld experiments were conducted on purpose in the agrivoltaic plot of Lavalette (Montpellier, France). Speciﬁc adaptations consisted in describing the stomatal behavior of the plants for ﬂuctuating solar radiations and varied water status, aiming at improving both the piloting of the solar panels and water management, i.e. the choice of irrigation amounts. Model simulations have been able to reproduce the expected beneﬁts from agrivoltaic installations, for example showing that it is possible to improve land use eﬃciency and water productivity at once, by reducing irrigation amounts by 20%, when tolerating a decrease of 10% in yield or, alternatively, a slight extension of the cropping cycle. Agrivoltaism appears a solution for the future when facing climate change and the food and energy challenges, typically in the rural areas and the developing countries and especially if the procedure presented here proves relevant for other crops and contexts.","container-title":"Agricultural Water Management","DOI":"10.1016/j.agwat.2018.07.001","ISSN":"03783774","journalAbbreviation":"Agricultural Water Management","language":"en","page":"440-453","source":"DOI.org (Crossref)","title":"Water budget and crop modelling for agrivoltaic systems: Application to irrigated lettuces","title-short":"Water budget and crop modelling for agrivoltaic systems","volume":"208","author":[{"family":"Elamri","given":"Y."},{"family":"Cheviron","given":"B."},{"family":"Lopez","given":"J.-M."},{"family":"Dejean","given":"C."},{"family":"Belaud","given":"G."}],"issued":{"date-parts":[["2018",9]]}}},{"id":31,"uris":["http://zotero.org/users/local/i6bXxmSk/items/54JE2WUB"],"itemData":{"id":31,"type":"article-journal","abstract":"Power demands are set to increase by two-fold within the current century and a high fraction of that demand should be met by carbon free sources. Among the renewable energies, solar energy is among the fastest growing; therefore, a comprehensive and accurate design methodology for solar systems and how they interact with the local environment is vital. This paper addresses the environmental effects of solar panels on an unirrigated pasture that often experiences water stress. Changes to the microclimatology, soil moisture, water usage, and biomass productivity due to the presence of solar panels w</w:instrText>
      </w:r>
      <w:r w:rsidR="008560A4" w:rsidRPr="00014D3B">
        <w:rPr>
          <w:rFonts w:ascii="Times New Roman" w:hAnsi="Times New Roman" w:cs="Times New Roman"/>
          <w:sz w:val="24"/>
          <w:szCs w:val="24"/>
          <w:lang w:val="fr-FR"/>
        </w:rPr>
        <w:instrText xml:space="preserve">ere quantified. The goal of this study was to show that the impacts of these factors should be considered in designing the solar farms to take advantage of potential net gains in agricultural and power production. Microclimatological stations were placed in the Rabbit Hills agrivoltaic solar arrays, located in Oregon State campus, two years after the solar array was installed. Soil moisture was quantified using neutron probe readings. Significant differences in mean air temperature, relative humidity, wind speed, wind direction, and soil moisture were observed. Areas under PV solar panels maintained higher soil moisture throughout the period of observation. A significant increase in late season biomass was also observed for areas under the PV panels (90% more biomass), and areas under PV panels were significantly more water efficient (328% more efficient).","container-title":"PLOS ONE","DOI":"10.1371/journal.pone.0203256","ISSN":"1932-6203","issue":"11","journalAbbreviation":"PLoS ONE","language":"en","page":"e0203256","source":"DOI.org (Crossref)","title":"Remarkable agrivoltaic influence on soil moisture, micrometeorology and water-use efficiency","volume":"13","author":[{"family":"Hassanpour Adeh","given":"Elnaz"},{"family":"Selker","given":"John S."},{"family":"Higgins","given":"Chad W."}],"editor":[{"family":"Villarini","given":"Mauro"}],"issued":{"date-parts":[["2018",11,1]]}}}],"schema":"https://github.com/citation-style-language/schema/raw/master/csl-citation.json"} </w:instrText>
      </w:r>
      <w:r w:rsidR="008560A4">
        <w:rPr>
          <w:rFonts w:ascii="Times New Roman" w:hAnsi="Times New Roman" w:cs="Times New Roman"/>
          <w:sz w:val="24"/>
          <w:szCs w:val="24"/>
        </w:rPr>
        <w:fldChar w:fldCharType="separate"/>
      </w:r>
      <w:r w:rsidR="008560A4" w:rsidRPr="00014D3B">
        <w:rPr>
          <w:rFonts w:ascii="Calibri" w:hAnsi="Calibri" w:cs="Calibri"/>
          <w:sz w:val="24"/>
          <w:lang w:val="fr-FR"/>
        </w:rPr>
        <w:t>(Elamri et al., 2018; Hassanpour Adeh et al., 2018)</w:t>
      </w:r>
      <w:r w:rsidR="008560A4">
        <w:rPr>
          <w:rFonts w:ascii="Times New Roman" w:hAnsi="Times New Roman" w:cs="Times New Roman"/>
          <w:sz w:val="24"/>
          <w:szCs w:val="24"/>
        </w:rPr>
        <w:fldChar w:fldCharType="end"/>
      </w:r>
      <w:r w:rsidRPr="00014D3B">
        <w:rPr>
          <w:rFonts w:ascii="Times New Roman" w:hAnsi="Times New Roman" w:cs="Times New Roman"/>
          <w:sz w:val="24"/>
          <w:szCs w:val="24"/>
          <w:lang w:val="fr-FR"/>
        </w:rPr>
        <w:t xml:space="preserve"> </w:t>
      </w:r>
      <w:r w:rsidRPr="00014D3B">
        <w:rPr>
          <w:rFonts w:ascii="Times New Roman" w:hAnsi="Times New Roman" w:cs="Times New Roman"/>
          <w:color w:val="FF0000"/>
          <w:sz w:val="24"/>
          <w:szCs w:val="24"/>
          <w:lang w:val="fr-FR"/>
        </w:rPr>
        <w:t>(Tawassulli, 2025; Elamri et al., 2018; Hassanpour Adeh et al., 2018)</w:t>
      </w:r>
      <w:r w:rsidRPr="00014D3B">
        <w:rPr>
          <w:rFonts w:ascii="Times New Roman" w:hAnsi="Times New Roman" w:cs="Times New Roman"/>
          <w:sz w:val="24"/>
          <w:szCs w:val="24"/>
          <w:lang w:val="fr-FR"/>
        </w:rPr>
        <w:t xml:space="preserve">. </w:t>
      </w:r>
      <w:r w:rsidRPr="00DB6DD1">
        <w:rPr>
          <w:rFonts w:ascii="Times New Roman" w:hAnsi="Times New Roman" w:cs="Times New Roman"/>
          <w:sz w:val="24"/>
          <w:szCs w:val="24"/>
        </w:rPr>
        <w:t xml:space="preserve">Annual water savings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saved</m:t>
            </m:r>
          </m:sub>
        </m:sSub>
      </m:oMath>
      <w:r w:rsidRPr="00DB6DD1">
        <w:rPr>
          <w:rFonts w:ascii="Times New Roman" w:hAnsi="Times New Roman" w:cs="Times New Roman"/>
          <w:sz w:val="24"/>
          <w:szCs w:val="24"/>
        </w:rPr>
        <w:t xml:space="preserve"> are then:</w:t>
      </w:r>
    </w:p>
    <w:p w14:paraId="6979145E" w14:textId="77777777" w:rsidR="009F433F" w:rsidRPr="00DB6DD1" w:rsidRDefault="009F433F" w:rsidP="00DB6DD1">
      <w:pPr>
        <w:spacing w:line="360" w:lineRule="auto"/>
        <w:jc w:val="both"/>
        <w:rPr>
          <w:rFonts w:ascii="Times New Roman" w:hAnsi="Times New Roman" w:cs="Times New Roman"/>
          <w:sz w:val="24"/>
          <w:szCs w:val="24"/>
        </w:rPr>
      </w:pPr>
    </w:p>
    <w:p w14:paraId="7AE43AB9" w14:textId="6B89C95B" w:rsidR="00DB6DD1" w:rsidRPr="005B6FBE" w:rsidRDefault="00533732" w:rsidP="00DB6DD1">
      <w:pPr>
        <w:spacing w:line="360" w:lineRule="auto"/>
        <w:jc w:val="both"/>
        <w:rPr>
          <w:rFonts w:ascii="Times New Roman" w:hAnsi="Times New Roman" w:cs="Times New Roman"/>
          <w:sz w:val="24"/>
          <w:szCs w:val="24"/>
          <w:lang w:val="fr-FR"/>
        </w:rPr>
      </w:pPr>
      <m:oMathPara>
        <m:oMath>
          <m:eqArr>
            <m:eqArrPr>
              <m:maxDist m:val="1"/>
              <m:ctrlPr>
                <w:rPr>
                  <w:rFonts w:ascii="Cambria Math" w:eastAsia="Cambria Math" w:hAnsi="Cambria Math" w:cs="Times New Roman"/>
                  <w:i/>
                  <w:sz w:val="24"/>
                  <w:szCs w:val="24"/>
                  <w:lang w:val="fr-FR"/>
                </w:rPr>
              </m:ctrlPr>
            </m:eqArr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W</m:t>
                  </m:r>
                </m:e>
                <m:sub>
                  <m:r>
                    <w:rPr>
                      <w:rFonts w:ascii="Cambria Math" w:eastAsia="Cambria Math" w:hAnsi="Cambria Math" w:cs="Times New Roman"/>
                      <w:sz w:val="24"/>
                      <w:szCs w:val="24"/>
                      <w:lang w:val="fr-FR"/>
                    </w:rPr>
                    <m:t>saved</m:t>
                  </m:r>
                </m:sub>
              </m:sSub>
              <m:r>
                <w:rPr>
                  <w:rFonts w:ascii="Cambria Math" w:eastAsia="Cambria Math" w:hAnsi="Cambria Math" w:cs="Times New Roman"/>
                  <w:sz w:val="24"/>
                  <w:szCs w:val="24"/>
                  <w:lang w:val="fr-FR"/>
                </w:rPr>
                <m:t xml:space="preserve">= </m:t>
              </m:r>
              <m:nary>
                <m:naryPr>
                  <m:chr m:val="∑"/>
                  <m:limLoc m:val="undOvr"/>
                  <m:supHide m:val="1"/>
                  <m:ctrlPr>
                    <w:rPr>
                      <w:rFonts w:ascii="Cambria Math" w:eastAsia="Cambria Math" w:hAnsi="Cambria Math" w:cs="Times New Roman"/>
                      <w:i/>
                      <w:sz w:val="24"/>
                      <w:szCs w:val="24"/>
                      <w:lang w:val="fr-FR"/>
                    </w:rPr>
                  </m:ctrlPr>
                </m:naryPr>
                <m:sub>
                  <m:r>
                    <w:rPr>
                      <w:rFonts w:ascii="Cambria Math" w:eastAsia="Cambria Math" w:hAnsi="Cambria Math" w:cs="Times New Roman"/>
                      <w:sz w:val="24"/>
                      <w:szCs w:val="24"/>
                      <w:lang w:val="fr-FR"/>
                    </w:rPr>
                    <m:t>t</m:t>
                  </m:r>
                </m:sub>
                <m:sup/>
                <m:e>
                  <m:d>
                    <m:dPr>
                      <m:begChr m:val="["/>
                      <m:endChr m:val="]"/>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E</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0</m:t>
                          </m:r>
                        </m:sub>
                      </m:sSub>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r>
                        <w:rPr>
                          <w:rFonts w:ascii="Cambria Math" w:eastAsia="Cambria Math" w:hAnsi="Cambria Math" w:cs="Times New Roman"/>
                          <w:sz w:val="24"/>
                          <w:szCs w:val="24"/>
                          <w:lang w:val="fr-FR"/>
                        </w:rPr>
                        <m:t>- E</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APV</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t</m:t>
                              </m:r>
                            </m:e>
                          </m:d>
                        </m:sub>
                      </m:sSub>
                    </m:e>
                  </m:d>
                </m:e>
              </m:nary>
              <m:r>
                <w:rPr>
                  <w:rFonts w:ascii="Cambria Math" w:eastAsia="Cambria Math" w:hAnsi="Cambria Math" w:cs="Times New Roman"/>
                  <w:sz w:val="24"/>
                  <w:szCs w:val="24"/>
                  <w:lang w:val="fr-FR"/>
                </w:rPr>
                <m:t>#</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15</m:t>
                  </m:r>
                </m:e>
              </m:d>
            </m:e>
          </m:eqArr>
        </m:oMath>
      </m:oMathPara>
    </w:p>
    <w:p w14:paraId="15FF036B" w14:textId="77777777" w:rsidR="009F433F" w:rsidRDefault="009F433F" w:rsidP="00DB6DD1">
      <w:pPr>
        <w:spacing w:line="360" w:lineRule="auto"/>
        <w:jc w:val="both"/>
        <w:rPr>
          <w:rFonts w:ascii="Times New Roman" w:hAnsi="Times New Roman" w:cs="Times New Roman"/>
          <w:sz w:val="24"/>
          <w:szCs w:val="24"/>
        </w:rPr>
      </w:pPr>
    </w:p>
    <w:p w14:paraId="20ADD142" w14:textId="5A46F361"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computed over the growing season only to ensure comparability with the crop yield calculation.</w:t>
      </w:r>
    </w:p>
    <w:p w14:paraId="474182CE" w14:textId="77777777" w:rsidR="00DB6DD1" w:rsidRPr="00DB6DD1" w:rsidRDefault="00DB6DD1" w:rsidP="00DB6DD1">
      <w:pPr>
        <w:spacing w:line="360" w:lineRule="auto"/>
        <w:jc w:val="both"/>
        <w:rPr>
          <w:rFonts w:ascii="Times New Roman" w:hAnsi="Times New Roman" w:cs="Times New Roman"/>
          <w:sz w:val="24"/>
          <w:szCs w:val="24"/>
        </w:rPr>
      </w:pPr>
    </w:p>
    <w:p w14:paraId="438E165C" w14:textId="650B5D15"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3.7. Anaerobic digestion model</w:t>
      </w:r>
    </w:p>
    <w:p w14:paraId="3FC99B49" w14:textId="5BD8FBF9"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3.7.1. Feedstock characterization</w:t>
      </w:r>
    </w:p>
    <w:p w14:paraId="34570474" w14:textId="0CF910CC" w:rsidR="00DB6DD1" w:rsidRPr="00DB6DD1" w:rsidRDefault="00DB6DD1" w:rsidP="00251DA7">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The AD subsystem is fed exclusively with the tomato crop residues generated on the same hectare as the agrivoltaic installation. With a fresh fruit yield of 60 t/ha and a residue-to-fruit mass ratio of 0.80 </w:t>
      </w:r>
      <w:r w:rsidR="00251DA7">
        <w:rPr>
          <w:rFonts w:ascii="Times New Roman" w:hAnsi="Times New Roman" w:cs="Times New Roman"/>
          <w:sz w:val="24"/>
          <w:szCs w:val="24"/>
        </w:rPr>
        <w:fldChar w:fldCharType="begin"/>
      </w:r>
      <w:r w:rsidR="00251DA7">
        <w:rPr>
          <w:rFonts w:ascii="Times New Roman" w:hAnsi="Times New Roman" w:cs="Times New Roman"/>
          <w:sz w:val="24"/>
          <w:szCs w:val="24"/>
        </w:rPr>
        <w:instrText xml:space="preserve"> ADDIN ZOTERO_ITEM CSL_CITATION {"citationID":"kZw7pLmr","properties":{"unsorted":false,"formattedCitation":"(Lallement et al., 2023; Mohammedi et al., 2023)","plainCitation":"(Lallement et al., 2023; Mohammedi et al., 2023)","noteIndex":0},"citationItems":[{"id":59,"uris":["http://zotero.org/users/local/i6bXxmSk/items/3UG9JA7V"],"itemData":{"id":59,"type":"article-journal","abstract":"Agricultural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00251DA7">
        <w:rPr>
          <w:rFonts w:ascii="Times New Roman" w:hAnsi="Times New Roman" w:cs="Times New Roman"/>
          <w:sz w:val="24"/>
          <w:szCs w:val="24"/>
        </w:rPr>
        <w:fldChar w:fldCharType="separate"/>
      </w:r>
      <w:r w:rsidR="00251DA7" w:rsidRPr="00251DA7">
        <w:rPr>
          <w:rFonts w:ascii="Calibri" w:hAnsi="Calibri" w:cs="Calibri"/>
          <w:sz w:val="24"/>
        </w:rPr>
        <w:t>(Lallement et al., 2023; Mohammedi et al., 2023)</w:t>
      </w:r>
      <w:r w:rsidR="00251DA7">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annual fresh residue availability is 48 t/ha. Standard proximate analysis characterizes the residue as having a dry matter fraction DM = 0.20 kg DM/kg fresh and a volatile solids fraction VS = 0.85 kg VS/kg DM, yielding </w:t>
      </w:r>
      <w:r w:rsidR="001F342E" w:rsidRPr="00DB6DD1">
        <w:rPr>
          <w:rFonts w:ascii="Times New Roman" w:hAnsi="Times New Roman" w:cs="Times New Roman"/>
          <w:sz w:val="24"/>
          <w:szCs w:val="24"/>
        </w:rPr>
        <w:t>total volatile solids</w:t>
      </w:r>
      <w:r w:rsidRPr="00DB6DD1">
        <w:rPr>
          <w:rFonts w:ascii="Times New Roman" w:hAnsi="Times New Roman" w:cs="Times New Roman"/>
          <w:sz w:val="24"/>
          <w:szCs w:val="24"/>
        </w:rPr>
        <w:t xml:space="preserve"> input of 8,160 kg VS/ha per season. The reference biochemical methane potential at 37°C is </w:t>
      </w:r>
      <m:oMath>
        <m:r>
          <w:rPr>
            <w:rFonts w:ascii="Cambria Math" w:hAnsi="Cambria Math" w:cs="Times New Roman"/>
            <w:sz w:val="24"/>
            <w:szCs w:val="24"/>
          </w:rPr>
          <m:t>BM</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ref</m:t>
            </m:r>
          </m:sub>
        </m:sSub>
        <m:r>
          <w:rPr>
            <w:rFonts w:ascii="Cambria Math" w:hAnsi="Cambria Math" w:cs="Times New Roman"/>
            <w:sz w:val="24"/>
            <w:szCs w:val="24"/>
          </w:rPr>
          <m:t xml:space="preserve"> = 300 NmL CH₄/g VS</m:t>
        </m:r>
      </m:oMath>
      <w:r w:rsidRPr="00DB6DD1">
        <w:rPr>
          <w:rFonts w:ascii="Times New Roman" w:hAnsi="Times New Roman" w:cs="Times New Roman"/>
          <w:sz w:val="24"/>
          <w:szCs w:val="24"/>
        </w:rPr>
        <w:t xml:space="preserve">, the well-documented central estimate for tomato residue mixtures with branches below 20% </w:t>
      </w:r>
      <w:r w:rsidR="00B87F48">
        <w:rPr>
          <w:rFonts w:ascii="Times New Roman" w:hAnsi="Times New Roman" w:cs="Times New Roman"/>
          <w:sz w:val="24"/>
          <w:szCs w:val="24"/>
        </w:rPr>
        <w:fldChar w:fldCharType="begin"/>
      </w:r>
      <w:r w:rsidR="00B87F48">
        <w:rPr>
          <w:rFonts w:ascii="Times New Roman" w:hAnsi="Times New Roman" w:cs="Times New Roman"/>
          <w:sz w:val="24"/>
          <w:szCs w:val="24"/>
        </w:rPr>
        <w:instrText xml:space="preserve"> ADDIN ZOTERO_ITEM CSL_CITATION {"citationID":"MYV4QS9D","properties":{"unsorted":false,"formattedCitation":"(Feng et al., 2013; Lallement et al., 2023)","plainCitation":"(Feng et al., 2013; Lallement et al., 2023)","noteIndex":0},"citationItems":[{"id":61,"uris":["http://zotero.org/users/local/i6bXxmSk/items/I62IGWZC"],"itemData":{"id":61,"type":"article-journal","container-title":"BioResources","DOI":"10.15376/biores.8.2.2487-2498","ISSN":"1930-2126","issue":"2","language":"en","page":"2487-2498","source":"DOI.org (Crossref)","title":"Biochemical Methane Potential (BMP) of Vinegar Residue and the Influence of Feed to Inoculum Ratios on Biogas Production","volume":"8","author":[{"family":"Feng","given":"Lu"},{"family":"Li","given":"Yeqing"},{"family":"Chen","given":"Chang"},{"family":"Liu","given":"Xiaoying"},{"family":"Xiao","given":"Xiao"},{"family":"Ma","given":"Xinxin"},{"family":"Zhang","given":"Ruihong"},{"family":"He","given":"Yanfeng"},{"family":"Liu","given":"Guangqing"}],"issued":{"date-parts":[["2013",3,29]]}}},{"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00B87F48">
        <w:rPr>
          <w:rFonts w:ascii="Times New Roman" w:hAnsi="Times New Roman" w:cs="Times New Roman"/>
          <w:sz w:val="24"/>
          <w:szCs w:val="24"/>
        </w:rPr>
        <w:fldChar w:fldCharType="separate"/>
      </w:r>
      <w:r w:rsidR="00B87F48" w:rsidRPr="00B87F48">
        <w:rPr>
          <w:rFonts w:ascii="Calibri" w:hAnsi="Calibri" w:cs="Calibri"/>
          <w:sz w:val="24"/>
        </w:rPr>
        <w:t>(Feng et al., 2013; Lallement et al., 2023)</w:t>
      </w:r>
      <w:r w:rsidR="00B87F48">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0952B42E" w14:textId="77777777" w:rsidR="00DB6DD1" w:rsidRPr="00DB6DD1" w:rsidRDefault="00DB6DD1" w:rsidP="00DB6DD1">
      <w:pPr>
        <w:spacing w:line="360" w:lineRule="auto"/>
        <w:jc w:val="both"/>
        <w:rPr>
          <w:rFonts w:ascii="Times New Roman" w:hAnsi="Times New Roman" w:cs="Times New Roman"/>
          <w:sz w:val="24"/>
          <w:szCs w:val="24"/>
        </w:rPr>
      </w:pPr>
    </w:p>
    <w:p w14:paraId="065931D4" w14:textId="69C49A14"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3.7.2. Temperature-corrected methane yield</w:t>
      </w:r>
    </w:p>
    <w:p w14:paraId="26D94EDC" w14:textId="243C68B4" w:rsidR="00DB6DD1" w:rsidRPr="00DB6DD1" w:rsidRDefault="00DB6DD1" w:rsidP="00F33560">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Biogas yield is sensitive to temperature, which is particularly important at Konya where winter ambient temperatures regularly fall below 0°C and effective digester temperature can drop significantly below the mesophilic optimum. Effective digester temperature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dig,eff</m:t>
            </m:r>
          </m:sub>
        </m:sSub>
      </m:oMath>
      <w:r w:rsidRPr="00DB6DD1">
        <w:rPr>
          <w:rFonts w:ascii="Times New Roman" w:hAnsi="Times New Roman" w:cs="Times New Roman"/>
          <w:sz w:val="24"/>
          <w:szCs w:val="24"/>
        </w:rPr>
        <w:t xml:space="preserve"> follows a seasonal management strategy informed by Lindorfer et al.</w:t>
      </w:r>
      <w:r w:rsidR="00F33560">
        <w:rPr>
          <w:rFonts w:ascii="Times New Roman" w:hAnsi="Times New Roman" w:cs="Times New Roman"/>
          <w:sz w:val="24"/>
          <w:szCs w:val="24"/>
        </w:rPr>
        <w:t xml:space="preserve"> </w:t>
      </w:r>
      <w:r w:rsidR="00F33560">
        <w:rPr>
          <w:rFonts w:ascii="Times New Roman" w:hAnsi="Times New Roman" w:cs="Times New Roman"/>
          <w:sz w:val="24"/>
          <w:szCs w:val="24"/>
        </w:rPr>
        <w:fldChar w:fldCharType="begin"/>
      </w:r>
      <w:r w:rsidR="00F33560">
        <w:rPr>
          <w:rFonts w:ascii="Times New Roman" w:hAnsi="Times New Roman" w:cs="Times New Roman"/>
          <w:sz w:val="24"/>
          <w:szCs w:val="24"/>
        </w:rPr>
        <w:instrText xml:space="preserve"> ADDIN ZOTERO_ITEM CSL_CITATION {"citationID":"IVuSw7dr","properties":{"unsorted":false,"formattedCitation":"(Lindorfer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rsidR="00F33560">
        <w:rPr>
          <w:rFonts w:ascii="Times New Roman" w:hAnsi="Times New Roman" w:cs="Times New Roman"/>
          <w:sz w:val="24"/>
          <w:szCs w:val="24"/>
        </w:rPr>
        <w:fldChar w:fldCharType="separate"/>
      </w:r>
      <w:r w:rsidR="00F33560" w:rsidRPr="00F33560">
        <w:rPr>
          <w:rFonts w:ascii="Calibri" w:hAnsi="Calibri" w:cs="Calibri"/>
          <w:sz w:val="24"/>
        </w:rPr>
        <w:t>(Lindorfer et al., 2008)</w:t>
      </w:r>
      <w:r w:rsidR="00F33560">
        <w:rPr>
          <w:rFonts w:ascii="Times New Roman" w:hAnsi="Times New Roman" w:cs="Times New Roman"/>
          <w:sz w:val="24"/>
          <w:szCs w:val="24"/>
        </w:rPr>
        <w:fldChar w:fldCharType="end"/>
      </w:r>
      <w:r w:rsidRPr="00DB6DD1">
        <w:rPr>
          <w:rFonts w:ascii="Times New Roman" w:hAnsi="Times New Roman" w:cs="Times New Roman"/>
          <w:sz w:val="24"/>
          <w:szCs w:val="24"/>
        </w:rPr>
        <w:t>: the digester is actively heated to a minimum of 26°C in winter and spring, and allowed to approach the mesophilic optimum of 37°C in summer and autumn when solar energy is abundant:</w:t>
      </w:r>
    </w:p>
    <w:p w14:paraId="79B31447" w14:textId="77777777" w:rsidR="00DB6DD1" w:rsidRPr="00DB6DD1" w:rsidRDefault="00DB6DD1" w:rsidP="00DB6DD1">
      <w:pPr>
        <w:spacing w:line="360" w:lineRule="auto"/>
        <w:jc w:val="both"/>
        <w:rPr>
          <w:rFonts w:ascii="Times New Roman" w:hAnsi="Times New Roman" w:cs="Times New Roman"/>
          <w:sz w:val="24"/>
          <w:szCs w:val="24"/>
        </w:rPr>
      </w:pPr>
    </w:p>
    <w:p w14:paraId="3385DC20" w14:textId="77777777" w:rsidR="003440B5" w:rsidRPr="006217F4" w:rsidRDefault="00533732" w:rsidP="003440B5">
      <w:pPr>
        <w:spacing w:line="360" w:lineRule="auto"/>
        <w:jc w:val="both"/>
        <w:rPr>
          <w:rFonts w:ascii="Times New Roman" w:eastAsiaTheme="minorEastAsia" w:hAnsi="Times New Roman" w:cs="Times New Roman"/>
          <w:sz w:val="24"/>
          <w:szCs w:val="24"/>
          <w:lang w:val="fr-FR"/>
        </w:rPr>
      </w:pPr>
      <m:oMathPara>
        <m:oMath>
          <m:eqArr>
            <m:eqArrPr>
              <m:maxDist m:val="1"/>
              <m:ctrlPr>
                <w:rPr>
                  <w:rFonts w:ascii="Cambria Math" w:eastAsia="Cambria Math" w:hAnsi="Cambria Math" w:cs="Times New Roman"/>
                  <w:i/>
                  <w:sz w:val="24"/>
                  <w:szCs w:val="24"/>
                  <w:lang w:val="fr-FR"/>
                </w:rPr>
              </m:ctrlPr>
            </m:eqArr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dig,eff</m:t>
                  </m:r>
                </m:sub>
              </m:sSub>
              <m:r>
                <w:rPr>
                  <w:rFonts w:ascii="Cambria Math" w:eastAsia="Cambria Math" w:hAnsi="Cambria Math" w:cs="Times New Roman"/>
                  <w:sz w:val="24"/>
                  <w:szCs w:val="24"/>
                  <w:lang w:val="fr-FR"/>
                </w:rPr>
                <m:t>= clip</m:t>
              </m:r>
              <m:d>
                <m:dPr>
                  <m:ctrlPr>
                    <w:rPr>
                      <w:rFonts w:ascii="Cambria Math" w:eastAsia="Cambria Math" w:hAnsi="Cambria Math" w:cs="Times New Roman"/>
                      <w:i/>
                      <w:sz w:val="24"/>
                      <w:szCs w:val="24"/>
                      <w:lang w:val="fr-FR"/>
                    </w:rPr>
                  </m:ctrlPr>
                </m:d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amb</m:t>
                      </m:r>
                    </m:sub>
                  </m:sSub>
                  <m:r>
                    <w:rPr>
                      <w:rFonts w:ascii="Cambria Math" w:eastAsia="Cambria Math" w:hAnsi="Cambria Math" w:cs="Times New Roman"/>
                      <w:sz w:val="24"/>
                      <w:szCs w:val="24"/>
                      <w:lang w:val="fr-FR"/>
                    </w:rPr>
                    <m:t>+ 5, 26°C, 37°C</m:t>
                  </m:r>
                </m:e>
              </m:d>
              <m:r>
                <w:rPr>
                  <w:rFonts w:ascii="Cambria Math" w:eastAsia="Cambria Math" w:hAnsi="Cambria Math" w:cs="Times New Roman"/>
                  <w:sz w:val="24"/>
                  <w:szCs w:val="24"/>
                  <w:lang w:val="fr-FR"/>
                </w:rPr>
                <m:t>#</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lang w:val="fr-FR"/>
                    </w:rPr>
                    <m:t>16</m:t>
                  </m:r>
                </m:e>
              </m:d>
            </m:e>
          </m:eqArr>
        </m:oMath>
      </m:oMathPara>
    </w:p>
    <w:p w14:paraId="77DDAD92" w14:textId="77777777" w:rsidR="008B2DCE" w:rsidRDefault="008B2DCE" w:rsidP="00DB6DD1">
      <w:pPr>
        <w:spacing w:line="360" w:lineRule="auto"/>
        <w:jc w:val="both"/>
        <w:rPr>
          <w:rFonts w:ascii="Times New Roman" w:hAnsi="Times New Roman" w:cs="Times New Roman"/>
          <w:sz w:val="24"/>
          <w:szCs w:val="24"/>
        </w:rPr>
      </w:pPr>
    </w:p>
    <w:p w14:paraId="3DFAA56E" w14:textId="6215C2C3"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The +15°C offset reflects the active heating capacity of the system under the assumed insulation standard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eff</m:t>
            </m:r>
          </m:sub>
        </m:sSub>
        <m:r>
          <w:rPr>
            <w:rFonts w:ascii="Cambria Math" w:hAnsi="Cambria Math" w:cs="Times New Roman"/>
            <w:sz w:val="24"/>
            <w:szCs w:val="24"/>
          </w:rPr>
          <m:t xml:space="preserve"> = 0.8 W/m²·K</m:t>
        </m:r>
      </m:oMath>
      <w:r w:rsidRPr="00DB6DD1">
        <w:rPr>
          <w:rFonts w:ascii="Times New Roman" w:hAnsi="Times New Roman" w:cs="Times New Roman"/>
          <w:sz w:val="24"/>
          <w:szCs w:val="24"/>
        </w:rPr>
        <w:t xml:space="preserve">). The temperature-corrected BMP is then given by the Arrhenius relationship validated by Pilarski and Pilarska </w:t>
      </w:r>
      <w:r w:rsidR="0039380F">
        <w:rPr>
          <w:rFonts w:ascii="Times New Roman" w:hAnsi="Times New Roman" w:cs="Times New Roman"/>
          <w:sz w:val="24"/>
          <w:szCs w:val="24"/>
        </w:rPr>
        <w:fldChar w:fldCharType="begin"/>
      </w:r>
      <w:r w:rsidR="0039380F">
        <w:rPr>
          <w:rFonts w:ascii="Times New Roman" w:hAnsi="Times New Roman" w:cs="Times New Roman"/>
          <w:sz w:val="24"/>
          <w:szCs w:val="24"/>
        </w:rPr>
        <w:instrText xml:space="preserve"> ADDIN ZOTERO_ITEM CSL_CITATION {"citationID":"KTHIvyGN","properties":{"unsorted":false,"formattedCitation":"(Pilarski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0039380F">
        <w:rPr>
          <w:rFonts w:ascii="Times New Roman" w:hAnsi="Times New Roman" w:cs="Times New Roman"/>
          <w:sz w:val="24"/>
          <w:szCs w:val="24"/>
        </w:rPr>
        <w:fldChar w:fldCharType="separate"/>
      </w:r>
      <w:r w:rsidR="0039380F" w:rsidRPr="0039380F">
        <w:rPr>
          <w:rFonts w:ascii="Calibri" w:hAnsi="Calibri" w:cs="Calibri"/>
          <w:sz w:val="24"/>
        </w:rPr>
        <w:t>(Pilarski &amp; Pilarska, 2025)</w:t>
      </w:r>
      <w:r w:rsidR="0039380F">
        <w:rPr>
          <w:rFonts w:ascii="Times New Roman" w:hAnsi="Times New Roman" w:cs="Times New Roman"/>
          <w:sz w:val="24"/>
          <w:szCs w:val="24"/>
        </w:rPr>
        <w:fldChar w:fldCharType="end"/>
      </w:r>
      <w:r w:rsidRPr="00DB6DD1">
        <w:rPr>
          <w:rFonts w:ascii="Times New Roman" w:hAnsi="Times New Roman" w:cs="Times New Roman"/>
          <w:sz w:val="24"/>
          <w:szCs w:val="24"/>
        </w:rPr>
        <w:t xml:space="preserve"> and Lindorfer et al. </w:t>
      </w:r>
      <w:r w:rsidR="00F33560">
        <w:rPr>
          <w:rFonts w:ascii="Times New Roman" w:hAnsi="Times New Roman" w:cs="Times New Roman"/>
          <w:sz w:val="24"/>
          <w:szCs w:val="24"/>
        </w:rPr>
        <w:fldChar w:fldCharType="begin"/>
      </w:r>
      <w:r w:rsidR="00F33560">
        <w:rPr>
          <w:rFonts w:ascii="Times New Roman" w:hAnsi="Times New Roman" w:cs="Times New Roman"/>
          <w:sz w:val="24"/>
          <w:szCs w:val="24"/>
        </w:rPr>
        <w:instrText xml:space="preserve"> ADDIN ZOTERO_ITEM CSL_CITATION {"citationID":"5pTac19s","properties":{"unsorted":false,"formattedCitation":"(Lindorfer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rsidR="00F33560">
        <w:rPr>
          <w:rFonts w:ascii="Times New Roman" w:hAnsi="Times New Roman" w:cs="Times New Roman"/>
          <w:sz w:val="24"/>
          <w:szCs w:val="24"/>
        </w:rPr>
        <w:fldChar w:fldCharType="separate"/>
      </w:r>
      <w:r w:rsidR="00F33560" w:rsidRPr="00F33560">
        <w:rPr>
          <w:rFonts w:ascii="Calibri" w:hAnsi="Calibri" w:cs="Calibri"/>
          <w:sz w:val="24"/>
        </w:rPr>
        <w:t>(Lindorfer et al., 2008)</w:t>
      </w:r>
      <w:r w:rsidR="00F33560">
        <w:rPr>
          <w:rFonts w:ascii="Times New Roman" w:hAnsi="Times New Roman" w:cs="Times New Roman"/>
          <w:sz w:val="24"/>
          <w:szCs w:val="24"/>
        </w:rPr>
        <w:fldChar w:fldCharType="end"/>
      </w:r>
      <w:r w:rsidRPr="00DB6DD1">
        <w:rPr>
          <w:rFonts w:ascii="Times New Roman" w:hAnsi="Times New Roman" w:cs="Times New Roman"/>
          <w:sz w:val="24"/>
          <w:szCs w:val="24"/>
        </w:rPr>
        <w:t>:</w:t>
      </w:r>
    </w:p>
    <w:p w14:paraId="53A951BD" w14:textId="77777777" w:rsidR="00DB6DD1" w:rsidRPr="00DB6DD1" w:rsidRDefault="00DB6DD1" w:rsidP="00DB6DD1">
      <w:pPr>
        <w:spacing w:line="360" w:lineRule="auto"/>
        <w:jc w:val="both"/>
        <w:rPr>
          <w:rFonts w:ascii="Times New Roman" w:hAnsi="Times New Roman" w:cs="Times New Roman"/>
          <w:sz w:val="24"/>
          <w:szCs w:val="24"/>
        </w:rPr>
      </w:pPr>
    </w:p>
    <w:p w14:paraId="144867C8" w14:textId="77777777" w:rsidR="0010024A" w:rsidRPr="006217F4" w:rsidRDefault="00533732" w:rsidP="0010024A">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eastAsia="Cambria Math" w:hAnsi="Cambria Math" w:cs="Times New Roman"/>
                  <w:sz w:val="24"/>
                  <w:szCs w:val="24"/>
                </w:rPr>
                <m:t>BMP</m:t>
              </m:r>
              <m:d>
                <m:dPr>
                  <m:ctrlPr>
                    <w:rPr>
                      <w:rFonts w:ascii="Cambria Math" w:eastAsia="Cambria Math" w:hAnsi="Cambria Math" w:cs="Times New Roman"/>
                      <w:i/>
                      <w:sz w:val="24"/>
                      <w:szCs w:val="24"/>
                    </w:rPr>
                  </m:ctrlPr>
                </m:d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dig,eff</m:t>
                      </m:r>
                    </m:sub>
                  </m:sSub>
                </m:e>
              </m:d>
              <m:r>
                <w:rPr>
                  <w:rFonts w:ascii="Cambria Math" w:eastAsia="Cambria Math" w:hAnsi="Cambria Math" w:cs="Times New Roman"/>
                  <w:sz w:val="24"/>
                  <w:szCs w:val="24"/>
                </w:rPr>
                <m:t>= BM</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P</m:t>
                  </m:r>
                </m:e>
                <m:sub>
                  <m:r>
                    <w:rPr>
                      <w:rFonts w:ascii="Cambria Math" w:eastAsia="Cambria Math" w:hAnsi="Cambria Math" w:cs="Times New Roman"/>
                      <w:sz w:val="24"/>
                      <w:szCs w:val="24"/>
                    </w:rPr>
                    <m:t>ref</m:t>
                  </m:r>
                </m:sub>
              </m:sSub>
              <m:r>
                <w:rPr>
                  <w:rFonts w:ascii="Cambria Math" w:eastAsia="Cambria Math" w:hAnsi="Cambria Math" w:cs="Times New Roman"/>
                  <w:sz w:val="24"/>
                  <w:szCs w:val="24"/>
                </w:rPr>
                <m:t>×</m:t>
              </m:r>
              <m:func>
                <m:funcPr>
                  <m:ctrlPr>
                    <w:rPr>
                      <w:rFonts w:ascii="Cambria Math" w:eastAsia="Cambria Math" w:hAnsi="Cambria Math" w:cs="Times New Roman"/>
                      <w:sz w:val="24"/>
                      <w:szCs w:val="24"/>
                    </w:rPr>
                  </m:ctrlPr>
                </m:funcPr>
                <m:fName>
                  <m:r>
                    <m:rPr>
                      <m:sty m:val="p"/>
                    </m:rPr>
                    <w:rPr>
                      <w:rFonts w:ascii="Cambria Math" w:eastAsia="Cambria Math" w:hAnsi="Cambria Math" w:cs="Times New Roman"/>
                      <w:sz w:val="24"/>
                      <w:szCs w:val="24"/>
                    </w:rPr>
                    <m:t>exp</m:t>
                  </m:r>
                  <m:ctrlPr>
                    <w:rPr>
                      <w:rFonts w:ascii="Cambria Math" w:eastAsia="Cambria Math" w:hAnsi="Cambria Math"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 xml:space="preserve">θ × </m:t>
                      </m:r>
                      <m:d>
                        <m:dPr>
                          <m:ctrlPr>
                            <w:rPr>
                              <w:rFonts w:ascii="Cambria Math" w:eastAsia="Cambria Math" w:hAnsi="Cambria Math" w:cs="Times New Roman"/>
                              <w:i/>
                              <w:sz w:val="24"/>
                              <w:szCs w:val="24"/>
                            </w:rPr>
                          </m:ctrlPr>
                        </m:d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dig,eff</m:t>
                              </m:r>
                            </m:sub>
                          </m:sSub>
                          <m:r>
                            <w:rPr>
                              <w:rFonts w:ascii="Cambria Math" w:eastAsia="Cambria Math" w:hAnsi="Cambria Math" w:cs="Times New Roman"/>
                              <w:sz w:val="24"/>
                              <w:szCs w:val="24"/>
                            </w:rPr>
                            <m:t>- 37</m:t>
                          </m:r>
                        </m:e>
                      </m:d>
                    </m:e>
                  </m:d>
                </m:e>
              </m:func>
              <m:r>
                <w:rPr>
                  <w:rFonts w:ascii="Cambria Math" w:eastAsia="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17</m:t>
                  </m:r>
                </m:e>
              </m:d>
              <m:ctrlPr>
                <w:rPr>
                  <w:rFonts w:ascii="Cambria Math" w:eastAsia="Cambria Math" w:hAnsi="Cambria Math" w:cs="Times New Roman"/>
                  <w:i/>
                  <w:sz w:val="24"/>
                  <w:szCs w:val="24"/>
                </w:rPr>
              </m:ctrlPr>
            </m:e>
          </m:eqArr>
        </m:oMath>
      </m:oMathPara>
    </w:p>
    <w:p w14:paraId="371DE0DE" w14:textId="77777777" w:rsidR="00DB6DD1" w:rsidRPr="00DB6DD1" w:rsidRDefault="00DB6DD1" w:rsidP="00DB6DD1">
      <w:pPr>
        <w:spacing w:line="360" w:lineRule="auto"/>
        <w:jc w:val="both"/>
        <w:rPr>
          <w:rFonts w:ascii="Times New Roman" w:hAnsi="Times New Roman" w:cs="Times New Roman"/>
          <w:sz w:val="24"/>
          <w:szCs w:val="24"/>
        </w:rPr>
      </w:pPr>
    </w:p>
    <w:p w14:paraId="10488336" w14:textId="6A8096CC"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r>
          <w:rPr>
            <w:rFonts w:ascii="Cambria Math" w:hAnsi="Cambria Math" w:cs="Times New Roman"/>
            <w:sz w:val="24"/>
            <w:szCs w:val="24"/>
          </w:rPr>
          <m:t>θ = 0.069 °C⁻¹</m:t>
        </m:r>
      </m:oMath>
      <w:r w:rsidRPr="00DB6DD1">
        <w:rPr>
          <w:rFonts w:ascii="Times New Roman" w:hAnsi="Times New Roman" w:cs="Times New Roman"/>
          <w:sz w:val="24"/>
          <w:szCs w:val="24"/>
        </w:rPr>
        <w:t>. The monthly BMP correction is computed from monthly mean ambient temperatures drawn from the PVGIS-SARAH2 TMY dataset, introducing a physically grounded, site-specific coupling between the local climate and biogas subsystem performance.</w:t>
      </w:r>
    </w:p>
    <w:p w14:paraId="48DE6AEF" w14:textId="77777777" w:rsidR="00DB6DD1" w:rsidRPr="00DB6DD1" w:rsidRDefault="00DB6DD1" w:rsidP="00DB6DD1">
      <w:pPr>
        <w:spacing w:line="360" w:lineRule="auto"/>
        <w:jc w:val="both"/>
        <w:rPr>
          <w:rFonts w:ascii="Times New Roman" w:hAnsi="Times New Roman" w:cs="Times New Roman"/>
          <w:sz w:val="24"/>
          <w:szCs w:val="24"/>
        </w:rPr>
      </w:pPr>
    </w:p>
    <w:p w14:paraId="373818D1" w14:textId="3826517B"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3.7.3. Digester heat balance</w:t>
      </w:r>
    </w:p>
    <w:p w14:paraId="7E1CDDFE" w14:textId="2289541A" w:rsidR="00DB6DD1" w:rsidRPr="00DB6DD1" w:rsidRDefault="00DB6DD1" w:rsidP="0044134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 xml:space="preserve">Maintaining the reactor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dig,eff</m:t>
            </m:r>
          </m:sub>
        </m:sSub>
      </m:oMath>
      <w:r w:rsidRPr="00DB6DD1">
        <w:rPr>
          <w:rFonts w:ascii="Times New Roman" w:hAnsi="Times New Roman" w:cs="Times New Roman"/>
          <w:sz w:val="24"/>
          <w:szCs w:val="24"/>
        </w:rPr>
        <w:t xml:space="preserve"> requires a continuous heating energy supply. The daily heat demand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heat</m:t>
            </m:r>
          </m:sub>
        </m:sSub>
        <m:r>
          <w:rPr>
            <w:rFonts w:ascii="Cambria Math" w:hAnsi="Cambria Math" w:cs="Times New Roman"/>
            <w:sz w:val="24"/>
            <w:szCs w:val="24"/>
          </w:rPr>
          <m:t xml:space="preserve"> (kWh/day)</m:t>
        </m:r>
      </m:oMath>
      <w:r w:rsidRPr="00DB6DD1">
        <w:rPr>
          <w:rFonts w:ascii="Times New Roman" w:hAnsi="Times New Roman" w:cs="Times New Roman"/>
          <w:sz w:val="24"/>
          <w:szCs w:val="24"/>
        </w:rPr>
        <w:t xml:space="preserve"> is computed from the energy balance of a cylindrical digester with height-to-diameter ratio H/D = 1:</w:t>
      </w:r>
    </w:p>
    <w:p w14:paraId="347D51D6" w14:textId="77777777" w:rsidR="00DB6DD1" w:rsidRPr="00DB6DD1" w:rsidRDefault="00DB6DD1" w:rsidP="00DB6DD1">
      <w:pPr>
        <w:spacing w:line="360" w:lineRule="auto"/>
        <w:jc w:val="both"/>
        <w:rPr>
          <w:rFonts w:ascii="Times New Roman" w:hAnsi="Times New Roman" w:cs="Times New Roman"/>
          <w:sz w:val="24"/>
          <w:szCs w:val="24"/>
        </w:rPr>
      </w:pPr>
    </w:p>
    <w:p w14:paraId="546ED5BF" w14:textId="77777777" w:rsidR="00093F8C" w:rsidRPr="006217F4" w:rsidRDefault="00533732" w:rsidP="00093F8C">
      <w:pPr>
        <w:spacing w:line="360" w:lineRule="auto"/>
        <w:jc w:val="center"/>
        <w:rPr>
          <w:rFonts w:ascii="Times New Roman" w:eastAsiaTheme="minorEastAsia" w:hAnsi="Times New Roman" w:cs="Times New Roman"/>
          <w:sz w:val="24"/>
          <w:szCs w:val="24"/>
        </w:rPr>
      </w:pPr>
      <m:oMathPara>
        <m:oMath>
          <m:eqArr>
            <m:eqArrPr>
              <m:maxDist m:val="1"/>
              <m:ctrlPr>
                <w:rPr>
                  <w:rFonts w:ascii="Cambria Math" w:eastAsia="Cambria Math" w:hAnsi="Cambria Math" w:cs="Times New Roman"/>
                  <w:i/>
                  <w:sz w:val="24"/>
                  <w:szCs w:val="24"/>
                </w:rPr>
              </m:ctrlPr>
            </m:eqArr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Q</m:t>
                  </m:r>
                </m:e>
                <m:sub>
                  <m:r>
                    <w:rPr>
                      <w:rFonts w:ascii="Cambria Math" w:eastAsia="Cambria Math" w:hAnsi="Cambria Math" w:cs="Times New Roman"/>
                      <w:sz w:val="24"/>
                      <w:szCs w:val="24"/>
                    </w:rPr>
                    <m:t>heat</m:t>
                  </m:r>
                </m:sub>
              </m:sSub>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Q</m:t>
                  </m:r>
                </m:e>
                <m:sub>
                  <m:r>
                    <w:rPr>
                      <w:rFonts w:ascii="Cambria Math" w:eastAsia="Cambria Math" w:hAnsi="Cambria Math" w:cs="Times New Roman"/>
                      <w:sz w:val="24"/>
                      <w:szCs w:val="24"/>
                    </w:rPr>
                    <m:t>loss,cond</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Q</m:t>
                  </m:r>
                </m:e>
                <m:sub>
                  <m:r>
                    <w:rPr>
                      <w:rFonts w:ascii="Cambria Math" w:eastAsia="Cambria Math" w:hAnsi="Cambria Math" w:cs="Times New Roman"/>
                      <w:sz w:val="24"/>
                      <w:szCs w:val="24"/>
                    </w:rPr>
                    <m:t>in flow</m:t>
                  </m:r>
                </m:sub>
              </m:sSub>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Q</m:t>
                  </m:r>
                </m:e>
                <m:sub>
                  <m:r>
                    <w:rPr>
                      <w:rFonts w:ascii="Cambria Math" w:eastAsia="Cambria Math" w:hAnsi="Cambria Math" w:cs="Times New Roman"/>
                      <w:sz w:val="24"/>
                      <w:szCs w:val="24"/>
                    </w:rPr>
                    <m:t>reaction</m:t>
                  </m:r>
                </m:sub>
              </m:sSub>
              <m:r>
                <w:rPr>
                  <w:rFonts w:ascii="Cambria Math" w:eastAsia="Cambria Math" w:hAnsi="Cambria Math" w:cs="Times New Roman"/>
                  <w:sz w:val="24"/>
                  <w:szCs w:val="24"/>
                </w:rPr>
                <m:t xml:space="preserve"> #</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18</m:t>
                  </m:r>
                </m:e>
              </m:d>
            </m:e>
          </m:eqArr>
        </m:oMath>
      </m:oMathPara>
    </w:p>
    <w:p w14:paraId="4B498EB0" w14:textId="77777777" w:rsidR="00DB6DD1" w:rsidRPr="00DB6DD1" w:rsidRDefault="00DB6DD1" w:rsidP="00DB6DD1">
      <w:pPr>
        <w:spacing w:line="360" w:lineRule="auto"/>
        <w:jc w:val="both"/>
        <w:rPr>
          <w:rFonts w:ascii="Times New Roman" w:hAnsi="Times New Roman" w:cs="Times New Roman"/>
          <w:sz w:val="24"/>
          <w:szCs w:val="24"/>
        </w:rPr>
      </w:pPr>
    </w:p>
    <w:p w14:paraId="5FF3C031" w14:textId="43F905F0" w:rsidR="00DB6DD1" w:rsidRPr="00DB6DD1" w:rsidRDefault="00F4608F" w:rsidP="00DB6DD1">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DB6DD1" w:rsidRPr="00DB6DD1">
        <w:rPr>
          <w:rFonts w:ascii="Times New Roman" w:hAnsi="Times New Roman" w:cs="Times New Roman"/>
          <w:sz w:val="24"/>
          <w:szCs w:val="24"/>
        </w:rPr>
        <w:t>he conductive heat loss through the insulated reactor wall is:</w:t>
      </w:r>
    </w:p>
    <w:p w14:paraId="2520F1DE" w14:textId="77777777" w:rsidR="00DB6DD1" w:rsidRPr="00DB6DD1" w:rsidRDefault="00DB6DD1" w:rsidP="00DB6DD1">
      <w:pPr>
        <w:spacing w:line="360" w:lineRule="auto"/>
        <w:jc w:val="both"/>
        <w:rPr>
          <w:rFonts w:ascii="Times New Roman" w:hAnsi="Times New Roman" w:cs="Times New Roman"/>
          <w:sz w:val="24"/>
          <w:szCs w:val="24"/>
        </w:rPr>
      </w:pPr>
    </w:p>
    <w:p w14:paraId="4E17E969" w14:textId="6FD8F7D8" w:rsidR="0069785C" w:rsidRPr="0069785C" w:rsidRDefault="00533732" w:rsidP="00DB6DD1">
      <w:pPr>
        <w:spacing w:line="360" w:lineRule="auto"/>
        <w:jc w:val="both"/>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loss,cond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eff</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wall</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dig,eff</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amb</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24</m:t>
                  </m:r>
                </m:num>
                <m:den>
                  <m:r>
                    <w:rPr>
                      <w:rFonts w:ascii="Cambria Math" w:hAnsi="Cambria Math" w:cs="Times New Roman"/>
                      <w:sz w:val="24"/>
                      <w:szCs w:val="24"/>
                    </w:rPr>
                    <m:t>1000</m:t>
                  </m:r>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19</m:t>
                  </m:r>
                </m:e>
              </m:d>
            </m:e>
          </m:eqArr>
        </m:oMath>
      </m:oMathPara>
    </w:p>
    <w:p w14:paraId="17479850" w14:textId="77777777" w:rsidR="00DB6DD1" w:rsidRPr="00DB6DD1" w:rsidRDefault="00DB6DD1" w:rsidP="00DB6DD1">
      <w:pPr>
        <w:spacing w:line="360" w:lineRule="auto"/>
        <w:jc w:val="both"/>
        <w:rPr>
          <w:rFonts w:ascii="Times New Roman" w:hAnsi="Times New Roman" w:cs="Times New Roman"/>
          <w:sz w:val="24"/>
          <w:szCs w:val="24"/>
        </w:rPr>
      </w:pPr>
    </w:p>
    <w:p w14:paraId="30AB046A" w14:textId="1B80F4BB"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with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eff</m:t>
            </m:r>
          </m:sub>
        </m:sSub>
        <m:r>
          <w:rPr>
            <w:rFonts w:ascii="Cambria Math" w:hAnsi="Cambria Math" w:cs="Times New Roman"/>
            <w:sz w:val="24"/>
            <w:szCs w:val="24"/>
          </w:rPr>
          <m:t xml:space="preserve"> = 0.8 W/m²·K</m:t>
        </m:r>
      </m:oMath>
      <w:r w:rsidRPr="00DB6DD1">
        <w:rPr>
          <w:rFonts w:ascii="Times New Roman" w:hAnsi="Times New Roman" w:cs="Times New Roman"/>
          <w:sz w:val="24"/>
          <w:szCs w:val="24"/>
        </w:rPr>
        <w:t>, a value consistent with well-insulated farm-scale digesters equipped with 100 mm polyurethane foam insulation</w:t>
      </w:r>
      <w:r w:rsidR="00DF1213">
        <w:rPr>
          <w:rFonts w:ascii="Times New Roman" w:hAnsi="Times New Roman" w:cs="Times New Roman"/>
          <w:sz w:val="24"/>
          <w:szCs w:val="24"/>
        </w:rPr>
        <w:t xml:space="preserve"> </w:t>
      </w:r>
      <w:r w:rsidR="00DF1213">
        <w:rPr>
          <w:rFonts w:ascii="Times New Roman" w:hAnsi="Times New Roman" w:cs="Times New Roman"/>
          <w:sz w:val="24"/>
          <w:szCs w:val="24"/>
        </w:rPr>
        <w:fldChar w:fldCharType="begin"/>
      </w:r>
      <w:r w:rsidR="00DF1213">
        <w:rPr>
          <w:rFonts w:ascii="Times New Roman" w:hAnsi="Times New Roman" w:cs="Times New Roman"/>
          <w:sz w:val="24"/>
          <w:szCs w:val="24"/>
        </w:rPr>
        <w:instrText xml:space="preserve"> ADDIN ZOTERO_ITEM CSL_CITATION {"citationID":"DI199kDa","properties":{"unsorted":false,"formattedCitation":"(Lindorfer et al., 2008; Pal &amp; Ilango, 2024)","plainCitation":"(Lindorfer et al., 2008; Pal &amp; Ilango, 2024)","noteIndex":0},"citationItems":[{"id":83,"uris":["http://zotero.org/users/local/i6bXxmSk/items/FC4VXIIW"],"itemData":{"id":83,"type":"article-journal","abstract":"As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w:instrText>
      </w:r>
      <w:r w:rsidR="00DF1213" w:rsidRPr="00E6057D">
        <w:rPr>
          <w:rFonts w:ascii="Times New Roman" w:hAnsi="Times New Roman" w:cs="Times New Roman"/>
          <w:sz w:val="24"/>
          <w:szCs w:val="24"/>
        </w:rPr>
        <w:instrText xml:space="preserve"> found that integ</w:instrText>
      </w:r>
      <w:r w:rsidR="00DF1213" w:rsidRPr="0044134C">
        <w:rPr>
          <w:rFonts w:ascii="Times New Roman" w:hAnsi="Times New Roman" w:cs="Times New Roman"/>
          <w:sz w:val="24"/>
          <w:szCs w:val="24"/>
        </w:rPr>
        <w:instrText xml:space="preserve">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00DF1213">
        <w:rPr>
          <w:rFonts w:ascii="Times New Roman" w:hAnsi="Times New Roman" w:cs="Times New Roman"/>
          <w:sz w:val="24"/>
          <w:szCs w:val="24"/>
        </w:rPr>
        <w:fldChar w:fldCharType="separate"/>
      </w:r>
      <w:r w:rsidR="00DF1213" w:rsidRPr="0044134C">
        <w:rPr>
          <w:rFonts w:ascii="Calibri" w:hAnsi="Calibri" w:cs="Calibri"/>
          <w:sz w:val="24"/>
        </w:rPr>
        <w:t>(Lindorfer et al., 2008; Pal &amp; Ilango, 2024)</w:t>
      </w:r>
      <w:r w:rsidR="00DF1213">
        <w:rPr>
          <w:rFonts w:ascii="Times New Roman" w:hAnsi="Times New Roman" w:cs="Times New Roman"/>
          <w:sz w:val="24"/>
          <w:szCs w:val="24"/>
        </w:rPr>
        <w:fldChar w:fldCharType="end"/>
      </w:r>
      <w:r w:rsidR="0044134C">
        <w:rPr>
          <w:rFonts w:ascii="Times New Roman" w:hAnsi="Times New Roman" w:cs="Times New Roman"/>
          <w:sz w:val="24"/>
          <w:szCs w:val="24"/>
        </w:rPr>
        <w:t xml:space="preserve">. </w:t>
      </w:r>
      <w:r w:rsidRPr="00DB6DD1">
        <w:rPr>
          <w:rFonts w:ascii="Times New Roman" w:hAnsi="Times New Roman" w:cs="Times New Roman"/>
          <w:sz w:val="24"/>
          <w:szCs w:val="24"/>
        </w:rPr>
        <w:t>The heat required to bring the incoming feedstock slurry from ambient temperature to the digester setpoint is:</w:t>
      </w:r>
    </w:p>
    <w:p w14:paraId="2BD517B2" w14:textId="77777777" w:rsidR="00DB6DD1" w:rsidRPr="00DB6DD1" w:rsidRDefault="00DB6DD1" w:rsidP="00DB6DD1">
      <w:pPr>
        <w:spacing w:line="360" w:lineRule="auto"/>
        <w:jc w:val="both"/>
        <w:rPr>
          <w:rFonts w:ascii="Times New Roman" w:hAnsi="Times New Roman" w:cs="Times New Roman"/>
          <w:sz w:val="24"/>
          <w:szCs w:val="24"/>
        </w:rPr>
      </w:pPr>
    </w:p>
    <w:p w14:paraId="2ECBD976" w14:textId="3A4311DC" w:rsidR="00CB5A48" w:rsidRPr="007671ED" w:rsidRDefault="00533732" w:rsidP="00CB5A48">
      <w:pPr>
        <w:spacing w:line="360" w:lineRule="auto"/>
        <w:jc w:val="both"/>
        <w:rPr>
          <w:rFonts w:ascii="Times New Roman" w:eastAsiaTheme="minorEastAsia" w:hAnsi="Times New Roman" w:cs="Times New Roman"/>
          <w:sz w:val="24"/>
          <w:szCs w:val="24"/>
        </w:rPr>
      </w:pPr>
      <m:oMathPara>
        <m:oMath>
          <m:eqArr>
            <m:eqArrPr>
              <m:maxDist m:val="1"/>
              <m:ctrlPr>
                <w:rPr>
                  <w:rFonts w:ascii="Cambria Math" w:eastAsia="Cambria Math" w:hAnsi="Cambria Math" w:cs="Times New Roman"/>
                  <w:i/>
                  <w:sz w:val="24"/>
                  <w:szCs w:val="24"/>
                  <w:lang w:val="fr-FR"/>
                </w:rPr>
              </m:ctrlPr>
            </m:eqArrPr>
            <m:e>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Q</m:t>
                  </m:r>
                </m:e>
                <m:sub>
                  <m:r>
                    <w:rPr>
                      <w:rFonts w:ascii="Cambria Math" w:eastAsia="Cambria Math" w:hAnsi="Cambria Math" w:cs="Times New Roman"/>
                      <w:sz w:val="24"/>
                      <w:szCs w:val="24"/>
                      <w:lang w:val="fr-FR"/>
                    </w:rPr>
                    <m:t>inflow</m:t>
                  </m:r>
                </m:sub>
              </m:sSub>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rPr>
                    <m:t>ṁ</m:t>
                  </m:r>
                </m:e>
                <m:sub>
                  <m:r>
                    <w:rPr>
                      <w:rFonts w:ascii="Cambria Math" w:eastAsia="Cambria Math" w:hAnsi="Cambria Math" w:cs="Times New Roman"/>
                      <w:sz w:val="24"/>
                      <w:szCs w:val="24"/>
                      <w:lang w:val="fr-FR"/>
                    </w:rPr>
                    <m:t>substrate</m:t>
                  </m:r>
                </m:sub>
              </m:sSub>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C</m:t>
                  </m:r>
                </m:e>
                <m:sub>
                  <m:r>
                    <w:rPr>
                      <w:rFonts w:ascii="Cambria Math" w:eastAsia="Cambria Math" w:hAnsi="Cambria Math" w:cs="Times New Roman"/>
                      <w:sz w:val="24"/>
                      <w:szCs w:val="24"/>
                      <w:lang w:val="fr-FR"/>
                    </w:rPr>
                    <m:t>p</m:t>
                  </m:r>
                </m:sub>
              </m:sSub>
              <m:r>
                <w:rPr>
                  <w:rFonts w:ascii="Cambria Math" w:eastAsia="Cambria Math" w:hAnsi="Cambria Math" w:cs="Times New Roman"/>
                  <w:sz w:val="24"/>
                  <w:szCs w:val="24"/>
                </w:rPr>
                <m:t>×</m:t>
              </m:r>
              <m:func>
                <m:funcPr>
                  <m:ctrlPr>
                    <w:rPr>
                      <w:rFonts w:ascii="Cambria Math" w:eastAsia="Cambria Math" w:hAnsi="Cambria Math" w:cs="Times New Roman"/>
                      <w:sz w:val="24"/>
                      <w:szCs w:val="24"/>
                      <w:lang w:val="fr-FR"/>
                    </w:rPr>
                  </m:ctrlPr>
                </m:funcPr>
                <m:fName>
                  <m:r>
                    <m:rPr>
                      <m:sty m:val="p"/>
                    </m:rPr>
                    <w:rPr>
                      <w:rFonts w:ascii="Cambria Math" w:eastAsia="Cambria Math" w:hAnsi="Cambria Math" w:cs="Times New Roman"/>
                      <w:sz w:val="24"/>
                      <w:szCs w:val="24"/>
                    </w:rPr>
                    <m:t>max</m:t>
                  </m:r>
                  <m:ctrlPr>
                    <w:rPr>
                      <w:rFonts w:ascii="Cambria Math" w:eastAsia="Cambria Math" w:hAnsi="Cambria Math" w:cs="Times New Roman"/>
                      <w:i/>
                      <w:sz w:val="24"/>
                      <w:szCs w:val="24"/>
                      <w:lang w:val="fr-FR"/>
                    </w:rPr>
                  </m:ctrlPr>
                </m:fName>
                <m:e>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rPr>
                        <m:t xml:space="preserve">0,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dig</m:t>
                          </m:r>
                          <m:r>
                            <w:rPr>
                              <w:rFonts w:ascii="Cambria Math" w:eastAsia="Cambria Math" w:hAnsi="Cambria Math" w:cs="Times New Roman"/>
                              <w:sz w:val="24"/>
                              <w:szCs w:val="24"/>
                            </w:rPr>
                            <m:t>,</m:t>
                          </m:r>
                          <m:r>
                            <w:rPr>
                              <w:rFonts w:ascii="Cambria Math" w:eastAsia="Cambria Math" w:hAnsi="Cambria Math" w:cs="Times New Roman"/>
                              <w:sz w:val="24"/>
                              <w:szCs w:val="24"/>
                              <w:lang w:val="fr-FR"/>
                            </w:rPr>
                            <m:t>eff</m:t>
                          </m:r>
                        </m:sub>
                      </m:sSub>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lang w:val="fr-FR"/>
                            </w:rPr>
                          </m:ctrlPr>
                        </m:sSubPr>
                        <m:e>
                          <m:r>
                            <w:rPr>
                              <w:rFonts w:ascii="Cambria Math" w:eastAsia="Cambria Math" w:hAnsi="Cambria Math" w:cs="Times New Roman"/>
                              <w:sz w:val="24"/>
                              <w:szCs w:val="24"/>
                              <w:lang w:val="fr-FR"/>
                            </w:rPr>
                            <m:t>T</m:t>
                          </m:r>
                        </m:e>
                        <m:sub>
                          <m:r>
                            <w:rPr>
                              <w:rFonts w:ascii="Cambria Math" w:eastAsia="Cambria Math" w:hAnsi="Cambria Math" w:cs="Times New Roman"/>
                              <w:sz w:val="24"/>
                              <w:szCs w:val="24"/>
                              <w:lang w:val="fr-FR"/>
                            </w:rPr>
                            <m:t>amb</m:t>
                          </m:r>
                        </m:sub>
                      </m:sSub>
                    </m:e>
                  </m:d>
                </m:e>
              </m:func>
              <m:r>
                <w:rPr>
                  <w:rFonts w:ascii="Cambria Math" w:eastAsia="Cambria Math" w:hAnsi="Cambria Math" w:cs="Times New Roman"/>
                  <w:sz w:val="24"/>
                  <w:szCs w:val="24"/>
                </w:rPr>
                <m:t>/3600 #</m:t>
              </m:r>
              <m:d>
                <m:dPr>
                  <m:ctrlPr>
                    <w:rPr>
                      <w:rFonts w:ascii="Cambria Math" w:eastAsia="Cambria Math" w:hAnsi="Cambria Math" w:cs="Times New Roman"/>
                      <w:i/>
                      <w:sz w:val="24"/>
                      <w:szCs w:val="24"/>
                      <w:lang w:val="fr-FR"/>
                    </w:rPr>
                  </m:ctrlPr>
                </m:dPr>
                <m:e>
                  <m:r>
                    <w:rPr>
                      <w:rFonts w:ascii="Cambria Math" w:eastAsia="Cambria Math" w:hAnsi="Cambria Math" w:cs="Times New Roman"/>
                      <w:sz w:val="24"/>
                      <w:szCs w:val="24"/>
                    </w:rPr>
                    <m:t>20</m:t>
                  </m:r>
                </m:e>
              </m:d>
            </m:e>
          </m:eqArr>
        </m:oMath>
      </m:oMathPara>
    </w:p>
    <w:p w14:paraId="3BD221BA" w14:textId="77777777" w:rsidR="00DB6DD1" w:rsidRPr="00DB6DD1" w:rsidRDefault="00DB6DD1" w:rsidP="00DB6DD1">
      <w:pPr>
        <w:spacing w:line="360" w:lineRule="auto"/>
        <w:jc w:val="both"/>
        <w:rPr>
          <w:rFonts w:ascii="Times New Roman" w:hAnsi="Times New Roman" w:cs="Times New Roman"/>
          <w:sz w:val="24"/>
          <w:szCs w:val="24"/>
        </w:rPr>
      </w:pPr>
    </w:p>
    <w:p w14:paraId="0764A2A2" w14:textId="0CA28E32"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xml:space="preserve"> = 4.18 kJ/kg·K</m:t>
        </m:r>
      </m:oMath>
      <w:r w:rsidRPr="00DB6DD1">
        <w:rPr>
          <w:rFonts w:ascii="Times New Roman" w:hAnsi="Times New Roman" w:cs="Times New Roman"/>
          <w:sz w:val="24"/>
          <w:szCs w:val="24"/>
        </w:rPr>
        <w:t xml:space="preserve"> is the specific heat capacity of dilute slurry (approximated as water</w:t>
      </w:r>
      <w:proofErr w:type="gramStart"/>
      <w:r w:rsidRPr="00DB6DD1">
        <w:rPr>
          <w:rFonts w:ascii="Times New Roman" w:hAnsi="Times New Roman" w:cs="Times New Roman"/>
          <w:sz w:val="24"/>
          <w:szCs w:val="24"/>
        </w:rPr>
        <w:t>).</w:t>
      </w:r>
      <w:proofErr w:type="gramEnd"/>
      <w:r w:rsidRPr="00DB6DD1">
        <w:rPr>
          <w:rFonts w:ascii="Times New Roman" w:hAnsi="Times New Roman" w:cs="Times New Roman"/>
          <w:sz w:val="24"/>
          <w:szCs w:val="24"/>
        </w:rPr>
        <w:t xml:space="preserve"> The exothermic biological reactions within the digester return a small fraction of heat to the system; following Pal and Ilango </w:t>
      </w:r>
      <w:r w:rsidR="00911197">
        <w:rPr>
          <w:rFonts w:ascii="Times New Roman" w:hAnsi="Times New Roman" w:cs="Times New Roman"/>
          <w:sz w:val="24"/>
          <w:szCs w:val="24"/>
        </w:rPr>
        <w:fldChar w:fldCharType="begin"/>
      </w:r>
      <w:r w:rsidR="00911197">
        <w:rPr>
          <w:rFonts w:ascii="Times New Roman" w:hAnsi="Times New Roman" w:cs="Times New Roman"/>
          <w:sz w:val="24"/>
          <w:szCs w:val="24"/>
        </w:rPr>
        <w:instrText xml:space="preserve"> ADDIN ZOTERO_ITEM CSL_CITATION {"citationID":"fasapAyD","properties":{"unsorted":false,"formattedCitation":"(Pal &amp; Ilango, 2024)","plainCitation":"(Pal &amp; Ilango, 2024)","noteIndex":0},"citationItems":[{"id":77,"uris":["http://zotero.org/users/local/i6bXxmSk/items/KSXUPFKN"],"itemData":{"id":77,"type":"article-journal","abstract":"This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00911197">
        <w:rPr>
          <w:rFonts w:ascii="Times New Roman" w:hAnsi="Times New Roman" w:cs="Times New Roman"/>
          <w:sz w:val="24"/>
          <w:szCs w:val="24"/>
        </w:rPr>
        <w:fldChar w:fldCharType="separate"/>
      </w:r>
      <w:r w:rsidR="00911197" w:rsidRPr="00911197">
        <w:rPr>
          <w:rFonts w:ascii="Calibri" w:hAnsi="Calibri" w:cs="Calibri"/>
          <w:sz w:val="24"/>
        </w:rPr>
        <w:t>(Pal &amp; Ilango, 2024)</w:t>
      </w:r>
      <w:r w:rsidR="00911197">
        <w:rPr>
          <w:rFonts w:ascii="Times New Roman" w:hAnsi="Times New Roman" w:cs="Times New Roman"/>
          <w:sz w:val="24"/>
          <w:szCs w:val="24"/>
        </w:rPr>
        <w:fldChar w:fldCharType="end"/>
      </w:r>
      <w:r w:rsidRPr="00DB6DD1">
        <w:rPr>
          <w:rFonts w:ascii="Times New Roman" w:hAnsi="Times New Roman" w:cs="Times New Roman"/>
          <w:sz w:val="24"/>
          <w:szCs w:val="24"/>
        </w:rPr>
        <w:t xml:space="preserve">, this is estimated </w:t>
      </w:r>
      <w:proofErr w:type="spellStart"/>
      <w:r w:rsidRPr="00DB6DD1">
        <w:rPr>
          <w:rFonts w:ascii="Times New Roman" w:hAnsi="Times New Roman" w:cs="Times New Roman"/>
          <w:sz w:val="24"/>
          <w:szCs w:val="24"/>
        </w:rPr>
        <w:t>as</w:t>
      </w:r>
      <w:proofErr w:type="spellEnd"/>
      <w:r w:rsidRPr="00DB6DD1">
        <w:rPr>
          <w:rFonts w:ascii="Times New Roman" w:hAnsi="Times New Roman" w:cs="Times New Roman"/>
          <w:sz w:val="24"/>
          <w:szCs w:val="24"/>
        </w:rPr>
        <w:t xml:space="preserve"> approximately 5% of the daily biogas energy:</w:t>
      </w:r>
    </w:p>
    <w:p w14:paraId="3ABFCDF6" w14:textId="77777777" w:rsidR="00DB6DD1" w:rsidRPr="00DB6DD1" w:rsidRDefault="00DB6DD1" w:rsidP="00DB6DD1">
      <w:pPr>
        <w:spacing w:line="360" w:lineRule="auto"/>
        <w:jc w:val="both"/>
        <w:rPr>
          <w:rFonts w:ascii="Times New Roman" w:hAnsi="Times New Roman" w:cs="Times New Roman"/>
          <w:sz w:val="24"/>
          <w:szCs w:val="24"/>
        </w:rPr>
      </w:pPr>
    </w:p>
    <w:p w14:paraId="3C1FA882" w14:textId="39A2A9A8" w:rsidR="00B4286A" w:rsidRPr="006217F4" w:rsidRDefault="00533732" w:rsidP="00B4286A">
      <w:pPr>
        <w:spacing w:line="360" w:lineRule="auto"/>
        <w:jc w:val="both"/>
        <w:rPr>
          <w:rFonts w:ascii="Times New Roman" w:eastAsiaTheme="minorEastAsia" w:hAnsi="Times New Roman" w:cs="Times New Roman"/>
          <w:sz w:val="24"/>
          <w:szCs w:val="24"/>
        </w:rPr>
      </w:pPr>
      <m:oMathPara>
        <m:oMath>
          <m:eqArr>
            <m:eqArrPr>
              <m:maxDist m:val="1"/>
              <m:ctrlPr>
                <w:rPr>
                  <w:rFonts w:ascii="Cambria Math" w:eastAsia="Cambria Math" w:hAnsi="Cambria Math" w:cs="Times New Roman"/>
                  <w:i/>
                  <w:sz w:val="24"/>
                  <w:szCs w:val="24"/>
                </w:rPr>
              </m:ctrlPr>
            </m:eqArrP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Q</m:t>
                  </m:r>
                </m:e>
                <m:sub>
                  <m:r>
                    <w:rPr>
                      <w:rFonts w:ascii="Cambria Math" w:eastAsia="Cambria Math" w:hAnsi="Cambria Math" w:cs="Times New Roman"/>
                      <w:sz w:val="24"/>
                      <w:szCs w:val="24"/>
                    </w:rPr>
                    <m:t>reaction</m:t>
                  </m:r>
                </m:sub>
              </m:sSub>
              <m:r>
                <w:rPr>
                  <w:rFonts w:ascii="Cambria Math" w:eastAsia="Cambria Math" w:hAnsi="Cambria Math" w:cs="Times New Roman"/>
                  <w:sz w:val="24"/>
                  <w:szCs w:val="24"/>
                </w:rPr>
                <m:t xml:space="preserve">= 0.05 ×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Ṁ</m:t>
                  </m:r>
                </m:e>
                <m:sub>
                  <m:r>
                    <w:rPr>
                      <w:rFonts w:ascii="Cambria Math" w:eastAsia="Cambria Math" w:hAnsi="Cambria Math" w:cs="Times New Roman"/>
                      <w:sz w:val="24"/>
                      <w:szCs w:val="24"/>
                    </w:rPr>
                    <m:t>C</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r>
                    <w:rPr>
                      <w:rFonts w:ascii="Cambria Math" w:eastAsia="Cambria Math" w:hAnsi="Cambria Math" w:cs="Times New Roman"/>
                      <w:sz w:val="24"/>
                      <w:szCs w:val="24"/>
                    </w:rPr>
                    <m:t>,daily</m:t>
                  </m:r>
                </m:sub>
              </m:sSub>
              <m:r>
                <w:rPr>
                  <w:rFonts w:ascii="Cambria Math" w:eastAsia="Cambria Math" w:hAnsi="Cambria Math" w:cs="Times New Roman"/>
                  <w:sz w:val="24"/>
                  <w:szCs w:val="24"/>
                </w:rPr>
                <m:t>× LH</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C</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sub>
              </m:sSub>
              <m:r>
                <w:rPr>
                  <w:rFonts w:ascii="Cambria Math" w:eastAsia="Cambria Math" w:hAnsi="Cambria Math" w:cs="Times New Roman"/>
                  <w:sz w:val="24"/>
                  <w:szCs w:val="24"/>
                </w:rPr>
                <m:t>#</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21</m:t>
                  </m:r>
                </m:e>
              </m:d>
            </m:e>
          </m:eqArr>
        </m:oMath>
      </m:oMathPara>
    </w:p>
    <w:p w14:paraId="077F1E20" w14:textId="77777777" w:rsidR="00DB6DD1" w:rsidRPr="00DB6DD1" w:rsidRDefault="00DB6DD1" w:rsidP="00DB6DD1">
      <w:pPr>
        <w:spacing w:line="360" w:lineRule="auto"/>
        <w:jc w:val="both"/>
        <w:rPr>
          <w:rFonts w:ascii="Times New Roman" w:hAnsi="Times New Roman" w:cs="Times New Roman"/>
          <w:sz w:val="24"/>
          <w:szCs w:val="24"/>
        </w:rPr>
      </w:pPr>
    </w:p>
    <w:p w14:paraId="32B36002" w14:textId="7F122CE0"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The PV system supplies a fraction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PV,heat</m:t>
            </m:r>
          </m:sub>
        </m:sSub>
      </m:oMath>
      <w:r w:rsidRPr="00DB6DD1">
        <w:rPr>
          <w:rFonts w:ascii="Times New Roman" w:hAnsi="Times New Roman" w:cs="Times New Roman"/>
          <w:sz w:val="24"/>
          <w:szCs w:val="24"/>
        </w:rPr>
        <w:t xml:space="preserve"> of its annual generation as electrical resistance heating (</w:t>
      </w:r>
      <m:oMath>
        <m:r>
          <w:rPr>
            <w:rFonts w:ascii="Cambria Math" w:hAnsi="Cambria Math" w:cs="Times New Roman"/>
            <w:sz w:val="24"/>
            <w:szCs w:val="24"/>
          </w:rPr>
          <m:t xml:space="preserve">efficiency </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elec</m:t>
            </m:r>
          </m:sub>
        </m:sSub>
        <m:r>
          <w:rPr>
            <w:rFonts w:ascii="Cambria Math" w:hAnsi="Cambria Math" w:cs="Times New Roman"/>
            <w:sz w:val="24"/>
            <w:szCs w:val="24"/>
          </w:rPr>
          <m:t>= 0.95</m:t>
        </m:r>
      </m:oMath>
      <w:r w:rsidRPr="00DB6DD1">
        <w:rPr>
          <w:rFonts w:ascii="Times New Roman" w:hAnsi="Times New Roman" w:cs="Times New Roman"/>
          <w:sz w:val="24"/>
          <w:szCs w:val="24"/>
        </w:rPr>
        <w:t>). Any remaining heat deficit is met by biogas combustion in a combined heat and power (CHP) unit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bio</m:t>
            </m:r>
          </m:sub>
        </m:sSub>
        <m:r>
          <w:rPr>
            <w:rFonts w:ascii="Cambria Math" w:hAnsi="Cambria Math" w:cs="Times New Roman"/>
            <w:sz w:val="24"/>
            <w:szCs w:val="24"/>
          </w:rPr>
          <m:t>= 0.85</m:t>
        </m:r>
      </m:oMath>
      <w:r w:rsidRPr="00DB6DD1">
        <w:rPr>
          <w:rFonts w:ascii="Times New Roman" w:hAnsi="Times New Roman" w:cs="Times New Roman"/>
          <w:sz w:val="24"/>
          <w:szCs w:val="24"/>
        </w:rPr>
        <w:t>). If biogas is insufficient to cover the deficit, the configuration is declared infeasible and excluded from the optimizer.</w:t>
      </w:r>
    </w:p>
    <w:p w14:paraId="2676F0EA" w14:textId="77777777" w:rsidR="00DB6DD1" w:rsidRPr="00DB6DD1" w:rsidRDefault="00DB6DD1" w:rsidP="00DB6DD1">
      <w:pPr>
        <w:spacing w:line="360" w:lineRule="auto"/>
        <w:jc w:val="both"/>
        <w:rPr>
          <w:rFonts w:ascii="Times New Roman" w:hAnsi="Times New Roman" w:cs="Times New Roman"/>
          <w:sz w:val="24"/>
          <w:szCs w:val="24"/>
        </w:rPr>
      </w:pPr>
    </w:p>
    <w:p w14:paraId="26D33752" w14:textId="614B8E0F"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3.8. Extended Land Equivalent Ratio formulation</w:t>
      </w:r>
    </w:p>
    <w:p w14:paraId="0FFE19D6" w14:textId="25BAD308" w:rsidR="00DB6DD1" w:rsidRPr="00DB6DD1" w:rsidRDefault="00DB6DD1" w:rsidP="00AD0C7C">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 classical two-component LER captures crop and PV outputs but entirely ignores the biogas energy recovered from the same hectare\'s residue stream. This study proposes an extended three-component LER (eLER) that incorporates net biogas as a third output:</w:t>
      </w:r>
    </w:p>
    <w:p w14:paraId="2231E070" w14:textId="77777777" w:rsidR="00DB6DD1" w:rsidRPr="00DB6DD1" w:rsidRDefault="00DB6DD1" w:rsidP="00DB6DD1">
      <w:pPr>
        <w:spacing w:line="360" w:lineRule="auto"/>
        <w:jc w:val="both"/>
        <w:rPr>
          <w:rFonts w:ascii="Times New Roman" w:hAnsi="Times New Roman" w:cs="Times New Roman"/>
          <w:sz w:val="24"/>
          <w:szCs w:val="24"/>
        </w:rPr>
      </w:pPr>
    </w:p>
    <w:p w14:paraId="59125889" w14:textId="0D102829" w:rsidR="00C053D9" w:rsidRPr="006217F4" w:rsidRDefault="00533732" w:rsidP="00C053D9">
      <w:pPr>
        <w:spacing w:line="360" w:lineRule="auto"/>
        <w:jc w:val="both"/>
        <w:rPr>
          <w:rFonts w:ascii="Times New Roman" w:eastAsiaTheme="minorEastAsia" w:hAnsi="Times New Roman" w:cs="Times New Roman"/>
          <w:sz w:val="24"/>
          <w:szCs w:val="24"/>
        </w:rPr>
      </w:pPr>
      <m:oMathPara>
        <m:oMath>
          <m:eqArr>
            <m:eqArrPr>
              <m:maxDist m:val="1"/>
              <m:ctrlPr>
                <w:rPr>
                  <w:rFonts w:ascii="Cambria Math" w:eastAsia="Cambria Math" w:hAnsi="Cambria Math" w:cs="Times New Roman"/>
                  <w:i/>
                  <w:sz w:val="24"/>
                  <w:szCs w:val="24"/>
                </w:rPr>
              </m:ctrlPr>
            </m:eqArrPr>
            <m:e>
              <m:r>
                <w:rPr>
                  <w:rFonts w:ascii="Cambria Math" w:eastAsia="Cambria Math" w:hAnsi="Cambria Math" w:cs="Times New Roman"/>
                  <w:sz w:val="24"/>
                  <w:szCs w:val="24"/>
                </w:rPr>
                <m:t>eLER =</m:t>
              </m:r>
              <m:f>
                <m:fPr>
                  <m:ctrlPr>
                    <w:rPr>
                      <w:rFonts w:ascii="Cambria Math" w:eastAsia="Cambria Math" w:hAnsi="Cambria Math" w:cs="Times New Roman"/>
                      <w:i/>
                      <w:sz w:val="24"/>
                      <w:szCs w:val="24"/>
                    </w:rPr>
                  </m:ctrlPr>
                </m:fPr>
                <m:num>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crop,AV</m:t>
                      </m:r>
                    </m:sub>
                  </m:sSub>
                </m:num>
                <m:den>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crop,open</m:t>
                      </m:r>
                    </m:sub>
                  </m:sSub>
                </m:den>
              </m:f>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PV,net</m:t>
                      </m:r>
                    </m:sub>
                  </m:sSub>
                </m:num>
                <m:den>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PV,ref</m:t>
                      </m:r>
                    </m:sub>
                  </m:sSub>
                </m:den>
              </m:f>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biogas,net</m:t>
                      </m:r>
                    </m:sub>
                  </m:sSub>
                </m:num>
                <m:den>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biogas,ref</m:t>
                      </m:r>
                    </m:sub>
                  </m:sSub>
                </m:den>
              </m:f>
              <m:r>
                <w:rPr>
                  <w:rFonts w:ascii="Cambria Math" w:eastAsia="Cambria Math" w:hAnsi="Cambria Math" w:cs="Times New Roman"/>
                  <w:sz w:val="24"/>
                  <w:szCs w:val="24"/>
                </w:rPr>
                <m:t>#</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22</m:t>
                  </m:r>
                </m:e>
              </m:d>
            </m:e>
          </m:eqArr>
        </m:oMath>
      </m:oMathPara>
    </w:p>
    <w:p w14:paraId="25B08FC5" w14:textId="77777777" w:rsidR="00DB6DD1" w:rsidRPr="00DB6DD1" w:rsidRDefault="00DB6DD1" w:rsidP="00DB6DD1">
      <w:pPr>
        <w:spacing w:line="360" w:lineRule="auto"/>
        <w:jc w:val="both"/>
        <w:rPr>
          <w:rFonts w:ascii="Times New Roman" w:hAnsi="Times New Roman" w:cs="Times New Roman"/>
          <w:sz w:val="24"/>
          <w:szCs w:val="24"/>
        </w:rPr>
      </w:pPr>
    </w:p>
    <w:p w14:paraId="62F9D20B" w14:textId="24F1F270"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Each component is defined precisely. The crop component </w:t>
      </w:r>
      <m:oMath>
        <m:f>
          <m:fPr>
            <m:ctrlPr>
              <w:rPr>
                <w:rFonts w:ascii="Cambria Math" w:eastAsia="Cambria Math" w:hAnsi="Cambria Math" w:cs="Times New Roman"/>
                <w:i/>
                <w:sz w:val="24"/>
                <w:szCs w:val="24"/>
              </w:rPr>
            </m:ctrlPr>
          </m:fPr>
          <m:num>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crop,AV</m:t>
                </m:r>
              </m:sub>
            </m:sSub>
          </m:num>
          <m:den>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crop,open</m:t>
                </m:r>
              </m:sub>
            </m:sSub>
          </m:den>
        </m:f>
      </m:oMath>
      <w:r w:rsidR="00EB2F25">
        <w:rPr>
          <w:rFonts w:ascii="Times New Roman" w:eastAsiaTheme="minorEastAsia" w:hAnsi="Times New Roman" w:cs="Times New Roman"/>
          <w:sz w:val="24"/>
          <w:szCs w:val="24"/>
        </w:rPr>
        <w:t xml:space="preserve">  </w:t>
      </w:r>
      <w:r w:rsidRPr="00DB6DD1">
        <w:rPr>
          <w:rFonts w:ascii="Times New Roman" w:hAnsi="Times New Roman" w:cs="Times New Roman"/>
          <w:sz w:val="24"/>
          <w:szCs w:val="24"/>
        </w:rPr>
        <w:t xml:space="preserve">is the relative yield ratio derived from the seasonal PAR integral (Eq. 11), with </w:t>
      </w:r>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crop,AV</m:t>
            </m:r>
          </m:sub>
        </m:sSub>
        <m:r>
          <w:rPr>
            <w:rFonts w:ascii="Cambria Math" w:eastAsia="Cambria Math" w:hAnsi="Cambria Math" w:cs="Times New Roman"/>
            <w:sz w:val="24"/>
            <w:szCs w:val="24"/>
          </w:rPr>
          <m:t xml:space="preserve"> </m:t>
        </m:r>
      </m:oMath>
      <w:r w:rsidRPr="00DB6DD1">
        <w:rPr>
          <w:rFonts w:ascii="Times New Roman" w:hAnsi="Times New Roman" w:cs="Times New Roman"/>
          <w:sz w:val="24"/>
          <w:szCs w:val="24"/>
        </w:rPr>
        <w:t xml:space="preserve">representing open-field tomato production at the same site with the same agronomic management. The PV component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PV,net</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PV,ref</m:t>
                </m:r>
              </m:sub>
            </m:sSub>
          </m:den>
        </m:f>
      </m:oMath>
      <w:r w:rsidRPr="00DB6DD1">
        <w:rPr>
          <w:rFonts w:ascii="Times New Roman" w:hAnsi="Times New Roman" w:cs="Times New Roman"/>
          <w:sz w:val="24"/>
          <w:szCs w:val="24"/>
        </w:rPr>
        <w:t xml:space="preserve"> uses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PV,net</m:t>
            </m:r>
          </m:sub>
        </m:sSub>
      </m:oMath>
      <w:r w:rsidRPr="00DB6DD1">
        <w:rPr>
          <w:rFonts w:ascii="Times New Roman" w:hAnsi="Times New Roman" w:cs="Times New Roman"/>
          <w:sz w:val="24"/>
          <w:szCs w:val="24"/>
        </w:rPr>
        <w:t xml:space="preserve"> — annual PV electricity sold to the grid after deducting the heating allocation — in the numerator, and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PV,ref</m:t>
            </m:r>
          </m:sub>
        </m:sSub>
      </m:oMath>
      <w:r w:rsidRPr="00DB6DD1">
        <w:rPr>
          <w:rFonts w:ascii="Times New Roman" w:hAnsi="Times New Roman" w:cs="Times New Roman"/>
          <w:sz w:val="24"/>
          <w:szCs w:val="24"/>
        </w:rPr>
        <w:t xml:space="preserve"> in the denominator, where the reference is computed from an independent open-field dense-pack simulation using the same module specifications at maximum GCR and the same tilt angle. This decoupled reference avoids the circular definition used in several prior studies, which derive the reference from the APV output itself. The biogas component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biogas,net</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biogas,ref</m:t>
                </m:r>
              </m:sub>
            </m:sSub>
          </m:den>
        </m:f>
      </m:oMath>
      <w:r w:rsidRPr="00DB6DD1">
        <w:rPr>
          <w:rFonts w:ascii="Times New Roman" w:hAnsi="Times New Roman" w:cs="Times New Roman"/>
          <w:sz w:val="24"/>
          <w:szCs w:val="24"/>
        </w:rPr>
        <w:t xml:space="preserve"> uses the net exported biogas energy (after self-heating) in the numerator, and the maximum methane energy recoverable from all residues in a thermally unconstrained AD unit at 37°C as the reference.</w:t>
      </w:r>
    </w:p>
    <w:p w14:paraId="6AD12FFF" w14:textId="4A135638" w:rsidR="00DB6DD1" w:rsidRPr="00DB6DD1" w:rsidRDefault="005E434F" w:rsidP="00DB6DD1">
      <w:pPr>
        <w:spacing w:line="360" w:lineRule="auto"/>
        <w:jc w:val="both"/>
        <w:rPr>
          <w:rFonts w:ascii="Times New Roman" w:hAnsi="Times New Roman" w:cs="Times New Roman"/>
          <w:sz w:val="24"/>
          <w:szCs w:val="24"/>
        </w:rPr>
      </w:pPr>
      <m:oMath>
        <m:r>
          <w:rPr>
            <w:rFonts w:ascii="Cambria Math" w:hAnsi="Cambria Math" w:cs="Times New Roman"/>
            <w:sz w:val="24"/>
            <w:szCs w:val="24"/>
          </w:rPr>
          <m:t>eLER &gt; 1</m:t>
        </m:r>
      </m:oMath>
      <w:r w:rsidR="00DB6DD1" w:rsidRPr="00DB6DD1">
        <w:rPr>
          <w:rFonts w:ascii="Times New Roman" w:hAnsi="Times New Roman" w:cs="Times New Roman"/>
          <w:sz w:val="24"/>
          <w:szCs w:val="24"/>
        </w:rPr>
        <w:t xml:space="preserve"> indicates that the integrated APV-AD system produces more combined useful output per unit land area than the best-performing monoculture reference for each component in isolation. To enable direct comparison with the two-component LER values widely reported in the agrivoltaic literature, the crop and PV components of eLER are also reported separately as </w:t>
      </w:r>
      <m:oMath>
        <m:r>
          <w:rPr>
            <w:rFonts w:ascii="Cambria Math" w:hAnsi="Cambria Math" w:cs="Times New Roman"/>
            <w:sz w:val="24"/>
            <w:szCs w:val="24"/>
          </w:rPr>
          <m:t>LE</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2C</m:t>
            </m:r>
          </m:sub>
        </m:sSub>
        <m:r>
          <w:rPr>
            <w:rFonts w:ascii="Cambria Math" w:hAnsi="Cambria Math" w:cs="Times New Roman"/>
            <w:sz w:val="24"/>
            <w:szCs w:val="24"/>
          </w:rPr>
          <m:t>= LE</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crop</m:t>
            </m:r>
          </m:sub>
        </m:sSub>
        <m:r>
          <w:rPr>
            <w:rFonts w:ascii="Cambria Math" w:hAnsi="Cambria Math" w:cs="Times New Roman"/>
            <w:sz w:val="24"/>
            <w:szCs w:val="24"/>
          </w:rPr>
          <m:t>+ LE</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PV</m:t>
            </m:r>
          </m:sub>
        </m:sSub>
      </m:oMath>
      <w:r w:rsidR="00DB6DD1" w:rsidRPr="00DB6DD1">
        <w:rPr>
          <w:rFonts w:ascii="Times New Roman" w:hAnsi="Times New Roman" w:cs="Times New Roman"/>
          <w:sz w:val="24"/>
          <w:szCs w:val="24"/>
        </w:rPr>
        <w:t>.</w:t>
      </w:r>
    </w:p>
    <w:p w14:paraId="762B38D4" w14:textId="12136936"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The three-component structure is an extension of the original Mead and Willey </w:t>
      </w:r>
      <w:r w:rsidR="00A1493E">
        <w:rPr>
          <w:rFonts w:ascii="Times New Roman" w:hAnsi="Times New Roman" w:cs="Times New Roman"/>
          <w:sz w:val="24"/>
          <w:szCs w:val="24"/>
        </w:rPr>
        <w:fldChar w:fldCharType="begin"/>
      </w:r>
      <w:r w:rsidR="00A1493E">
        <w:rPr>
          <w:rFonts w:ascii="Times New Roman" w:hAnsi="Times New Roman" w:cs="Times New Roman"/>
          <w:sz w:val="24"/>
          <w:szCs w:val="24"/>
        </w:rPr>
        <w:instrText xml:space="preserve"> ADDIN ZOTERO_ITEM CSL_CITATION {"citationID":"E9kGE0L4","properties":{"unsorted":false,"formattedCitation":"(Mead &amp; Willey, 1980)","plainCitation":"(Mead &amp; Willey, 1980)","noteIndex":0},"citationItems":[{"id":51,"uris":["http://zotero.org/users/local/i6bXxmSk/items/ZN2KRQLT"],"itemData":{"id":51,"type":"article-journal","abstract":"SUMMARY\n            Criteria for evaluating different intercropping situations are suggested, and the Land Equivalent Ratio (LER) concept is considered for situations where intercropping must be compared with growing each crop sole. The need to use different standardizing sole crop yields in forming LERs is discussed, and a method of calculating an ‘effective LER’ is proposed to evaluate situations where the yield proportions achieved in intercropping are different from those that might be required by a farmer. The possible importance of effective LERs in indicating the proportions of crops likely to give biggest yield advantages is discussed.","container-title":"Experimental Agriculture","DOI":"10.1017/S0014479700010978","ISSN":"0014-4797, 1469-4441","issue":"3","journalAbbreviation":"Ex. Agric.","language":"en","license":"https://www.cambridge.org/core/terms","page":"217-228","source":"DOI.org (Crossref)","title":"The Concept of a ‘Land Equivalent Ratio’ and Advantages in Yields from Intercropping","volume":"16","author":[{"family":"Mead","given":"R."},{"family":"Willey","given":"R. W."}],"issued":{"date-parts":[["1980",7]]}}}],"schema":"https://github.com/citation-style-language/schema/raw/master/csl-citation.json"} </w:instrText>
      </w:r>
      <w:r w:rsidR="00A1493E">
        <w:rPr>
          <w:rFonts w:ascii="Times New Roman" w:hAnsi="Times New Roman" w:cs="Times New Roman"/>
          <w:sz w:val="24"/>
          <w:szCs w:val="24"/>
        </w:rPr>
        <w:fldChar w:fldCharType="separate"/>
      </w:r>
      <w:r w:rsidR="00A1493E" w:rsidRPr="00A1493E">
        <w:rPr>
          <w:rFonts w:ascii="Calibri" w:hAnsi="Calibri" w:cs="Calibri"/>
          <w:sz w:val="24"/>
        </w:rPr>
        <w:t>(Mead &amp; Willey, 1980)</w:t>
      </w:r>
      <w:r w:rsidR="00A1493E">
        <w:rPr>
          <w:rFonts w:ascii="Times New Roman" w:hAnsi="Times New Roman" w:cs="Times New Roman"/>
          <w:sz w:val="24"/>
          <w:szCs w:val="24"/>
        </w:rPr>
        <w:fldChar w:fldCharType="end"/>
      </w:r>
      <w:r w:rsidR="00A1493E">
        <w:rPr>
          <w:rFonts w:ascii="Times New Roman" w:hAnsi="Times New Roman" w:cs="Times New Roman"/>
          <w:sz w:val="24"/>
          <w:szCs w:val="24"/>
        </w:rPr>
        <w:t xml:space="preserve"> </w:t>
      </w:r>
      <w:r w:rsidRPr="00DB6DD1">
        <w:rPr>
          <w:rFonts w:ascii="Times New Roman" w:hAnsi="Times New Roman" w:cs="Times New Roman"/>
          <w:sz w:val="24"/>
          <w:szCs w:val="24"/>
        </w:rPr>
        <w:t>intercropping LER framework, in which additional outputs can be incorporated as additional ratio terms</w:t>
      </w:r>
      <w:r w:rsidR="00FF35D8">
        <w:rPr>
          <w:rFonts w:ascii="Times New Roman" w:hAnsi="Times New Roman" w:cs="Times New Roman"/>
          <w:sz w:val="24"/>
          <w:szCs w:val="24"/>
        </w:rPr>
        <w:t xml:space="preserve"> </w:t>
      </w:r>
      <w:r w:rsidR="00FF35D8" w:rsidRPr="00D12E2A">
        <w:rPr>
          <w:rFonts w:ascii="Times New Roman" w:hAnsi="Times New Roman" w:cs="Times New Roman"/>
          <w:color w:val="FF0000"/>
          <w:sz w:val="24"/>
          <w:szCs w:val="24"/>
        </w:rPr>
        <w:fldChar w:fldCharType="begin"/>
      </w:r>
      <w:r w:rsidR="00FF35D8" w:rsidRPr="00D12E2A">
        <w:rPr>
          <w:rFonts w:ascii="Times New Roman" w:hAnsi="Times New Roman" w:cs="Times New Roman"/>
          <w:color w:val="FF0000"/>
          <w:sz w:val="24"/>
          <w:szCs w:val="24"/>
        </w:rPr>
        <w:instrText xml:space="preserve"> ADDIN ZOTERO_ITEM CSL_CITATION {"citationID":"BejK8BSr","properties":{"unsorted":false,"formattedCitation":"(Trommsdorff, n.d.)","plainCitation":"(Trommsdorff, n.d.)","noteIndex":0},"citationItems":[{"id":85,"uris":["http://zotero.org/users/local/i6bXxmSk/items/QAX8VZD9"],"itemData":{"id":85,"type":"article-journal","language":"en","source":"Zotero","title":"Performance Indices for Parallel Agriculture and PV","author":[{"family":"Trommsdorff","given":"Max"}]}}],"schema":"https://github.com/citation-style-language/schema/raw/master/csl-citation.json"} </w:instrText>
      </w:r>
      <w:r w:rsidR="00FF35D8" w:rsidRPr="00D12E2A">
        <w:rPr>
          <w:rFonts w:ascii="Times New Roman" w:hAnsi="Times New Roman" w:cs="Times New Roman"/>
          <w:color w:val="FF0000"/>
          <w:sz w:val="24"/>
          <w:szCs w:val="24"/>
        </w:rPr>
        <w:fldChar w:fldCharType="separate"/>
      </w:r>
      <w:r w:rsidR="00FF35D8" w:rsidRPr="00D12E2A">
        <w:rPr>
          <w:rFonts w:ascii="Calibri" w:hAnsi="Calibri" w:cs="Calibri"/>
          <w:color w:val="FF0000"/>
          <w:sz w:val="24"/>
        </w:rPr>
        <w:t>(Trommsdorff, n.d.)</w:t>
      </w:r>
      <w:r w:rsidR="00FF35D8" w:rsidRPr="00D12E2A">
        <w:rPr>
          <w:rFonts w:ascii="Times New Roman" w:hAnsi="Times New Roman" w:cs="Times New Roman"/>
          <w:color w:val="FF0000"/>
          <w:sz w:val="24"/>
          <w:szCs w:val="24"/>
        </w:rPr>
        <w:fldChar w:fldCharType="end"/>
      </w:r>
      <w:r w:rsidRPr="00DB6DD1">
        <w:rPr>
          <w:rFonts w:ascii="Times New Roman" w:hAnsi="Times New Roman" w:cs="Times New Roman"/>
          <w:sz w:val="24"/>
          <w:szCs w:val="24"/>
        </w:rPr>
        <w:t>. Each component is dimensionless and represents a fractional land-use efficiency; their sum reflects the hypothetical number of hectares of specialized monocultures that would be needed to replicate all outputs of one hectare of the integrated system.</w:t>
      </w:r>
    </w:p>
    <w:p w14:paraId="73300C22" w14:textId="77777777" w:rsidR="00DB6DD1" w:rsidRPr="00DB6DD1" w:rsidRDefault="00DB6DD1" w:rsidP="00DB6DD1">
      <w:pPr>
        <w:spacing w:line="360" w:lineRule="auto"/>
        <w:jc w:val="both"/>
        <w:rPr>
          <w:rFonts w:ascii="Times New Roman" w:hAnsi="Times New Roman" w:cs="Times New Roman"/>
          <w:sz w:val="24"/>
          <w:szCs w:val="24"/>
        </w:rPr>
      </w:pPr>
    </w:p>
    <w:p w14:paraId="7A4266B7" w14:textId="1342E58A"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3.9. Multi-variable design optimization</w:t>
      </w:r>
    </w:p>
    <w:p w14:paraId="13B09B88" w14:textId="50F06397" w:rsidR="00DB6DD1" w:rsidRPr="00DB6DD1" w:rsidRDefault="00DB6DD1" w:rsidP="00FF35D8">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The integrated system is optimized over six continuous design variables using differential evolution (DE), a gradient-free, population-based global optimizer that is well suited to non-</w:t>
      </w:r>
      <w:r w:rsidRPr="00DB6DD1">
        <w:rPr>
          <w:rFonts w:ascii="Times New Roman" w:hAnsi="Times New Roman" w:cs="Times New Roman"/>
          <w:sz w:val="24"/>
          <w:szCs w:val="24"/>
        </w:rPr>
        <w:lastRenderedPageBreak/>
        <w:t xml:space="preserve">convex, mixed-physics objective landscapes without gradient information </w:t>
      </w:r>
      <w:r w:rsidR="00FF35D8" w:rsidRPr="00FF35D8">
        <w:rPr>
          <w:rFonts w:ascii="Times New Roman" w:hAnsi="Times New Roman" w:cs="Times New Roman"/>
          <w:color w:val="FF0000"/>
          <w:sz w:val="24"/>
          <w:szCs w:val="24"/>
        </w:rPr>
        <w:fldChar w:fldCharType="begin"/>
      </w:r>
      <w:r w:rsidR="00FF35D8" w:rsidRPr="00FF35D8">
        <w:rPr>
          <w:rFonts w:ascii="Times New Roman" w:hAnsi="Times New Roman" w:cs="Times New Roman"/>
          <w:color w:val="FF0000"/>
          <w:sz w:val="24"/>
          <w:szCs w:val="24"/>
        </w:rPr>
        <w:instrText xml:space="preserve"> ADDIN ZOTERO_ITEM CSL_CITATION {"citationID":"ZVW61UWL","properties":{"unsorted":false,"formattedCitation":"(Storn, n.d.)","plainCitation":"(Storn, n.d.)","noteIndex":0},"citationItems":[{"id":99,"uris":["http://zotero.org/users/local/i6bXxmSk/items/8H37RL3M"],"itemData":{"id":99,"type":"article-journal","language":"en","source":"Zotero","title":"Differential Evolution - A simple and efficient adaptive scheme for global optimization over continuous spaces","author":[{"family":"Storn","given":"Rainer"}]}}],"schema":"https://github.com/citation-style-language/schema/raw/master/csl-citation.json"} </w:instrText>
      </w:r>
      <w:r w:rsidR="00FF35D8" w:rsidRPr="00FF35D8">
        <w:rPr>
          <w:rFonts w:ascii="Times New Roman" w:hAnsi="Times New Roman" w:cs="Times New Roman"/>
          <w:color w:val="FF0000"/>
          <w:sz w:val="24"/>
          <w:szCs w:val="24"/>
        </w:rPr>
        <w:fldChar w:fldCharType="separate"/>
      </w:r>
      <w:r w:rsidR="00FF35D8" w:rsidRPr="00FF35D8">
        <w:rPr>
          <w:rFonts w:ascii="Calibri" w:hAnsi="Calibri" w:cs="Calibri"/>
          <w:color w:val="FF0000"/>
          <w:sz w:val="24"/>
        </w:rPr>
        <w:t>(Storn, n.d.)</w:t>
      </w:r>
      <w:r w:rsidR="00FF35D8" w:rsidRPr="00FF35D8">
        <w:rPr>
          <w:rFonts w:ascii="Times New Roman" w:hAnsi="Times New Roman" w:cs="Times New Roman"/>
          <w:color w:val="FF0000"/>
          <w:sz w:val="24"/>
          <w:szCs w:val="24"/>
        </w:rPr>
        <w:fldChar w:fldCharType="end"/>
      </w:r>
      <w:r w:rsidR="00FF35D8" w:rsidRPr="00FF35D8">
        <w:rPr>
          <w:rFonts w:ascii="Times New Roman" w:hAnsi="Times New Roman" w:cs="Times New Roman"/>
          <w:color w:val="FF0000"/>
          <w:sz w:val="24"/>
          <w:szCs w:val="24"/>
        </w:rPr>
        <w:t xml:space="preserve"> </w:t>
      </w:r>
      <w:r w:rsidRPr="00FF35D8">
        <w:rPr>
          <w:rFonts w:ascii="Times New Roman" w:hAnsi="Times New Roman" w:cs="Times New Roman"/>
          <w:color w:val="FF0000"/>
          <w:sz w:val="24"/>
          <w:szCs w:val="24"/>
        </w:rPr>
        <w:t>(Storn &amp; Price, 1997)</w:t>
      </w:r>
      <w:r w:rsidRPr="00DB6DD1">
        <w:rPr>
          <w:rFonts w:ascii="Times New Roman" w:hAnsi="Times New Roman" w:cs="Times New Roman"/>
          <w:sz w:val="24"/>
          <w:szCs w:val="24"/>
        </w:rPr>
        <w:t xml:space="preserve">. The objective is to maximize </w:t>
      </w:r>
      <m:oMath>
        <m:r>
          <w:rPr>
            <w:rFonts w:ascii="Cambria Math" w:hAnsi="Cambria Math" w:cs="Times New Roman"/>
            <w:sz w:val="24"/>
            <w:szCs w:val="24"/>
          </w:rPr>
          <m:t>eLE</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global</m:t>
            </m:r>
          </m:sub>
        </m:sSub>
      </m:oMath>
      <w:r w:rsidRPr="00DB6DD1">
        <w:rPr>
          <w:rFonts w:ascii="Times New Roman" w:hAnsi="Times New Roman" w:cs="Times New Roman"/>
          <w:sz w:val="24"/>
          <w:szCs w:val="24"/>
        </w:rPr>
        <w:t>:</w:t>
      </w:r>
    </w:p>
    <w:p w14:paraId="5E742D8E" w14:textId="5CEDFF4D" w:rsidR="00DB6DD1" w:rsidRPr="00DB6DD1" w:rsidRDefault="00D44B62" w:rsidP="00DB6DD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maximize  eLER(x)  subject to:  45 ≤ HRT ≤ 80 d,  1.5 ≤ OLR ≤ 4.0 kg VS/m³·d</m:t>
          </m:r>
        </m:oMath>
      </m:oMathPara>
    </w:p>
    <w:p w14:paraId="2A047C13" w14:textId="44098D81" w:rsid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The HRT bounds (45–80 days) reflect the requirements of lignocellulosic tomato residues, which </w:t>
      </w:r>
      <w:r w:rsidR="008B4940" w:rsidRPr="00DB6DD1">
        <w:rPr>
          <w:rFonts w:ascii="Times New Roman" w:hAnsi="Times New Roman" w:cs="Times New Roman"/>
          <w:sz w:val="24"/>
          <w:szCs w:val="24"/>
        </w:rPr>
        <w:t>hydrolyze</w:t>
      </w:r>
      <w:r w:rsidRPr="00DB6DD1">
        <w:rPr>
          <w:rFonts w:ascii="Times New Roman" w:hAnsi="Times New Roman" w:cs="Times New Roman"/>
          <w:sz w:val="24"/>
          <w:szCs w:val="24"/>
        </w:rPr>
        <w:t xml:space="preserve"> more slowly than manure-based feedstocks and require longer retention times to achieve acceptable conversion efficiency </w:t>
      </w:r>
      <w:r w:rsidR="003B2B1A">
        <w:rPr>
          <w:rFonts w:ascii="Times New Roman" w:hAnsi="Times New Roman" w:cs="Times New Roman"/>
          <w:sz w:val="24"/>
          <w:szCs w:val="24"/>
        </w:rPr>
        <w:fldChar w:fldCharType="begin"/>
      </w:r>
      <w:r w:rsidR="003B2B1A">
        <w:rPr>
          <w:rFonts w:ascii="Times New Roman" w:hAnsi="Times New Roman" w:cs="Times New Roman"/>
          <w:sz w:val="24"/>
          <w:szCs w:val="24"/>
        </w:rPr>
        <w:instrText xml:space="preserve"> ADDIN ZOTERO_ITEM CSL_CITATION {"citationID":"1G7WH1cq","properties":{"unsorted":false,"formattedCitation":"(Pilarski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003B2B1A">
        <w:rPr>
          <w:rFonts w:ascii="Times New Roman" w:hAnsi="Times New Roman" w:cs="Times New Roman"/>
          <w:sz w:val="24"/>
          <w:szCs w:val="24"/>
        </w:rPr>
        <w:fldChar w:fldCharType="separate"/>
      </w:r>
      <w:r w:rsidR="003B2B1A" w:rsidRPr="003B2B1A">
        <w:rPr>
          <w:rFonts w:ascii="Calibri" w:hAnsi="Calibri" w:cs="Calibri"/>
          <w:sz w:val="24"/>
        </w:rPr>
        <w:t>(Pilarski &amp; Pilarska, 2025)</w:t>
      </w:r>
      <w:r w:rsidR="003B2B1A">
        <w:rPr>
          <w:rFonts w:ascii="Times New Roman" w:hAnsi="Times New Roman" w:cs="Times New Roman"/>
          <w:sz w:val="24"/>
          <w:szCs w:val="24"/>
        </w:rPr>
        <w:fldChar w:fldCharType="end"/>
      </w:r>
      <w:r w:rsidRPr="00DB6DD1">
        <w:rPr>
          <w:rFonts w:ascii="Times New Roman" w:hAnsi="Times New Roman" w:cs="Times New Roman"/>
          <w:sz w:val="24"/>
          <w:szCs w:val="24"/>
        </w:rPr>
        <w:t xml:space="preserve">. The OLR bounds follow published operating guidelines for mixed crop residue digesters </w:t>
      </w:r>
      <w:r w:rsidRPr="003B2B1A">
        <w:rPr>
          <w:rFonts w:ascii="Times New Roman" w:hAnsi="Times New Roman" w:cs="Times New Roman"/>
          <w:color w:val="FF0000"/>
          <w:sz w:val="24"/>
          <w:szCs w:val="24"/>
        </w:rPr>
        <w:t xml:space="preserve">(Wang et al., 2018). </w:t>
      </w:r>
      <w:r w:rsidR="00147998">
        <w:rPr>
          <w:rFonts w:ascii="Times New Roman" w:hAnsi="Times New Roman" w:cs="Times New Roman"/>
          <w:sz w:val="24"/>
          <w:szCs w:val="24"/>
        </w:rPr>
        <w:fldChar w:fldCharType="begin"/>
      </w:r>
      <w:r w:rsidR="00147998">
        <w:rPr>
          <w:rFonts w:ascii="Times New Roman" w:hAnsi="Times New Roman" w:cs="Times New Roman"/>
          <w:color w:val="FF0000"/>
          <w:sz w:val="24"/>
          <w:szCs w:val="24"/>
        </w:rPr>
        <w:instrText xml:space="preserve"> REF _Ref226660255 \h </w:instrText>
      </w:r>
      <w:r w:rsidR="00147998">
        <w:rPr>
          <w:rFonts w:ascii="Times New Roman" w:hAnsi="Times New Roman" w:cs="Times New Roman"/>
          <w:sz w:val="24"/>
          <w:szCs w:val="24"/>
        </w:rPr>
      </w:r>
      <w:r w:rsidR="00147998">
        <w:rPr>
          <w:rFonts w:ascii="Times New Roman" w:hAnsi="Times New Roman" w:cs="Times New Roman"/>
          <w:sz w:val="24"/>
          <w:szCs w:val="24"/>
        </w:rPr>
        <w:fldChar w:fldCharType="separate"/>
      </w:r>
      <w:r w:rsidR="00147998" w:rsidRPr="000A1AD7">
        <w:rPr>
          <w:rFonts w:ascii="Times New Roman" w:hAnsi="Times New Roman" w:cs="Times New Roman"/>
          <w:sz w:val="20"/>
          <w:szCs w:val="20"/>
        </w:rPr>
        <w:t xml:space="preserve">Table </w:t>
      </w:r>
      <w:r w:rsidR="00147998">
        <w:rPr>
          <w:rFonts w:ascii="Times New Roman" w:hAnsi="Times New Roman" w:cs="Times New Roman"/>
          <w:noProof/>
          <w:sz w:val="20"/>
          <w:szCs w:val="20"/>
        </w:rPr>
        <w:t>7</w:t>
      </w:r>
      <w:r w:rsidR="00147998">
        <w:rPr>
          <w:rFonts w:ascii="Times New Roman" w:hAnsi="Times New Roman" w:cs="Times New Roman"/>
          <w:sz w:val="24"/>
          <w:szCs w:val="24"/>
        </w:rPr>
        <w:fldChar w:fldCharType="end"/>
      </w:r>
      <w:r w:rsidRPr="00DB6DD1">
        <w:rPr>
          <w:rFonts w:ascii="Times New Roman" w:hAnsi="Times New Roman" w:cs="Times New Roman"/>
          <w:sz w:val="24"/>
          <w:szCs w:val="24"/>
        </w:rPr>
        <w:t xml:space="preserve"> summarizes the six design variables and their search bounds.</w:t>
      </w:r>
    </w:p>
    <w:p w14:paraId="018BADA7" w14:textId="77777777" w:rsidR="00D62451" w:rsidRPr="00DB6DD1" w:rsidRDefault="00D62451" w:rsidP="00DB6DD1">
      <w:pPr>
        <w:spacing w:line="360" w:lineRule="auto"/>
        <w:jc w:val="both"/>
        <w:rPr>
          <w:rFonts w:ascii="Times New Roman" w:hAnsi="Times New Roman" w:cs="Times New Roman"/>
          <w:sz w:val="24"/>
          <w:szCs w:val="24"/>
        </w:rPr>
      </w:pPr>
    </w:p>
    <w:p w14:paraId="2CD5CFBC" w14:textId="170055E4" w:rsidR="000A1AD7" w:rsidRPr="000A1AD7" w:rsidRDefault="000A1AD7" w:rsidP="000A1AD7">
      <w:pPr>
        <w:spacing w:line="360" w:lineRule="auto"/>
        <w:jc w:val="center"/>
        <w:rPr>
          <w:rFonts w:ascii="Times New Roman" w:hAnsi="Times New Roman" w:cs="Times New Roman"/>
          <w:sz w:val="20"/>
          <w:szCs w:val="20"/>
        </w:rPr>
      </w:pPr>
      <w:bookmarkStart w:id="2" w:name="_Ref226660255"/>
      <w:r w:rsidRPr="000A1AD7">
        <w:rPr>
          <w:rFonts w:ascii="Times New Roman" w:hAnsi="Times New Roman" w:cs="Times New Roman"/>
          <w:sz w:val="20"/>
          <w:szCs w:val="20"/>
        </w:rPr>
        <w:t xml:space="preserve">Table </w:t>
      </w:r>
      <w:r w:rsidRPr="000A1AD7">
        <w:rPr>
          <w:rFonts w:ascii="Times New Roman" w:hAnsi="Times New Roman" w:cs="Times New Roman"/>
          <w:sz w:val="20"/>
          <w:szCs w:val="20"/>
        </w:rPr>
        <w:fldChar w:fldCharType="begin"/>
      </w:r>
      <w:r w:rsidRPr="000A1AD7">
        <w:rPr>
          <w:rFonts w:ascii="Times New Roman" w:hAnsi="Times New Roman" w:cs="Times New Roman"/>
          <w:sz w:val="20"/>
          <w:szCs w:val="20"/>
        </w:rPr>
        <w:instrText xml:space="preserve"> SEQ Table \* ARABIC </w:instrText>
      </w:r>
      <w:r w:rsidRPr="000A1AD7">
        <w:rPr>
          <w:rFonts w:ascii="Times New Roman" w:hAnsi="Times New Roman" w:cs="Times New Roman"/>
          <w:sz w:val="20"/>
          <w:szCs w:val="20"/>
        </w:rPr>
        <w:fldChar w:fldCharType="separate"/>
      </w:r>
      <w:r w:rsidR="00346A87">
        <w:rPr>
          <w:rFonts w:ascii="Times New Roman" w:hAnsi="Times New Roman" w:cs="Times New Roman"/>
          <w:noProof/>
          <w:sz w:val="20"/>
          <w:szCs w:val="20"/>
        </w:rPr>
        <w:t>7</w:t>
      </w:r>
      <w:r w:rsidRPr="000A1AD7">
        <w:rPr>
          <w:rFonts w:ascii="Times New Roman" w:hAnsi="Times New Roman" w:cs="Times New Roman"/>
          <w:sz w:val="20"/>
          <w:szCs w:val="20"/>
        </w:rPr>
        <w:fldChar w:fldCharType="end"/>
      </w:r>
      <w:bookmarkEnd w:id="2"/>
      <w:r w:rsidRPr="000A1AD7">
        <w:rPr>
          <w:rFonts w:ascii="Times New Roman" w:hAnsi="Times New Roman" w:cs="Times New Roman"/>
          <w:sz w:val="20"/>
          <w:szCs w:val="20"/>
        </w:rPr>
        <w:t xml:space="preserve"> : Design variable bounds for the differential evolution optimization. Bounds are based on physical constraints and published operational guidelines.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885"/>
        <w:gridCol w:w="1391"/>
        <w:gridCol w:w="1380"/>
        <w:gridCol w:w="618"/>
      </w:tblGrid>
      <w:tr w:rsidR="000A1AD7" w:rsidRPr="006217F4" w14:paraId="426EA530" w14:textId="77777777" w:rsidTr="00D82665">
        <w:trPr>
          <w:tblHeade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C0D6AD"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eastAsia="Arial" w:hAnsi="Times New Roman" w:cs="Times New Roman"/>
                <w:b/>
                <w:bCs/>
                <w:sz w:val="20"/>
                <w:szCs w:val="20"/>
              </w:rPr>
              <w:t>Variable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AF8546F"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eastAsia="Arial" w:hAnsi="Times New Roman" w:cs="Times New Roman"/>
                <w:b/>
                <w:bCs/>
                <w:sz w:val="20"/>
                <w:szCs w:val="20"/>
              </w:rPr>
              <w:t>Symbol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CBF8E5"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eastAsia="Arial" w:hAnsi="Times New Roman" w:cs="Times New Roman"/>
                <w:b/>
                <w:bCs/>
                <w:sz w:val="20"/>
                <w:szCs w:val="20"/>
              </w:rPr>
              <w:t>Lower bound</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18607B"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eastAsia="Arial" w:hAnsi="Times New Roman" w:cs="Times New Roman"/>
                <w:b/>
                <w:bCs/>
                <w:sz w:val="20"/>
                <w:szCs w:val="20"/>
              </w:rPr>
              <w:t>Upper bound</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3A08C0"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eastAsia="Arial" w:hAnsi="Times New Roman" w:cs="Times New Roman"/>
                <w:b/>
                <w:bCs/>
                <w:sz w:val="20"/>
                <w:szCs w:val="20"/>
              </w:rPr>
              <w:t>Unit</w:t>
            </w:r>
          </w:p>
        </w:tc>
      </w:tr>
      <w:tr w:rsidR="000A1AD7" w:rsidRPr="006217F4" w14:paraId="360CF8E4" w14:textId="77777777" w:rsidTr="00D82665">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C3EA98"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Panel tilt angle</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0B9FFC" w14:textId="77777777" w:rsidR="000A1AD7" w:rsidRPr="006217F4" w:rsidRDefault="000A1AD7" w:rsidP="00D12E2A">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β</m:t>
                </m:r>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056D6C"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43B121"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40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EF4A94"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w:t>
            </w:r>
          </w:p>
        </w:tc>
      </w:tr>
      <w:tr w:rsidR="000A1AD7" w:rsidRPr="006217F4" w14:paraId="691BCF0F" w14:textId="77777777" w:rsidTr="00D82665">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B51699"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Row spacing</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30C846" w14:textId="77777777" w:rsidR="000A1AD7" w:rsidRPr="006217F4" w:rsidRDefault="00533732" w:rsidP="00D12E2A">
            <w:pPr>
              <w:spacing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row</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7FCCFD"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80284"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14</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B56CCD"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m</w:t>
            </w:r>
          </w:p>
        </w:tc>
      </w:tr>
      <w:tr w:rsidR="000A1AD7" w:rsidRPr="006217F4" w14:paraId="48D6FFCE" w14:textId="77777777" w:rsidTr="00D82665">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E36370"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Module bottom-edge height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6ABC98" w14:textId="77777777" w:rsidR="000A1AD7" w:rsidRPr="006217F4" w:rsidRDefault="00533732" w:rsidP="00D12E2A">
            <w:pPr>
              <w:spacing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m</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D1E545"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553792"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41BC05"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m</w:t>
            </w:r>
          </w:p>
        </w:tc>
      </w:tr>
      <w:tr w:rsidR="000A1AD7" w:rsidRPr="006217F4" w14:paraId="65928BF6" w14:textId="77777777" w:rsidTr="00D82665">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206291"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Digester volume</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7241A0" w14:textId="77777777" w:rsidR="000A1AD7" w:rsidRPr="006217F4" w:rsidRDefault="00533732" w:rsidP="00D12E2A">
            <w:pPr>
              <w:spacing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dig</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4C4ECC"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50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77C060"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300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1BFBAA"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m³</w:t>
            </w:r>
          </w:p>
        </w:tc>
      </w:tr>
      <w:tr w:rsidR="000A1AD7" w:rsidRPr="006217F4" w14:paraId="7FDCEC7E" w14:textId="77777777" w:rsidTr="00D82665">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104917"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Hydraulic retention time</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D0C057" w14:textId="77777777" w:rsidR="000A1AD7" w:rsidRPr="006217F4" w:rsidRDefault="000A1AD7" w:rsidP="00D12E2A">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HRT</m:t>
                </m:r>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6F79EF"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20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A5A5BC"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40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D3E3F4"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days</w:t>
            </w:r>
          </w:p>
        </w:tc>
      </w:tr>
      <w:tr w:rsidR="000A1AD7" w:rsidRPr="006217F4" w14:paraId="0CD7B126" w14:textId="77777777" w:rsidTr="00D82665">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698A7E"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PV heating fraction</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F2F331" w14:textId="77777777" w:rsidR="000A1AD7" w:rsidRPr="006217F4" w:rsidRDefault="00533732" w:rsidP="00D12E2A">
            <w:pPr>
              <w:spacing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PV,heat</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687C76"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0.05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7B96A8"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0.50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4F7211" w14:textId="77777777" w:rsidR="000A1AD7" w:rsidRPr="006217F4" w:rsidRDefault="000A1AD7" w:rsidP="00D12E2A">
            <w:pPr>
              <w:spacing w:line="240" w:lineRule="auto"/>
              <w:jc w:val="both"/>
              <w:rPr>
                <w:rFonts w:ascii="Times New Roman" w:hAnsi="Times New Roman" w:cs="Times New Roman"/>
                <w:sz w:val="20"/>
                <w:szCs w:val="20"/>
              </w:rPr>
            </w:pPr>
            <w:r w:rsidRPr="006217F4">
              <w:rPr>
                <w:rFonts w:ascii="Times New Roman" w:hAnsi="Times New Roman" w:cs="Times New Roman"/>
                <w:sz w:val="20"/>
                <w:szCs w:val="20"/>
              </w:rPr>
              <w:t>[-]</w:t>
            </w:r>
          </w:p>
        </w:tc>
      </w:tr>
    </w:tbl>
    <w:p w14:paraId="4B2D0325" w14:textId="77777777" w:rsidR="00DB6DD1" w:rsidRPr="00DB6DD1" w:rsidRDefault="00DB6DD1" w:rsidP="00DB6DD1">
      <w:pPr>
        <w:spacing w:line="360" w:lineRule="auto"/>
        <w:jc w:val="both"/>
        <w:rPr>
          <w:rFonts w:ascii="Times New Roman" w:hAnsi="Times New Roman" w:cs="Times New Roman"/>
          <w:sz w:val="24"/>
          <w:szCs w:val="24"/>
        </w:rPr>
      </w:pPr>
    </w:p>
    <w:p w14:paraId="18DE6D73" w14:textId="53516CA3" w:rsidR="00DB6DD1" w:rsidRPr="00DB6DD1" w:rsidRDefault="00DB6DD1" w:rsidP="00DB6DD1">
      <w:pPr>
        <w:spacing w:line="360" w:lineRule="auto"/>
        <w:jc w:val="both"/>
        <w:rPr>
          <w:rFonts w:ascii="Times New Roman" w:hAnsi="Times New Roman" w:cs="Times New Roman"/>
          <w:sz w:val="24"/>
          <w:szCs w:val="24"/>
        </w:rPr>
      </w:pPr>
      <w:r w:rsidRPr="00DB6DD1">
        <w:rPr>
          <w:rFonts w:ascii="Times New Roman" w:hAnsi="Times New Roman" w:cs="Times New Roman"/>
          <w:sz w:val="24"/>
          <w:szCs w:val="24"/>
        </w:rPr>
        <w:t xml:space="preserve">The DE algorithm uses a population size of </w:t>
      </w:r>
      <m:oMath>
        <m:r>
          <w:rPr>
            <w:rFonts w:ascii="Cambria Math" w:hAnsi="Cambria Math" w:cs="Times New Roman"/>
            <w:sz w:val="24"/>
            <w:szCs w:val="24"/>
          </w:rPr>
          <m:t xml:space="preserve">15 ×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var</m:t>
            </m:r>
          </m:sub>
        </m:sSub>
        <m:r>
          <w:rPr>
            <w:rFonts w:ascii="Cambria Math" w:hAnsi="Cambria Math" w:cs="Times New Roman"/>
            <w:sz w:val="24"/>
            <w:szCs w:val="24"/>
          </w:rPr>
          <m:t>= 90</m:t>
        </m:r>
      </m:oMath>
      <w:r w:rsidRPr="00DB6DD1">
        <w:rPr>
          <w:rFonts w:ascii="Times New Roman" w:hAnsi="Times New Roman" w:cs="Times New Roman"/>
          <w:sz w:val="24"/>
          <w:szCs w:val="24"/>
        </w:rPr>
        <w:t xml:space="preserve">, a mutation factor </w:t>
      </w:r>
      <m:oMath>
        <m:r>
          <w:rPr>
            <w:rFonts w:ascii="Cambria Math" w:hAnsi="Cambria Math" w:cs="Times New Roman"/>
            <w:sz w:val="24"/>
            <w:szCs w:val="24"/>
          </w:rPr>
          <m:t xml:space="preserve">F </m:t>
        </m:r>
        <m:r>
          <w:rPr>
            <w:rFonts w:ascii="Cambria Math" w:hAnsi="Cambria Math" w:cs="Cambria Math"/>
            <w:sz w:val="24"/>
            <w:szCs w:val="24"/>
          </w:rPr>
          <m:t>∈</m:t>
        </m:r>
        <m:r>
          <w:rPr>
            <w:rFonts w:ascii="Cambria Math" w:hAnsi="Cambria Math" w:cs="Times New Roman"/>
            <w:sz w:val="24"/>
            <w:szCs w:val="24"/>
          </w:rPr>
          <m:t xml:space="preserve"> [0.5, 1.0]</m:t>
        </m:r>
      </m:oMath>
      <w:r w:rsidRPr="00DB6DD1">
        <w:rPr>
          <w:rFonts w:ascii="Times New Roman" w:hAnsi="Times New Roman" w:cs="Times New Roman"/>
          <w:sz w:val="24"/>
          <w:szCs w:val="24"/>
        </w:rPr>
        <w:t xml:space="preserve">, and a crossover probability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r</m:t>
            </m:r>
          </m:sub>
        </m:sSub>
        <m:r>
          <w:rPr>
            <w:rFonts w:ascii="Cambria Math" w:hAnsi="Cambria Math" w:cs="Times New Roman"/>
            <w:sz w:val="24"/>
            <w:szCs w:val="24"/>
          </w:rPr>
          <m:t>= 0.7</m:t>
        </m:r>
      </m:oMath>
      <w:r w:rsidRPr="00DB6DD1">
        <w:rPr>
          <w:rFonts w:ascii="Times New Roman" w:hAnsi="Times New Roman" w:cs="Times New Roman"/>
          <w:sz w:val="24"/>
          <w:szCs w:val="24"/>
        </w:rPr>
        <w:t>. A maximum of 50 generations is specified, after which the best candidate is polished with the L-BFGS-B local optimizer. Configurations violating the HRT or OLR constraints, or for which biogas is insufficient to sustain digester temperature, receive a penalty of eLER = 0, effectively excluding them from the feasible region. The algorithm is seeded (seed = 42) for full reproducibility. A minimum crop yield constraint of 80% of open-field yield is applied as a soft penalty in the objective function, reflecting the agronomic requirement that any commercially viable agrivoltaic configuration must maintain most of the baseline crop revenue.</w:t>
      </w:r>
    </w:p>
    <w:p w14:paraId="28198170" w14:textId="77777777" w:rsidR="00DB6DD1" w:rsidRPr="00DB6DD1" w:rsidRDefault="00DB6DD1" w:rsidP="00DB6DD1">
      <w:pPr>
        <w:spacing w:line="360" w:lineRule="auto"/>
        <w:jc w:val="both"/>
        <w:rPr>
          <w:rFonts w:ascii="Times New Roman" w:hAnsi="Times New Roman" w:cs="Times New Roman"/>
          <w:sz w:val="24"/>
          <w:szCs w:val="24"/>
        </w:rPr>
      </w:pPr>
    </w:p>
    <w:p w14:paraId="7587630D" w14:textId="521EB59D" w:rsidR="00DB6DD1" w:rsidRPr="00D3162C" w:rsidRDefault="00DB6DD1" w:rsidP="00DB6DD1">
      <w:pPr>
        <w:spacing w:line="360" w:lineRule="auto"/>
        <w:jc w:val="both"/>
        <w:rPr>
          <w:rFonts w:ascii="Times New Roman" w:hAnsi="Times New Roman" w:cs="Times New Roman"/>
          <w:b/>
          <w:bCs/>
          <w:sz w:val="24"/>
          <w:szCs w:val="24"/>
        </w:rPr>
      </w:pPr>
      <w:r w:rsidRPr="00D3162C">
        <w:rPr>
          <w:rFonts w:ascii="Times New Roman" w:hAnsi="Times New Roman" w:cs="Times New Roman"/>
          <w:b/>
          <w:bCs/>
          <w:sz w:val="24"/>
          <w:szCs w:val="24"/>
        </w:rPr>
        <w:t>3.10. Summary of model parameters</w:t>
      </w:r>
    </w:p>
    <w:p w14:paraId="0877E3EE" w14:textId="0BFA5DC1" w:rsidR="00DB6DD1" w:rsidRPr="00DB6DD1" w:rsidRDefault="00DB6DD1" w:rsidP="00F47705">
      <w:pPr>
        <w:spacing w:line="360" w:lineRule="auto"/>
        <w:ind w:firstLine="720"/>
        <w:jc w:val="both"/>
        <w:rPr>
          <w:rFonts w:ascii="Times New Roman" w:hAnsi="Times New Roman" w:cs="Times New Roman"/>
          <w:sz w:val="24"/>
          <w:szCs w:val="24"/>
        </w:rPr>
      </w:pPr>
      <w:r w:rsidRPr="00DB6DD1">
        <w:rPr>
          <w:rFonts w:ascii="Times New Roman" w:hAnsi="Times New Roman" w:cs="Times New Roman"/>
          <w:sz w:val="24"/>
          <w:szCs w:val="24"/>
        </w:rPr>
        <w:t>All fixed model parameters, their values, units, and bibliographic sources are compiled in Table 8. This table serves as the single reference point for model reproducibility.</w:t>
      </w:r>
    </w:p>
    <w:p w14:paraId="7769B218" w14:textId="270A0C83" w:rsidR="00F47705" w:rsidRDefault="00F47705">
      <w:pPr>
        <w:rPr>
          <w:rFonts w:ascii="Times New Roman" w:hAnsi="Times New Roman" w:cs="Times New Roman"/>
          <w:sz w:val="24"/>
          <w:szCs w:val="24"/>
        </w:rPr>
      </w:pPr>
    </w:p>
    <w:p w14:paraId="6BA809EA" w14:textId="770DE6E7" w:rsidR="00F47705" w:rsidRPr="00F47705" w:rsidRDefault="00F47705" w:rsidP="00F47705">
      <w:pPr>
        <w:spacing w:line="360" w:lineRule="auto"/>
        <w:jc w:val="center"/>
        <w:rPr>
          <w:rFonts w:ascii="Times New Roman" w:hAnsi="Times New Roman" w:cs="Times New Roman"/>
          <w:sz w:val="20"/>
          <w:szCs w:val="20"/>
        </w:rPr>
      </w:pPr>
      <w:r w:rsidRPr="00F47705">
        <w:rPr>
          <w:rFonts w:ascii="Times New Roman" w:hAnsi="Times New Roman" w:cs="Times New Roman"/>
          <w:sz w:val="20"/>
          <w:szCs w:val="20"/>
        </w:rPr>
        <w:t xml:space="preserve">Table </w:t>
      </w:r>
      <w:r w:rsidRPr="00F47705">
        <w:rPr>
          <w:rFonts w:ascii="Times New Roman" w:hAnsi="Times New Roman" w:cs="Times New Roman"/>
          <w:sz w:val="20"/>
          <w:szCs w:val="20"/>
        </w:rPr>
        <w:fldChar w:fldCharType="begin"/>
      </w:r>
      <w:r w:rsidRPr="00F47705">
        <w:rPr>
          <w:rFonts w:ascii="Times New Roman" w:hAnsi="Times New Roman" w:cs="Times New Roman"/>
          <w:sz w:val="20"/>
          <w:szCs w:val="20"/>
        </w:rPr>
        <w:instrText xml:space="preserve"> SEQ Table \* ARABIC </w:instrText>
      </w:r>
      <w:r w:rsidRPr="00F47705">
        <w:rPr>
          <w:rFonts w:ascii="Times New Roman" w:hAnsi="Times New Roman" w:cs="Times New Roman"/>
          <w:sz w:val="20"/>
          <w:szCs w:val="20"/>
        </w:rPr>
        <w:fldChar w:fldCharType="separate"/>
      </w:r>
      <w:r w:rsidR="00346A87">
        <w:rPr>
          <w:rFonts w:ascii="Times New Roman" w:hAnsi="Times New Roman" w:cs="Times New Roman"/>
          <w:noProof/>
          <w:sz w:val="20"/>
          <w:szCs w:val="20"/>
        </w:rPr>
        <w:t>8</w:t>
      </w:r>
      <w:r w:rsidRPr="00F47705">
        <w:rPr>
          <w:rFonts w:ascii="Times New Roman" w:hAnsi="Times New Roman" w:cs="Times New Roman"/>
          <w:sz w:val="20"/>
          <w:szCs w:val="20"/>
        </w:rPr>
        <w:fldChar w:fldCharType="end"/>
      </w:r>
      <w:r w:rsidRPr="00F47705">
        <w:rPr>
          <w:rFonts w:ascii="Times New Roman" w:hAnsi="Times New Roman" w:cs="Times New Roman"/>
          <w:sz w:val="20"/>
          <w:szCs w:val="20"/>
        </w:rPr>
        <w:t xml:space="preserve"> : Fixed model parameters used in the simulation, with values, units, and primary sources.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896"/>
        <w:gridCol w:w="903"/>
        <w:gridCol w:w="1330"/>
        <w:gridCol w:w="3715"/>
      </w:tblGrid>
      <w:tr w:rsidR="00F47705" w:rsidRPr="006217F4" w14:paraId="745490CD" w14:textId="77777777" w:rsidTr="008B2DCE">
        <w:trPr>
          <w:tblHeade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E22F11"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eastAsia="Arial" w:hAnsi="Times New Roman" w:cs="Times New Roman"/>
                <w:b/>
                <w:bCs/>
                <w:sz w:val="20"/>
                <w:szCs w:val="20"/>
              </w:rPr>
              <w:t>Parameter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346BD3"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eastAsia="Arial" w:hAnsi="Times New Roman" w:cs="Times New Roman"/>
                <w:b/>
                <w:bCs/>
                <w:sz w:val="20"/>
                <w:szCs w:val="20"/>
              </w:rPr>
              <w:t>Symbol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1976E4"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eastAsia="Arial" w:hAnsi="Times New Roman" w:cs="Times New Roman"/>
                <w:b/>
                <w:bCs/>
                <w:sz w:val="20"/>
                <w:szCs w:val="20"/>
              </w:rPr>
              <w:t>Value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F2B86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eastAsia="Arial" w:hAnsi="Times New Roman" w:cs="Times New Roman"/>
                <w:b/>
                <w:bCs/>
                <w:sz w:val="20"/>
                <w:szCs w:val="20"/>
              </w:rPr>
              <w:t>Unit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B9954BC"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eastAsia="Arial" w:hAnsi="Times New Roman" w:cs="Times New Roman"/>
                <w:b/>
                <w:bCs/>
                <w:sz w:val="20"/>
                <w:szCs w:val="20"/>
              </w:rPr>
              <w:t>Source</w:t>
            </w:r>
          </w:p>
        </w:tc>
      </w:tr>
      <w:tr w:rsidR="00F47705" w:rsidRPr="006217F4" w14:paraId="34A3EB0F"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4406E0"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Module rated power</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C8A9B3"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STC</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230846"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550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0153DF"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p</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FB882D" w14:textId="3945C416" w:rsidR="00F47705" w:rsidRPr="006217F4" w:rsidRDefault="00F47705" w:rsidP="00685B4F">
            <w:pPr>
              <w:spacing w:line="240" w:lineRule="auto"/>
              <w:rPr>
                <w:rFonts w:ascii="Times New Roman" w:hAnsi="Times New Roman" w:cs="Times New Roman"/>
                <w:sz w:val="20"/>
                <w:szCs w:val="20"/>
              </w:rPr>
            </w:pPr>
            <w:r w:rsidRPr="00DB6DD1">
              <w:rPr>
                <w:rFonts w:ascii="Times New Roman" w:hAnsi="Times New Roman" w:cs="Times New Roman"/>
                <w:sz w:val="24"/>
                <w:szCs w:val="24"/>
              </w:rPr>
              <w:t>Jinko Tiger Neo datasheet</w:t>
            </w:r>
          </w:p>
        </w:tc>
      </w:tr>
      <w:tr w:rsidR="00F47705" w:rsidRPr="006217F4" w14:paraId="54126160"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7D6795"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Bifaciality factor</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FB7D65" w14:textId="77777777"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ϕ</m:t>
                </m:r>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06635C"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0.70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1E87D4"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4DADD4" w14:textId="30C8D4A2" w:rsidR="00F47705" w:rsidRPr="006217F4" w:rsidRDefault="00F47705" w:rsidP="00685B4F">
            <w:pPr>
              <w:spacing w:line="240" w:lineRule="auto"/>
              <w:rPr>
                <w:rFonts w:ascii="Times New Roman" w:hAnsi="Times New Roman" w:cs="Times New Roman"/>
                <w:sz w:val="20"/>
                <w:szCs w:val="20"/>
              </w:rPr>
            </w:pPr>
            <w:r w:rsidRPr="00DB6DD1">
              <w:rPr>
                <w:rFonts w:ascii="Times New Roman" w:hAnsi="Times New Roman" w:cs="Times New Roman"/>
                <w:sz w:val="24"/>
                <w:szCs w:val="24"/>
              </w:rPr>
              <w:t>Jinko Tiger Neo datasheet</w:t>
            </w:r>
          </w:p>
        </w:tc>
      </w:tr>
      <w:tr w:rsidR="00F47705" w:rsidRPr="006217F4" w14:paraId="6F787E4B"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2E8507"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Temperature coefficient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B23F9F"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p</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3FAE0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−0.0035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04E2CA"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K⁻¹</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7D56D1" w14:textId="12B65638" w:rsidR="00F47705" w:rsidRPr="006217F4" w:rsidRDefault="00F47705" w:rsidP="00685B4F">
            <w:pPr>
              <w:spacing w:line="240" w:lineRule="auto"/>
              <w:rPr>
                <w:rFonts w:ascii="Times New Roman" w:hAnsi="Times New Roman" w:cs="Times New Roman"/>
                <w:sz w:val="20"/>
                <w:szCs w:val="20"/>
              </w:rPr>
            </w:pPr>
            <w:r w:rsidRPr="00DB6DD1">
              <w:rPr>
                <w:rFonts w:ascii="Times New Roman" w:hAnsi="Times New Roman" w:cs="Times New Roman"/>
                <w:sz w:val="24"/>
                <w:szCs w:val="24"/>
              </w:rPr>
              <w:t>Jinko Tiger Neo datasheet</w:t>
            </w:r>
          </w:p>
        </w:tc>
      </w:tr>
      <w:tr w:rsidR="00F47705" w:rsidRPr="006217F4" w14:paraId="15E1B130"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91F283"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System losses</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1181C1"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η</m:t>
                    </m:r>
                  </m:e>
                  <m:sub>
                    <m:r>
                      <w:rPr>
                        <w:rFonts w:ascii="Cambria Math" w:hAnsi="Cambria Math" w:cs="Times New Roman"/>
                        <w:sz w:val="20"/>
                        <w:szCs w:val="20"/>
                      </w:rPr>
                      <m:t>loss</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AB8DD2"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0.12</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6CA0C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60FD4A" w14:textId="12E37A24" w:rsidR="00F47705" w:rsidRPr="006217F4" w:rsidRDefault="00C21A22"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{"citationID":"R5NcGst9","properties":{"unsorted":false,"formattedCitation":"(Jordan &amp; Kurtz, 2013)","plainCitation":"(Jordan &amp; Kurtz, 2013)","noteIndex":0},"citationItems":[{"id":150,"uris":["http://zotero.org/users/local/i6bXxmSk/items/3Z7TMDZJ"],"itemData":{"id":150,"type":"article-journal","abstract":"As photovoltaic penetration of the power grid increases, accurate predictions of return on investment require accurate prediction of decreased power output over time. Degradation rates must be known in order to predict power delivery. This article reviews degradation rates of flatplate terrestrial modules and systems reported in published literature from field testing throughout the last 40 years. Nearly 2000 degradation rates, measured on individual modules or entire systems, have been assembled from the literature, showing a median value of 0.5%/year. The review consists of three parts: a brief historical outline, an analytical summary of degradation rates, and a detailed bibliography partitioned by technology.","container-title":"Progress in Photovoltaics: Research and Applications","DOI":"10.1002/pip.1182","ISSN":"1062-7995, 1099-159X","issue":"1","journalAbbreviation":"Progress in Photovoltaics","language":"en","license":"http://onlinelibrary.wiley.com/termsAndConditions#vor","page":"12-29","source":"DOI.org (Crossref)","title":"Photovoltaic Degradation Rates—an Analytical Review","volume":"21","author":[{"family":"Jordan","given":"D. C."},{"family":"Kurtz","given":"S. R."}],"issued":{"date-parts":[["2013",1]]}}}],"schema":"https://github.com/citation-style-language/schema/raw/master/csl-citation.json"} </w:instrText>
            </w:r>
            <w:r>
              <w:rPr>
                <w:rFonts w:ascii="Times New Roman" w:hAnsi="Times New Roman" w:cs="Times New Roman"/>
                <w:sz w:val="20"/>
                <w:szCs w:val="20"/>
              </w:rPr>
              <w:fldChar w:fldCharType="separate"/>
            </w:r>
            <w:r w:rsidRPr="00C21A22">
              <w:rPr>
                <w:rFonts w:ascii="Calibri" w:hAnsi="Calibri" w:cs="Calibri"/>
                <w:sz w:val="20"/>
              </w:rPr>
              <w:t>(Jordan &amp; Kurtz, 2013)</w:t>
            </w:r>
            <w:r>
              <w:rPr>
                <w:rFonts w:ascii="Times New Roman" w:hAnsi="Times New Roman" w:cs="Times New Roman"/>
                <w:sz w:val="20"/>
                <w:szCs w:val="20"/>
              </w:rPr>
              <w:fldChar w:fldCharType="end"/>
            </w:r>
          </w:p>
        </w:tc>
      </w:tr>
      <w:tr w:rsidR="00F47705" w:rsidRPr="006217F4" w14:paraId="3E0A87C0"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5745D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Faiman U₀</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1F4D47"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U₀</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E48684"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25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095B1B"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W/m²·K</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F8FCE3" w14:textId="77777777" w:rsidR="00F47705" w:rsidRPr="006217F4" w:rsidRDefault="00F47705"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{"citationID":"sR5rXVZt","properties":{"unsorted":false,"formattedCitation":"(Faiman, 2008)","plainCitation":"(Faiman, 2008)","noteIndex":0},"citationItems":[{"id":101,"uris":["http://zotero.org/users/local/i6bXxmSk/items/7WFT7EEP"],"itemData":{"id":101,"type":"article-journal","abstract":"Abstract\n            By a careful study of data collected from seven varieties of photovoltaic (PV) module it is demonstrated that a simple modified form of the Hottel–Whillier–Bliss (HWB) equation, familiar from the analysis of flat‐plate solar–thermal collectors, can be employed to predict module temperatures within an accuracy comparable to the cell‐to‐cell temperature differences typically encountered within a module. Furthermore, for modules within the range of construction parameters employed in this study, the actual values of the two modified HWB constants do not appear to depend upon module type. The implication of these results for the accuracy of outdoor module characterization is discussed. Copyright © 2008 John Wiley &amp; Sons, Ltd.","container-title":"Progress in Photovoltaics: Research and Applications","DOI":"10.1002/pip.813","ISSN":"1062-7995, 1099-159X","issue":"4","journalAbbreviation":"Progress in Photovoltaics","language":"en","license":"http://onlinelibrary.wiley.com/termsAndConditions#vor","page":"307-315","source":"DOI.org (Crossref)","title":"Assessing the outdoor operating temperature of photovoltaic modules","volume":"16","author":[{"family":"Faiman","given":"David"}],"issued":{"date-parts":[["2008",6]]}}}],"schema":"https://github.com/citation-style-language/schema/raw/master/csl-citation.json"} </w:instrText>
            </w:r>
            <w:r>
              <w:rPr>
                <w:rFonts w:ascii="Times New Roman" w:hAnsi="Times New Roman" w:cs="Times New Roman"/>
                <w:sz w:val="20"/>
                <w:szCs w:val="20"/>
              </w:rPr>
              <w:fldChar w:fldCharType="separate"/>
            </w:r>
            <w:r w:rsidRPr="00557DF1">
              <w:rPr>
                <w:rFonts w:ascii="Calibri" w:hAnsi="Calibri" w:cs="Calibri"/>
                <w:sz w:val="20"/>
              </w:rPr>
              <w:t>(Faiman, 2008)</w:t>
            </w:r>
            <w:r>
              <w:rPr>
                <w:rFonts w:ascii="Times New Roman" w:hAnsi="Times New Roman" w:cs="Times New Roman"/>
                <w:sz w:val="20"/>
                <w:szCs w:val="20"/>
              </w:rPr>
              <w:fldChar w:fldCharType="end"/>
            </w:r>
          </w:p>
        </w:tc>
      </w:tr>
      <w:tr w:rsidR="00F47705" w:rsidRPr="006217F4" w14:paraId="0697C691"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06B12F"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Faiman U₁</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C82925"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U₁</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DF5ED1"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6.84</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451A64"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W·s/m³·K</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125D73" w14:textId="77777777" w:rsidR="00F47705" w:rsidRPr="006217F4" w:rsidRDefault="00F47705"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{"citationID":"4Ffx9lqr","properties":{"unsorted":false,"formattedCitation":"(Faiman, 2008)","plainCitation":"(Faiman, 2008)","noteIndex":0},"citationItems":[{"id":101,"uris":["http://zotero.org/users/local/i6bXxmSk/items/7WFT7EEP"],"itemData":{"id":101,"type":"article-journal","abstract":"Abstract\n            By a careful study of data collected from seven varieties of photovoltaic (PV) module it is demonstrated that a simple modified form of the Hottel–Whillier–Bliss (HWB) equation, familiar from the analysis of flat‐plate solar–thermal collectors, can be employed to predict module temperatures within an accuracy comparable to the cell‐to‐cell temperature differences typically encountered within a module. Furthermore, for modules within the range of construction parameters employed in this study, the actual values of the two modified HWB constants do not appear to depend upon module type. The implication of these results for the accuracy of outdoor module characterization is discussed. Copyright © 2008 John Wiley &amp; Sons, Ltd.","container-title":"Progress in Photovoltaics: Research and Applications","DOI":"10.1002/pip.813","ISSN":"1062-7995, 1099-159X","issue":"4","journalAbbreviation":"Progress in Photovoltaics","language":"en","license":"http://onlinelibrary.wiley.com/termsAndConditions#vor","page":"307-315","source":"DOI.org (Crossref)","title":"Assessing the outdoor operating temperature of photovoltaic modules","volume":"16","author":[{"family":"Faiman","given":"David"}],"issued":{"date-parts":[["2008",6]]}}}],"schema":"https://github.com/citation-style-language/schema/raw/master/csl-citation.json"} </w:instrText>
            </w:r>
            <w:r>
              <w:rPr>
                <w:rFonts w:ascii="Times New Roman" w:hAnsi="Times New Roman" w:cs="Times New Roman"/>
                <w:sz w:val="20"/>
                <w:szCs w:val="20"/>
              </w:rPr>
              <w:fldChar w:fldCharType="separate"/>
            </w:r>
            <w:r w:rsidRPr="00557DF1">
              <w:rPr>
                <w:rFonts w:ascii="Calibri" w:hAnsi="Calibri" w:cs="Calibri"/>
                <w:sz w:val="20"/>
              </w:rPr>
              <w:t>(Faiman, 2008)</w:t>
            </w:r>
            <w:r>
              <w:rPr>
                <w:rFonts w:ascii="Times New Roman" w:hAnsi="Times New Roman" w:cs="Times New Roman"/>
                <w:sz w:val="20"/>
                <w:szCs w:val="20"/>
              </w:rPr>
              <w:fldChar w:fldCharType="end"/>
            </w:r>
          </w:p>
        </w:tc>
      </w:tr>
      <w:tr w:rsidR="00F47705" w:rsidRPr="006217F4" w14:paraId="70993418"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A96E96"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Ground albedo</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043607"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g</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99739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0.25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F4923E"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9B3050" w14:textId="57A436E1" w:rsidR="00F47705" w:rsidRPr="006217F4" w:rsidRDefault="00854C5C"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{"citationID":"I0doTwHr","properties":{"unsorted":false,"formattedCitation":"(Monteith &amp; Unsworth, 2008)","plainCitation":"(Monteith &amp; Unsworth, 2008)","noteIndex":0},"citationItems":[{"id":152,"uris":["http://zotero.org/users/local/i6bXxmSk/items/I7GSLSN8"],"itemData":{"id":152,"type":"book","call-number":"QH505 .M58 2008","edition":"3rd ed","ISBN":"978-0-12-505103-3","language":"en","number-of-pages":"418","publisher":"Elsevier","publisher-place":"Amsterdam ; Boston","source":"Library of Congress ISBN","title":"Principles of environmental physics","author":[{"family":"Monteith","given":"John Lennox"},{"family":"Unsworth","given":"M. H."}],"issued":{"date-parts":[["2008"]]}}}],"schema":"https://github.com/citation-style-language/schema/raw/master/csl-citation.json"} </w:instrText>
            </w:r>
            <w:r>
              <w:rPr>
                <w:rFonts w:ascii="Times New Roman" w:hAnsi="Times New Roman" w:cs="Times New Roman"/>
                <w:sz w:val="20"/>
                <w:szCs w:val="20"/>
              </w:rPr>
              <w:fldChar w:fldCharType="separate"/>
            </w:r>
            <w:r w:rsidRPr="00854C5C">
              <w:rPr>
                <w:rFonts w:ascii="Calibri" w:hAnsi="Calibri" w:cs="Calibri"/>
                <w:sz w:val="20"/>
              </w:rPr>
              <w:t>(Monteith &amp; Unsworth, 2008)</w:t>
            </w:r>
            <w:r>
              <w:rPr>
                <w:rFonts w:ascii="Times New Roman" w:hAnsi="Times New Roman" w:cs="Times New Roman"/>
                <w:sz w:val="20"/>
                <w:szCs w:val="20"/>
              </w:rPr>
              <w:fldChar w:fldCharType="end"/>
            </w:r>
          </w:p>
        </w:tc>
      </w:tr>
      <w:tr w:rsidR="00F47705" w:rsidRPr="008D4E2C" w14:paraId="05EBFE91"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705E0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PAR fraction of GHI</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D4F0C4"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PAR</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255316"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0.48</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F16290"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B21567" w14:textId="2FB0B543" w:rsidR="00F47705" w:rsidRPr="008D4E2C" w:rsidRDefault="00F47705" w:rsidP="00685B4F">
            <w:pPr>
              <w:spacing w:line="240" w:lineRule="auto"/>
              <w:rPr>
                <w:rFonts w:ascii="Times New Roman" w:hAnsi="Times New Roman" w:cs="Times New Roman"/>
                <w:sz w:val="20"/>
                <w:szCs w:val="20"/>
                <w:lang w:val="fr-FR"/>
              </w:rPr>
            </w:pPr>
            <w:r>
              <w:rPr>
                <w:rFonts w:ascii="Times New Roman" w:hAnsi="Times New Roman" w:cs="Times New Roman"/>
                <w:sz w:val="20"/>
                <w:szCs w:val="20"/>
              </w:rPr>
              <w:fldChar w:fldCharType="begin"/>
            </w:r>
            <w:r w:rsidR="006D702D">
              <w:rPr>
                <w:rFonts w:ascii="Times New Roman" w:hAnsi="Times New Roman" w:cs="Times New Roman"/>
                <w:sz w:val="20"/>
                <w:szCs w:val="20"/>
                <w:lang w:val="fr-FR"/>
              </w:rPr>
              <w:instrText xml:space="preserve"> ADDIN ZOTERO_ITEM CSL_CITATION {"citationID":"TLlZJN2C","properties":{"unsorted":false,"formattedCitation":"(Jacovides et al., 2006; McCree, 1971)","plainCitation":"(Jacovides et al., 2006; McCree, 1971)","noteIndex":0},"citationItems":[{"id":138,"uris":["http://zotero.org/users/local/i6bXxmSk/items/4J9VLXZW"],"itemData":{"id":138,"type":"article-journal","abstract":"Proper design and performance predictions of solar energy systems require accurate information on the availability of solar radiation. The diffuse-to-global solar radiation correlation, originally developed by Liu and Jordan, has been extensively used as the technique providing accurate results, although it is latitude dependent. Thus, in the present study, empirical correlations of this type were developed to establish a relationship between the hourly diffuse fraction (kd) and the hourly clearness index (kt) using hourly global and diffuse irradiation measurements on a horizontal surface performed at Athalassa, Cyprus. The proposed correlations were compared against 10 models available in the literature in terms of the widely used statistical indicators, rmse, mbe and t test. From this analysis, it can be concluded that the proposed yearly correlation predicts diffuse values accurately, whereas all candidate models examined appear to be location-independent for diffuse irradiation predictions.","container-title":"Renewable Energy","DOI":"10.1016/j.renene.2005.11.009","ISSN":"09601481","issue":"15","journalAbbreviation":"Renewable Energy","language":"en","license":"https://www.elsevier.com/tdm/userlicense/1.0/","page":"2492-2504","source":"DOI.org (Crossref)","title":"Comparative study of various correlations in estimating hourly diffuse fraction of global solar radiation","volume":"31","author":[{"family":"Jacovides","given":"C.P."},{"family":"Tymvios","given":"F.S."},{"family":"Assimakopoulos","given":"V.D."},{"family":"Kaltsounides","given":"N.A."}],"issued":{"date-parts":[["2006",12]]}}},{"id":103,"uris":["http://zotero.org/users/local/i6bXxmSk/items/5EV429J2"],"itemData":{"id":103,"type":"article-journal","abstract":"McC'~E, K. J., 1972. The action spectrum, absorptance and quantum yield of photosynthesis in crop plants. Agrie. MeteoroL, 9: 191-216.","container-title":"Agricultural Meteorology","DOI":"10.1016/0002-1571(71)90022-7","ISSN":"00021571","journalAbbreviation":"Agricultural Meteorology","language":"en","license":"https://www.elsevier.com/tdm/userlicense/1.0/","page":"191-216","source":"DOI.org (Crossref)","title":"The action spectrum, absorptance and quantum yield of photosynthesis in crop plants","volume":"9","author":[{"family":"McCree","given":"K.J."}],"issued":{"date-parts":[["1971",1]]}}}],"schema":"https://github.com/citation-style-language/schema/raw/master/csl-citation.json"} </w:instrText>
            </w:r>
            <w:r>
              <w:rPr>
                <w:rFonts w:ascii="Times New Roman" w:hAnsi="Times New Roman" w:cs="Times New Roman"/>
                <w:sz w:val="20"/>
                <w:szCs w:val="20"/>
              </w:rPr>
              <w:fldChar w:fldCharType="separate"/>
            </w:r>
            <w:r w:rsidR="006D702D" w:rsidRPr="006D702D">
              <w:rPr>
                <w:rFonts w:ascii="Calibri" w:hAnsi="Calibri" w:cs="Calibri"/>
                <w:sz w:val="20"/>
                <w:lang w:val="fr-FR"/>
              </w:rPr>
              <w:t>(Jacovides et al., 2006; McCree, 1971)</w:t>
            </w:r>
            <w:r>
              <w:rPr>
                <w:rFonts w:ascii="Times New Roman" w:hAnsi="Times New Roman" w:cs="Times New Roman"/>
                <w:sz w:val="20"/>
                <w:szCs w:val="20"/>
              </w:rPr>
              <w:fldChar w:fldCharType="end"/>
            </w:r>
          </w:p>
        </w:tc>
      </w:tr>
      <w:tr w:rsidR="00F47705" w:rsidRPr="006217F4" w14:paraId="45A2A17E"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91B4C0"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Tomato PAR saturation</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D00CCD" w14:textId="7C33D6D8"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PA</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sat</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88199F"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174</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4BBA10"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W/m²</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2DAE5C" w14:textId="77777777" w:rsidR="00F47705"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fldChar w:fldCharType="begin"/>
            </w:r>
            <w:r w:rsidRPr="006217F4">
              <w:rPr>
                <w:rFonts w:ascii="Times New Roman" w:hAnsi="Times New Roman" w:cs="Times New Roman"/>
                <w:sz w:val="20"/>
                <w:szCs w:val="20"/>
              </w:rPr>
              <w:instrText xml:space="preserve"> ADDIN ZOTERO_ITEM CSL_CITATION {"citationID":"4j8qqwuJ","properties":{"unsorted":false,"formattedCitation":"(Mohammedi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006217F4">
              <w:rPr>
                <w:rFonts w:ascii="Times New Roman" w:hAnsi="Times New Roman" w:cs="Times New Roman"/>
                <w:sz w:val="20"/>
                <w:szCs w:val="20"/>
              </w:rPr>
              <w:fldChar w:fldCharType="separate"/>
            </w:r>
            <w:r w:rsidRPr="006217F4">
              <w:rPr>
                <w:rFonts w:ascii="Times New Roman" w:hAnsi="Times New Roman" w:cs="Times New Roman"/>
                <w:sz w:val="20"/>
                <w:szCs w:val="20"/>
              </w:rPr>
              <w:t>(Mohammedi et al., 2023)</w:t>
            </w:r>
            <w:r w:rsidRPr="006217F4">
              <w:rPr>
                <w:rFonts w:ascii="Times New Roman" w:hAnsi="Times New Roman" w:cs="Times New Roman"/>
                <w:sz w:val="20"/>
                <w:szCs w:val="20"/>
              </w:rPr>
              <w:fldChar w:fldCharType="end"/>
            </w:r>
          </w:p>
          <w:p w14:paraId="0486E242" w14:textId="77777777" w:rsidR="00F47705" w:rsidRPr="006217F4" w:rsidRDefault="00F47705" w:rsidP="00685B4F">
            <w:pPr>
              <w:spacing w:line="240" w:lineRule="auto"/>
              <w:rPr>
                <w:rFonts w:ascii="Times New Roman" w:hAnsi="Times New Roman" w:cs="Times New Roman"/>
                <w:sz w:val="20"/>
                <w:szCs w:val="20"/>
              </w:rPr>
            </w:pPr>
            <w:proofErr w:type="spellStart"/>
            <w:r w:rsidRPr="00941DD8">
              <w:rPr>
                <w:rFonts w:ascii="Times New Roman" w:hAnsi="Times New Roman" w:cs="Times New Roman"/>
                <w:color w:val="FF0000"/>
                <w:sz w:val="24"/>
                <w:szCs w:val="24"/>
              </w:rPr>
              <w:t>Heuvelink</w:t>
            </w:r>
            <w:proofErr w:type="spellEnd"/>
            <w:r w:rsidRPr="00941DD8">
              <w:rPr>
                <w:rFonts w:ascii="Times New Roman" w:hAnsi="Times New Roman" w:cs="Times New Roman"/>
                <w:color w:val="FF0000"/>
                <w:sz w:val="24"/>
                <w:szCs w:val="24"/>
              </w:rPr>
              <w:t xml:space="preserve"> (2005)</w:t>
            </w:r>
          </w:p>
        </w:tc>
      </w:tr>
      <w:tr w:rsidR="00F47705" w:rsidRPr="006217F4" w14:paraId="61E4BBAC"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1A3C5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ET shading coefficient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8A6A3F"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shade</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1A97A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0.40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39A8CE"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0DC253"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color w:val="FF0000"/>
                <w:sz w:val="20"/>
                <w:szCs w:val="20"/>
              </w:rPr>
              <w:t>Tawassull</w:t>
            </w:r>
            <w:r w:rsidRPr="006217F4">
              <w:rPr>
                <w:rFonts w:ascii="Times New Roman" w:hAnsi="Times New Roman" w:cs="Times New Roman"/>
                <w:sz w:val="20"/>
                <w:szCs w:val="20"/>
              </w:rPr>
              <w:t>i 2025</w:t>
            </w:r>
          </w:p>
        </w:tc>
      </w:tr>
      <w:tr w:rsidR="00F47705" w:rsidRPr="006217F4" w14:paraId="65A884AA"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00A74E" w14:textId="77777777" w:rsidR="00F47705" w:rsidRPr="006217F4" w:rsidRDefault="00F47705" w:rsidP="00685B4F">
            <w:pPr>
              <w:spacing w:line="240" w:lineRule="auto"/>
              <w:rPr>
                <w:rFonts w:ascii="Times New Roman" w:hAnsi="Times New Roman" w:cs="Times New Roman"/>
                <w:sz w:val="20"/>
                <w:szCs w:val="20"/>
              </w:rPr>
            </w:pPr>
            <w:r w:rsidRPr="00593E11">
              <w:rPr>
                <w:rFonts w:ascii="Times New Roman" w:hAnsi="Times New Roman" w:cs="Times New Roman"/>
                <w:sz w:val="20"/>
                <w:szCs w:val="20"/>
              </w:rPr>
              <w:t>'Tomato dry matter fraction</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1F0B70" w14:textId="77777777"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DM</m:t>
                </m:r>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06B90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0.20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F6212F"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kg/kg fresh</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63CC7C"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fldChar w:fldCharType="begin"/>
            </w:r>
            <w:r w:rsidRPr="006217F4">
              <w:rPr>
                <w:rFonts w:ascii="Times New Roman" w:hAnsi="Times New Roman" w:cs="Times New Roman"/>
                <w:sz w:val="20"/>
                <w:szCs w:val="20"/>
              </w:rPr>
              <w:instrText xml:space="preserve"> ADDIN ZOTERO_ITEM CSL_CITATION {"citationID":"mkffQzk1","properties":{"unsorted":false,"formattedCitation":"(Mohammedi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006217F4">
              <w:rPr>
                <w:rFonts w:ascii="Times New Roman" w:hAnsi="Times New Roman" w:cs="Times New Roman"/>
                <w:sz w:val="20"/>
                <w:szCs w:val="20"/>
              </w:rPr>
              <w:fldChar w:fldCharType="separate"/>
            </w:r>
            <w:r w:rsidRPr="006217F4">
              <w:rPr>
                <w:rFonts w:ascii="Times New Roman" w:hAnsi="Times New Roman" w:cs="Times New Roman"/>
                <w:sz w:val="20"/>
                <w:szCs w:val="20"/>
              </w:rPr>
              <w:t>(Mohammedi et al., 2023)</w:t>
            </w:r>
            <w:r w:rsidRPr="006217F4">
              <w:rPr>
                <w:rFonts w:ascii="Times New Roman" w:hAnsi="Times New Roman" w:cs="Times New Roman"/>
                <w:sz w:val="20"/>
                <w:szCs w:val="20"/>
              </w:rPr>
              <w:fldChar w:fldCharType="end"/>
            </w:r>
          </w:p>
        </w:tc>
      </w:tr>
      <w:tr w:rsidR="00F47705" w:rsidRPr="006217F4" w14:paraId="2E55BB98"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F662E0"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Volatile solids fraction</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3BDB2D" w14:textId="77777777"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VS</m:t>
                </m:r>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544935"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0.85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893365"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kg VS/kg DM</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858BEC" w14:textId="77777777" w:rsidR="00F47705" w:rsidRPr="006217F4" w:rsidRDefault="00F47705"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{"citationID":"kdCnxWjE","properties":{"unsorted":false,"formattedCitation":"(Lallement et al., 2023)","plainCitation":"(Lallement et al., 2023)","noteIndex":0},"citationItems":[{"id":59,"uris":["http://zotero.org/users/local/i6bXxmSk/items/3UG9JA7V"],"itemData":{"id":59,"type":"article-journal","abstract":"Agricultural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Pr>
                <w:rFonts w:ascii="Times New Roman" w:hAnsi="Times New Roman" w:cs="Times New Roman"/>
                <w:sz w:val="20"/>
                <w:szCs w:val="20"/>
              </w:rPr>
              <w:fldChar w:fldCharType="separate"/>
            </w:r>
            <w:r w:rsidRPr="0069719D">
              <w:rPr>
                <w:rFonts w:ascii="Calibri" w:hAnsi="Calibri" w:cs="Calibri"/>
                <w:sz w:val="20"/>
              </w:rPr>
              <w:t>(Lallement et al., 2023)</w:t>
            </w:r>
            <w:r>
              <w:rPr>
                <w:rFonts w:ascii="Times New Roman" w:hAnsi="Times New Roman" w:cs="Times New Roman"/>
                <w:sz w:val="20"/>
                <w:szCs w:val="20"/>
              </w:rPr>
              <w:fldChar w:fldCharType="end"/>
            </w:r>
          </w:p>
        </w:tc>
      </w:tr>
      <w:tr w:rsidR="00F47705" w:rsidRPr="006217F4" w14:paraId="799FE0B5"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0A8E69" w14:textId="77777777" w:rsidR="00F47705" w:rsidRPr="006217F4" w:rsidRDefault="00F47705" w:rsidP="00685B4F">
            <w:pPr>
              <w:spacing w:line="240" w:lineRule="auto"/>
              <w:rPr>
                <w:rFonts w:ascii="Times New Roman" w:hAnsi="Times New Roman" w:cs="Times New Roman"/>
                <w:sz w:val="20"/>
                <w:szCs w:val="20"/>
              </w:rPr>
            </w:pPr>
            <w:r w:rsidRPr="00593E11">
              <w:rPr>
                <w:rFonts w:ascii="Times New Roman" w:hAnsi="Times New Roman" w:cs="Times New Roman"/>
                <w:sz w:val="20"/>
                <w:szCs w:val="20"/>
              </w:rPr>
              <w:t>'Reference BMP at 37°C</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0623F7" w14:textId="77777777"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BM</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ref</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9EA20E"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300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BBDF83"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NmL/g VS</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7A51C6"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fldChar w:fldCharType="begin"/>
            </w:r>
            <w:r w:rsidRPr="006217F4">
              <w:rPr>
                <w:rFonts w:ascii="Times New Roman" w:hAnsi="Times New Roman" w:cs="Times New Roman"/>
                <w:sz w:val="20"/>
                <w:szCs w:val="20"/>
              </w:rPr>
              <w:instrText xml:space="preserve"> ADDIN ZOTERO_ITEM CSL_CITATION {"citationID":"Tewr6fNA","properties":{"unsorted":false,"formattedCitation":"(Lallement et al., 2023)","plainCitation":"(Lallement et al., 2023)","noteIndex":0},"citationItems":[{"id":59,"uris":["http://zotero.org/users/local/i6bXxmSk/items/3UG9JA7V"],"itemData":{"id":59,"type":"article-journal","abstract":"Agricultural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Pr="006217F4">
              <w:rPr>
                <w:rFonts w:ascii="Times New Roman" w:hAnsi="Times New Roman" w:cs="Times New Roman"/>
                <w:sz w:val="20"/>
                <w:szCs w:val="20"/>
              </w:rPr>
              <w:fldChar w:fldCharType="separate"/>
            </w:r>
            <w:r w:rsidRPr="006217F4">
              <w:rPr>
                <w:rFonts w:ascii="Times New Roman" w:hAnsi="Times New Roman" w:cs="Times New Roman"/>
                <w:sz w:val="20"/>
                <w:szCs w:val="20"/>
              </w:rPr>
              <w:t>(Lallement et al., 2023)</w:t>
            </w:r>
            <w:r w:rsidRPr="006217F4">
              <w:rPr>
                <w:rFonts w:ascii="Times New Roman" w:hAnsi="Times New Roman" w:cs="Times New Roman"/>
                <w:sz w:val="20"/>
                <w:szCs w:val="20"/>
              </w:rPr>
              <w:fldChar w:fldCharType="end"/>
            </w:r>
          </w:p>
        </w:tc>
      </w:tr>
      <w:tr w:rsidR="00F47705" w:rsidRPr="006217F4" w14:paraId="4622BFA1"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7C806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Arrhenius coefficient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56EAFA" w14:textId="77777777"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θ</m:t>
                </m:r>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814073"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0.069</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926E7F"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°C⁻¹</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A5B522"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{"citationID":"cQWpiURm","properties":{"unsorted":false,"formattedCitation":"(Lindorfer et al., 2008; Pilarski &amp; Pilarska, 2025)","plainCitation":"(Lindorfer et al., 2008; Pilarski &amp; Pilarska, 2025)","noteIndex":0},"citationItems":[{"id":83,"uris":["http://zotero.org/users/local/i6bXxmSk/items/FC4VXIIW"],"itemData":{"id":83,"type":"article-journal","abstract":"As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006217F4">
              <w:rPr>
                <w:rFonts w:ascii="Times New Roman" w:hAnsi="Times New Roman" w:cs="Times New Roman"/>
                <w:sz w:val="20"/>
                <w:szCs w:val="20"/>
              </w:rPr>
              <w:fldChar w:fldCharType="separate"/>
            </w:r>
            <w:r w:rsidRPr="0098324A">
              <w:rPr>
                <w:rFonts w:ascii="Calibri" w:hAnsi="Calibri" w:cs="Calibri"/>
                <w:sz w:val="20"/>
              </w:rPr>
              <w:t>(Lindorfer et al., 2008; Pilarski &amp; Pilarska, 2025)</w:t>
            </w:r>
            <w:r w:rsidRPr="006217F4">
              <w:rPr>
                <w:rFonts w:ascii="Times New Roman" w:hAnsi="Times New Roman" w:cs="Times New Roman"/>
                <w:sz w:val="20"/>
                <w:szCs w:val="20"/>
              </w:rPr>
              <w:fldChar w:fldCharType="end"/>
            </w:r>
          </w:p>
        </w:tc>
      </w:tr>
      <w:tr w:rsidR="00F47705" w:rsidRPr="006217F4" w14:paraId="2ABAD18B"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1E5B01" w14:textId="77777777" w:rsidR="00F47705" w:rsidRPr="006217F4" w:rsidRDefault="00F47705" w:rsidP="00685B4F">
            <w:pPr>
              <w:spacing w:line="240" w:lineRule="auto"/>
              <w:rPr>
                <w:rFonts w:ascii="Times New Roman" w:hAnsi="Times New Roman" w:cs="Times New Roman"/>
                <w:sz w:val="20"/>
                <w:szCs w:val="20"/>
              </w:rPr>
            </w:pPr>
            <w:r w:rsidRPr="00593E11">
              <w:rPr>
                <w:rFonts w:ascii="Times New Roman" w:hAnsi="Times New Roman" w:cs="Times New Roman"/>
                <w:sz w:val="20"/>
                <w:szCs w:val="20"/>
              </w:rPr>
              <w:t>Digester thermal transmittance</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961533"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eff</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B80537"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0.8</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ACF7F5"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W/m²·K</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B137E9" w14:textId="2ADE8994" w:rsidR="00F47705" w:rsidRPr="006217F4" w:rsidRDefault="00832670"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{"citationID":"asvFkrPC","properties":{"unsorted":false,"formattedCitation":"(Lindorfer et al., 2008; Pal &amp; Ilango, 2024)","plainCitation":"(Lindorfer et al., 2008; Pal &amp; Ilango, 2024)","noteIndex":0},"citationItems":[{"id":83,"uris":["http://zotero.org/users/local/i6bXxmSk/items/FC4VXIIW"],"itemData":{"id":83,"type":"article-journal","abstract":"As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Pr>
                <w:rFonts w:ascii="Times New Roman" w:hAnsi="Times New Roman" w:cs="Times New Roman"/>
                <w:sz w:val="20"/>
                <w:szCs w:val="20"/>
              </w:rPr>
              <w:fldChar w:fldCharType="separate"/>
            </w:r>
            <w:r w:rsidRPr="00832670">
              <w:rPr>
                <w:rFonts w:ascii="Calibri" w:hAnsi="Calibri" w:cs="Calibri"/>
                <w:sz w:val="20"/>
              </w:rPr>
              <w:t>(Lindorfer et al., 2008; Pal &amp; Ilango, 2024)</w:t>
            </w:r>
            <w:r>
              <w:rPr>
                <w:rFonts w:ascii="Times New Roman" w:hAnsi="Times New Roman" w:cs="Times New Roman"/>
                <w:sz w:val="20"/>
                <w:szCs w:val="20"/>
              </w:rPr>
              <w:fldChar w:fldCharType="end"/>
            </w:r>
          </w:p>
        </w:tc>
      </w:tr>
      <w:tr w:rsidR="00F47705" w:rsidRPr="006217F4" w14:paraId="3D996094"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058A8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lastRenderedPageBreak/>
              <w:t>Substrate heat capacity</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A120E2"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7759E3"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4.18</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C046D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kJ/kg·K</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6B4741"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Water approximation</w:t>
            </w:r>
            <w:r>
              <w:rPr>
                <w:rFonts w:ascii="Times New Roman" w:hAnsi="Times New Roman" w:cs="Times New Roman"/>
                <w:sz w:val="20"/>
                <w:szCs w:val="20"/>
              </w:rPr>
              <w:t xml:space="preserve"> </w:t>
            </w:r>
            <w:r w:rsidRPr="00DB6DD1">
              <w:rPr>
                <w:rFonts w:ascii="Times New Roman" w:hAnsi="Times New Roman" w:cs="Times New Roman"/>
                <w:sz w:val="24"/>
                <w:szCs w:val="24"/>
              </w:rPr>
              <w:t>(dilute slurry)</w:t>
            </w:r>
          </w:p>
        </w:tc>
      </w:tr>
      <w:tr w:rsidR="00F47705" w:rsidRPr="006217F4" w14:paraId="610921B6"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1AF10C"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Electrical heating eff.</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9E26AF"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η</m:t>
                    </m:r>
                  </m:e>
                  <m:sub>
                    <m:r>
                      <w:rPr>
                        <w:rFonts w:ascii="Cambria Math" w:hAnsi="Cambria Math" w:cs="Times New Roman"/>
                        <w:sz w:val="20"/>
                        <w:szCs w:val="20"/>
                      </w:rPr>
                      <m:t>elec</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3EF2CC"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0.95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F5532D"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84C1BC" w14:textId="234D6AE2" w:rsidR="00F47705" w:rsidRPr="006217F4" w:rsidRDefault="00C657D0"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{"citationID":"bL9kmZVb","properties":{"unsorted":false,"formattedCitation":"(Pal &amp; Ilango, 2024)","plainCitation":"(Pal &amp; Ilango, 2024)","noteIndex":0},"citationItems":[{"id":77,"uris":["http://zotero.org/users/local/i6bXxmSk/items/KSXUPFKN"],"itemData":{"id":77,"type":"article-journal","abstract":"This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Pr>
                <w:rFonts w:ascii="Times New Roman" w:hAnsi="Times New Roman" w:cs="Times New Roman"/>
                <w:sz w:val="20"/>
                <w:szCs w:val="20"/>
              </w:rPr>
              <w:fldChar w:fldCharType="separate"/>
            </w:r>
            <w:r w:rsidRPr="00C657D0">
              <w:rPr>
                <w:rFonts w:ascii="Calibri" w:hAnsi="Calibri" w:cs="Calibri"/>
                <w:sz w:val="20"/>
              </w:rPr>
              <w:t>(Pal &amp; Ilango, 2024)</w:t>
            </w:r>
            <w:r>
              <w:rPr>
                <w:rFonts w:ascii="Times New Roman" w:hAnsi="Times New Roman" w:cs="Times New Roman"/>
                <w:sz w:val="20"/>
                <w:szCs w:val="20"/>
              </w:rPr>
              <w:fldChar w:fldCharType="end"/>
            </w:r>
          </w:p>
        </w:tc>
      </w:tr>
      <w:tr w:rsidR="00F47705" w:rsidRPr="00107A82" w14:paraId="032F0DA0"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5F29D8"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Biogas CHP heating eff.</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D51E6E"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η</m:t>
                    </m:r>
                  </m:e>
                  <m:sub>
                    <m:r>
                      <w:rPr>
                        <w:rFonts w:ascii="Cambria Math" w:hAnsi="Cambria Math" w:cs="Times New Roman"/>
                        <w:sz w:val="20"/>
                        <w:szCs w:val="20"/>
                      </w:rPr>
                      <m:t>bio</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FD4F6F"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0.85</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DD1756"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D5190E" w14:textId="028E1D1E" w:rsidR="00F47705" w:rsidRPr="00C657D0" w:rsidRDefault="00C657D0" w:rsidP="00685B4F">
            <w:pPr>
              <w:spacing w:line="240" w:lineRule="auto"/>
              <w:rPr>
                <w:rFonts w:ascii="Times New Roman" w:hAnsi="Times New Roman" w:cs="Times New Roman"/>
                <w:sz w:val="20"/>
                <w:szCs w:val="20"/>
                <w:lang w:val="fr-FR"/>
              </w:rPr>
            </w:pPr>
            <w:r>
              <w:rPr>
                <w:rFonts w:ascii="Times New Roman" w:hAnsi="Times New Roman" w:cs="Times New Roman"/>
                <w:sz w:val="20"/>
                <w:szCs w:val="20"/>
              </w:rPr>
              <w:fldChar w:fldCharType="begin"/>
            </w:r>
            <w:r w:rsidRPr="00C657D0">
              <w:rPr>
                <w:rFonts w:ascii="Times New Roman" w:hAnsi="Times New Roman" w:cs="Times New Roman"/>
                <w:sz w:val="20"/>
                <w:szCs w:val="20"/>
                <w:lang w:val="fr-FR"/>
              </w:rPr>
              <w:instrText xml:space="preserve"> ADDIN ZOTERO_ITEM CSL_CITATION {"citationID":"D8feuuxy","properties":{"unsorted":false,"formattedCitation":"(Temiz et al., n.d.)","plainCitation":"(Temiz et al., n.d.)","noteIndex":0},"citationItems":[{"id":79,"uris":["http://zotero.org/users/local/i6bXxmSk/items/FWRZR77B"],"itemData":{"id":79,"type":"article-journal","abstract":"In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requirements.","language":"en","source":"Zotero","title":"Development and assessment of a new agrivoltaic‐biogas energy system for sustainable communities","author":[{"family":"Temiz","given":"Mert"},{"family":"Sinbuathong","given":"Nusara"},{"family":"Dincer","given":"Ibrahim"}]}}],"schema":"https://github.com/citation-style-language/schema/raw/master/csl-citation.json"} </w:instrText>
            </w:r>
            <w:r>
              <w:rPr>
                <w:rFonts w:ascii="Times New Roman" w:hAnsi="Times New Roman" w:cs="Times New Roman"/>
                <w:sz w:val="20"/>
                <w:szCs w:val="20"/>
              </w:rPr>
              <w:fldChar w:fldCharType="separate"/>
            </w:r>
            <w:r w:rsidRPr="00C657D0">
              <w:rPr>
                <w:rFonts w:ascii="Calibri" w:hAnsi="Calibri" w:cs="Calibri"/>
                <w:sz w:val="20"/>
                <w:lang w:val="fr-FR"/>
              </w:rPr>
              <w:t>(Temiz et al., n.d.)</w:t>
            </w:r>
            <w:r>
              <w:rPr>
                <w:rFonts w:ascii="Times New Roman" w:hAnsi="Times New Roman" w:cs="Times New Roman"/>
                <w:sz w:val="20"/>
                <w:szCs w:val="20"/>
              </w:rPr>
              <w:fldChar w:fldCharType="end"/>
            </w:r>
          </w:p>
        </w:tc>
      </w:tr>
      <w:tr w:rsidR="00F47705" w:rsidRPr="006217F4" w14:paraId="2AA99861"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2A56F1"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Methane LHV</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562EA6" w14:textId="77777777" w:rsidR="00F47705" w:rsidRPr="006217F4" w:rsidRDefault="00F47705" w:rsidP="00685B4F">
            <w:pPr>
              <w:spacing w:line="240" w:lineRule="auto"/>
              <w:rPr>
                <w:rFonts w:ascii="Times New Roman" w:hAnsi="Times New Roman" w:cs="Times New Roman"/>
                <w:sz w:val="20"/>
                <w:szCs w:val="20"/>
              </w:rPr>
            </w:pPr>
            <m:oMathPara>
              <m:oMath>
                <m:r>
                  <w:rPr>
                    <w:rFonts w:ascii="Cambria Math" w:hAnsi="Cambria Math" w:cs="Times New Roman"/>
                    <w:sz w:val="20"/>
                    <w:szCs w:val="20"/>
                  </w:rPr>
                  <m:t>LH</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4</m:t>
                        </m:r>
                      </m:sub>
                    </m:sSub>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4871A4"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35.8</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3C8A87"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MJ/m³</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9B30BD" w14:textId="002A3E9C" w:rsidR="00F47705" w:rsidRPr="006217F4" w:rsidRDefault="006416B9" w:rsidP="00685B4F">
            <w:pPr>
              <w:spacing w:line="240" w:lineRule="auto"/>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{"citationID":"QazKst6J","properties":{"unsorted":false,"formattedCitation":"(Marchaim, 1992)","plainCitation":"(Marchaim, 1992)","noteIndex":0},"citationItems":[{"id":75,"uris":["http://zotero.org/users/local/i6bXxmSk/items/ZYIKW6Y7"],"itemData":{"id":75,"type":"book","call-number":"TP762 .M35 1992","collection-number":"95","collection-title":"FAO agricultural services bulletin","ISBN":"978-92-5-103126-1","language":"en","number-of-pages":"232","publisher":"Food and Agriculture Organization of the United Nations","publisher-place":"Rome","source":"Library of Congress ISBN","title":"Biogas processes for sustainable development","author":[{"family":"Marchaim","given":"Uri"}],"issued":{"date-parts":[["1992"]]}}}],"schema":"https://github.com/citation-style-language/schema/raw/master/csl-citation.json"} </w:instrText>
            </w:r>
            <w:r>
              <w:rPr>
                <w:rFonts w:ascii="Times New Roman" w:hAnsi="Times New Roman" w:cs="Times New Roman"/>
                <w:sz w:val="20"/>
                <w:szCs w:val="20"/>
              </w:rPr>
              <w:fldChar w:fldCharType="separate"/>
            </w:r>
            <w:r w:rsidRPr="006416B9">
              <w:rPr>
                <w:rFonts w:ascii="Calibri" w:hAnsi="Calibri" w:cs="Calibri"/>
                <w:sz w:val="20"/>
              </w:rPr>
              <w:t>(Marchaim, 1992)</w:t>
            </w:r>
            <w:r>
              <w:rPr>
                <w:rFonts w:ascii="Times New Roman" w:hAnsi="Times New Roman" w:cs="Times New Roman"/>
                <w:sz w:val="20"/>
                <w:szCs w:val="20"/>
              </w:rPr>
              <w:fldChar w:fldCharType="end"/>
            </w:r>
          </w:p>
        </w:tc>
      </w:tr>
      <w:tr w:rsidR="00F47705" w:rsidRPr="006217F4" w14:paraId="02960841"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47934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Fruit yield (tomato)</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EA2D64"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fruit</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DC0EF2"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60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364DE8"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t/ha</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5777A7"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fldChar w:fldCharType="begin"/>
            </w:r>
            <w:r w:rsidRPr="006217F4">
              <w:rPr>
                <w:rFonts w:ascii="Times New Roman" w:hAnsi="Times New Roman" w:cs="Times New Roman"/>
                <w:sz w:val="20"/>
                <w:szCs w:val="20"/>
              </w:rPr>
              <w:instrText xml:space="preserve"> ADDIN ZOTERO_ITEM CSL_CITATION {"citationID":"Tw6CMVdg","properties":{"unsorted":false,"formattedCitation":"(Mohammedi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006217F4">
              <w:rPr>
                <w:rFonts w:ascii="Times New Roman" w:hAnsi="Times New Roman" w:cs="Times New Roman"/>
                <w:sz w:val="20"/>
                <w:szCs w:val="20"/>
              </w:rPr>
              <w:fldChar w:fldCharType="separate"/>
            </w:r>
            <w:r w:rsidRPr="006217F4">
              <w:rPr>
                <w:rFonts w:ascii="Times New Roman" w:hAnsi="Times New Roman" w:cs="Times New Roman"/>
                <w:sz w:val="20"/>
                <w:szCs w:val="20"/>
              </w:rPr>
              <w:t>(Mohammedi et al., 2023)</w:t>
            </w:r>
            <w:r w:rsidRPr="006217F4">
              <w:rPr>
                <w:rFonts w:ascii="Times New Roman" w:hAnsi="Times New Roman" w:cs="Times New Roman"/>
                <w:sz w:val="20"/>
                <w:szCs w:val="20"/>
              </w:rPr>
              <w:fldChar w:fldCharType="end"/>
            </w:r>
          </w:p>
        </w:tc>
      </w:tr>
      <w:tr w:rsidR="00F47705" w:rsidRPr="006217F4" w14:paraId="2A0E9E7F" w14:textId="77777777" w:rsidTr="008B2DCE">
        <w:trPr>
          <w:jc w:val="center"/>
        </w:trPr>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C75D22"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Residue/fruit ratio</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4CD20D" w14:textId="77777777" w:rsidR="00F47705" w:rsidRPr="006217F4" w:rsidRDefault="00533732" w:rsidP="00685B4F">
            <w:pPr>
              <w:spacing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res</m:t>
                    </m:r>
                  </m:sub>
                </m:sSub>
              </m:oMath>
            </m:oMathPara>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22E809"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0.80</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2C544B"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t>−</w:t>
            </w:r>
          </w:p>
        </w:tc>
        <w:tc>
          <w:tcPr>
            <w:tcW w:w="0" w:type="auto"/>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AAB5D6" w14:textId="77777777" w:rsidR="00F47705" w:rsidRPr="006217F4" w:rsidRDefault="00F47705" w:rsidP="00685B4F">
            <w:pPr>
              <w:spacing w:line="240" w:lineRule="auto"/>
              <w:rPr>
                <w:rFonts w:ascii="Times New Roman" w:hAnsi="Times New Roman" w:cs="Times New Roman"/>
                <w:sz w:val="20"/>
                <w:szCs w:val="20"/>
              </w:rPr>
            </w:pPr>
            <w:r w:rsidRPr="006217F4">
              <w:rPr>
                <w:rFonts w:ascii="Times New Roman" w:hAnsi="Times New Roman" w:cs="Times New Roman"/>
                <w:sz w:val="20"/>
                <w:szCs w:val="20"/>
              </w:rPr>
              <w:fldChar w:fldCharType="begin"/>
            </w:r>
            <w:r w:rsidRPr="006217F4">
              <w:rPr>
                <w:rFonts w:ascii="Times New Roman" w:hAnsi="Times New Roman" w:cs="Times New Roman"/>
                <w:sz w:val="20"/>
                <w:szCs w:val="20"/>
              </w:rPr>
              <w:instrText xml:space="preserve"> ADDIN ZOTERO_ITEM CSL_CITATION {"citationID":"o1dAH9ir","properties":{"unsorted":false,"formattedCitation":"(Mohammedi et al., 2023)","plainCitation":"(Mohammedi et al., 2023)","noteIndex":0},"citationItems":[{"id":47,"uris":["http://zotero.org/users/local/i6bXxmSk/items/J27K4M7N"],"itemData":{"id":47,"type":"article-journal","abstract":"Agrivoltaics,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006217F4">
              <w:rPr>
                <w:rFonts w:ascii="Times New Roman" w:hAnsi="Times New Roman" w:cs="Times New Roman"/>
                <w:sz w:val="20"/>
                <w:szCs w:val="20"/>
              </w:rPr>
              <w:fldChar w:fldCharType="separate"/>
            </w:r>
            <w:r w:rsidRPr="006217F4">
              <w:rPr>
                <w:rFonts w:ascii="Times New Roman" w:hAnsi="Times New Roman" w:cs="Times New Roman"/>
                <w:sz w:val="20"/>
                <w:szCs w:val="20"/>
              </w:rPr>
              <w:t>(Mohammedi et al., 2023)</w:t>
            </w:r>
            <w:r w:rsidRPr="006217F4">
              <w:rPr>
                <w:rFonts w:ascii="Times New Roman" w:hAnsi="Times New Roman" w:cs="Times New Roman"/>
                <w:sz w:val="20"/>
                <w:szCs w:val="20"/>
              </w:rPr>
              <w:fldChar w:fldCharType="end"/>
            </w:r>
          </w:p>
        </w:tc>
      </w:tr>
    </w:tbl>
    <w:p w14:paraId="2897EF50" w14:textId="15FF1F8A" w:rsidR="00E348D2" w:rsidRDefault="00E348D2">
      <w:pPr>
        <w:rPr>
          <w:rFonts w:ascii="Times New Roman" w:hAnsi="Times New Roman" w:cs="Times New Roman"/>
          <w:sz w:val="24"/>
          <w:szCs w:val="24"/>
        </w:rPr>
      </w:pPr>
    </w:p>
    <w:p w14:paraId="46DDF385" w14:textId="7B2FE9E2" w:rsidR="00171E24" w:rsidRDefault="00171E24">
      <w:pPr>
        <w:rPr>
          <w:rFonts w:ascii="Times New Roman" w:hAnsi="Times New Roman" w:cs="Times New Roman"/>
          <w:sz w:val="24"/>
          <w:szCs w:val="24"/>
        </w:rPr>
      </w:pPr>
      <w:r>
        <w:rPr>
          <w:rFonts w:ascii="Times New Roman" w:hAnsi="Times New Roman" w:cs="Times New Roman"/>
          <w:sz w:val="24"/>
          <w:szCs w:val="24"/>
        </w:rPr>
        <w:br w:type="page"/>
      </w:r>
    </w:p>
    <w:p w14:paraId="782C8A6B" w14:textId="77777777" w:rsidR="00DB6DD1" w:rsidRPr="00DB6DD1" w:rsidRDefault="00DB6DD1" w:rsidP="00DB6DD1">
      <w:pPr>
        <w:spacing w:line="360" w:lineRule="auto"/>
        <w:jc w:val="both"/>
        <w:rPr>
          <w:rFonts w:ascii="Times New Roman" w:hAnsi="Times New Roman" w:cs="Times New Roman"/>
          <w:sz w:val="24"/>
          <w:szCs w:val="24"/>
        </w:rPr>
      </w:pPr>
    </w:p>
    <w:p w14:paraId="3A8F05BA" w14:textId="556913AD" w:rsidR="00DB6DD1" w:rsidRPr="00DB6DD1" w:rsidRDefault="00DB6DD1" w:rsidP="00DB6DD1">
      <w:pPr>
        <w:spacing w:line="360" w:lineRule="auto"/>
        <w:jc w:val="both"/>
        <w:rPr>
          <w:rFonts w:ascii="Times New Roman" w:hAnsi="Times New Roman" w:cs="Times New Roman"/>
          <w:sz w:val="24"/>
          <w:szCs w:val="24"/>
        </w:rPr>
      </w:pPr>
      <w:proofErr w:type="gramStart"/>
      <w:r w:rsidRPr="00DB6DD1">
        <w:rPr>
          <w:rFonts w:ascii="Times New Roman" w:hAnsi="Times New Roman" w:cs="Times New Roman"/>
          <w:sz w:val="24"/>
          <w:szCs w:val="24"/>
        </w:rPr>
        <w:t>body(</w:t>
      </w:r>
      <w:proofErr w:type="gramEnd"/>
      <w:r w:rsidRPr="00DB6DD1">
        <w:rPr>
          <w:rFonts w:ascii="Times New Roman" w:hAnsi="Times New Roman" w:cs="Times New Roman"/>
          <w:sz w:val="24"/>
          <w:szCs w:val="24"/>
        </w:rPr>
        <w:t>'</w:t>
      </w:r>
      <w:proofErr w:type="spellStart"/>
      <w:r w:rsidRPr="00DB6DD1">
        <w:rPr>
          <w:rFonts w:ascii="Times New Roman" w:hAnsi="Times New Roman" w:cs="Times New Roman"/>
          <w:sz w:val="24"/>
          <w:szCs w:val="24"/>
        </w:rPr>
        <w:t>Heuvelink</w:t>
      </w:r>
      <w:proofErr w:type="spellEnd"/>
      <w:r w:rsidRPr="00DB6DD1">
        <w:rPr>
          <w:rFonts w:ascii="Times New Roman" w:hAnsi="Times New Roman" w:cs="Times New Roman"/>
          <w:sz w:val="24"/>
          <w:szCs w:val="24"/>
        </w:rPr>
        <w:t>, E. (2005). Tomatoes. CABI Publishing.'),</w:t>
      </w:r>
    </w:p>
    <w:p w14:paraId="5D4042EB" w14:textId="77777777" w:rsidR="00DB6DD1" w:rsidRPr="00DB6DD1" w:rsidRDefault="00DB6DD1" w:rsidP="00DB6DD1">
      <w:pPr>
        <w:spacing w:line="360" w:lineRule="auto"/>
        <w:jc w:val="both"/>
        <w:rPr>
          <w:rFonts w:ascii="Times New Roman" w:hAnsi="Times New Roman" w:cs="Times New Roman"/>
          <w:sz w:val="24"/>
          <w:szCs w:val="24"/>
        </w:rPr>
      </w:pPr>
      <w:proofErr w:type="gramStart"/>
      <w:r w:rsidRPr="00DB6DD1">
        <w:rPr>
          <w:rFonts w:ascii="Times New Roman" w:hAnsi="Times New Roman" w:cs="Times New Roman"/>
          <w:sz w:val="24"/>
          <w:szCs w:val="24"/>
        </w:rPr>
        <w:t>body(</w:t>
      </w:r>
      <w:proofErr w:type="gramEnd"/>
      <w:r w:rsidRPr="00DB6DD1">
        <w:rPr>
          <w:rFonts w:ascii="Times New Roman" w:hAnsi="Times New Roman" w:cs="Times New Roman"/>
          <w:sz w:val="24"/>
          <w:szCs w:val="24"/>
        </w:rPr>
        <w:t>'JRC/EC (2023). PVGIS-SARAH2 photovoltaic geographical information system. European Commission Joint Research Centre. https://re.jrc.ec.europa.eu/pvg_tools/'),</w:t>
      </w:r>
    </w:p>
    <w:p w14:paraId="05541328" w14:textId="77777777" w:rsidR="00DB6DD1" w:rsidRPr="005B6FBE" w:rsidRDefault="00DB6DD1" w:rsidP="00DB6DD1">
      <w:pPr>
        <w:spacing w:line="360" w:lineRule="auto"/>
        <w:jc w:val="both"/>
        <w:rPr>
          <w:rFonts w:ascii="Times New Roman" w:hAnsi="Times New Roman" w:cs="Times New Roman"/>
          <w:sz w:val="24"/>
          <w:szCs w:val="24"/>
        </w:rPr>
      </w:pPr>
      <w:proofErr w:type="gramStart"/>
      <w:r w:rsidRPr="00DB6DD1">
        <w:rPr>
          <w:rFonts w:ascii="Times New Roman" w:hAnsi="Times New Roman" w:cs="Times New Roman"/>
          <w:sz w:val="24"/>
          <w:szCs w:val="24"/>
          <w:lang w:val="fr-FR"/>
        </w:rPr>
        <w:t>body(</w:t>
      </w:r>
      <w:proofErr w:type="gramEnd"/>
      <w:r w:rsidRPr="00A105F0">
        <w:rPr>
          <w:rFonts w:ascii="Times New Roman" w:hAnsi="Times New Roman" w:cs="Times New Roman"/>
          <w:color w:val="FF0000"/>
          <w:sz w:val="24"/>
          <w:szCs w:val="24"/>
          <w:lang w:val="fr-FR"/>
        </w:rPr>
        <w:t>'</w:t>
      </w:r>
      <w:proofErr w:type="spellStart"/>
      <w:r w:rsidRPr="00A105F0">
        <w:rPr>
          <w:rFonts w:ascii="Times New Roman" w:hAnsi="Times New Roman" w:cs="Times New Roman"/>
          <w:color w:val="FF0000"/>
          <w:sz w:val="24"/>
          <w:szCs w:val="24"/>
          <w:lang w:val="fr-FR"/>
        </w:rPr>
        <w:t>Junta</w:t>
      </w:r>
      <w:proofErr w:type="spellEnd"/>
      <w:r w:rsidRPr="00A105F0">
        <w:rPr>
          <w:rFonts w:ascii="Times New Roman" w:hAnsi="Times New Roman" w:cs="Times New Roman"/>
          <w:color w:val="FF0000"/>
          <w:sz w:val="24"/>
          <w:szCs w:val="24"/>
          <w:lang w:val="fr-FR"/>
        </w:rPr>
        <w:t xml:space="preserve"> de </w:t>
      </w:r>
      <w:proofErr w:type="spellStart"/>
      <w:r w:rsidRPr="00A105F0">
        <w:rPr>
          <w:rFonts w:ascii="Times New Roman" w:hAnsi="Times New Roman" w:cs="Times New Roman"/>
          <w:color w:val="FF0000"/>
          <w:sz w:val="24"/>
          <w:szCs w:val="24"/>
          <w:lang w:val="fr-FR"/>
        </w:rPr>
        <w:t>Andalucía</w:t>
      </w:r>
      <w:proofErr w:type="spellEnd"/>
      <w:r w:rsidRPr="00A105F0">
        <w:rPr>
          <w:rFonts w:ascii="Times New Roman" w:hAnsi="Times New Roman" w:cs="Times New Roman"/>
          <w:color w:val="FF0000"/>
          <w:sz w:val="24"/>
          <w:szCs w:val="24"/>
          <w:lang w:val="fr-FR"/>
        </w:rPr>
        <w:t xml:space="preserve"> (2022). </w:t>
      </w:r>
      <w:proofErr w:type="spellStart"/>
      <w:r w:rsidRPr="00A105F0">
        <w:rPr>
          <w:rFonts w:ascii="Times New Roman" w:hAnsi="Times New Roman" w:cs="Times New Roman"/>
          <w:color w:val="FF0000"/>
          <w:sz w:val="24"/>
          <w:szCs w:val="24"/>
          <w:lang w:val="fr-FR"/>
        </w:rPr>
        <w:t>Anuario</w:t>
      </w:r>
      <w:proofErr w:type="spellEnd"/>
      <w:r w:rsidRPr="00A105F0">
        <w:rPr>
          <w:rFonts w:ascii="Times New Roman" w:hAnsi="Times New Roman" w:cs="Times New Roman"/>
          <w:color w:val="FF0000"/>
          <w:sz w:val="24"/>
          <w:szCs w:val="24"/>
          <w:lang w:val="fr-FR"/>
        </w:rPr>
        <w:t xml:space="preserve"> de </w:t>
      </w:r>
      <w:proofErr w:type="spellStart"/>
      <w:r w:rsidRPr="00A105F0">
        <w:rPr>
          <w:rFonts w:ascii="Times New Roman" w:hAnsi="Times New Roman" w:cs="Times New Roman"/>
          <w:color w:val="FF0000"/>
          <w:sz w:val="24"/>
          <w:szCs w:val="24"/>
          <w:lang w:val="fr-FR"/>
        </w:rPr>
        <w:t>estadísticas</w:t>
      </w:r>
      <w:proofErr w:type="spellEnd"/>
      <w:r w:rsidRPr="00A105F0">
        <w:rPr>
          <w:rFonts w:ascii="Times New Roman" w:hAnsi="Times New Roman" w:cs="Times New Roman"/>
          <w:color w:val="FF0000"/>
          <w:sz w:val="24"/>
          <w:szCs w:val="24"/>
          <w:lang w:val="fr-FR"/>
        </w:rPr>
        <w:t xml:space="preserve"> </w:t>
      </w:r>
      <w:proofErr w:type="spellStart"/>
      <w:r w:rsidRPr="00A105F0">
        <w:rPr>
          <w:rFonts w:ascii="Times New Roman" w:hAnsi="Times New Roman" w:cs="Times New Roman"/>
          <w:color w:val="FF0000"/>
          <w:sz w:val="24"/>
          <w:szCs w:val="24"/>
          <w:lang w:val="fr-FR"/>
        </w:rPr>
        <w:t>agrarias</w:t>
      </w:r>
      <w:proofErr w:type="spellEnd"/>
      <w:r w:rsidRPr="00A105F0">
        <w:rPr>
          <w:rFonts w:ascii="Times New Roman" w:hAnsi="Times New Roman" w:cs="Times New Roman"/>
          <w:color w:val="FF0000"/>
          <w:sz w:val="24"/>
          <w:szCs w:val="24"/>
          <w:lang w:val="fr-FR"/>
        </w:rPr>
        <w:t xml:space="preserve"> y </w:t>
      </w:r>
      <w:proofErr w:type="spellStart"/>
      <w:r w:rsidRPr="00A105F0">
        <w:rPr>
          <w:rFonts w:ascii="Times New Roman" w:hAnsi="Times New Roman" w:cs="Times New Roman"/>
          <w:color w:val="FF0000"/>
          <w:sz w:val="24"/>
          <w:szCs w:val="24"/>
          <w:lang w:val="fr-FR"/>
        </w:rPr>
        <w:t>pesqueras</w:t>
      </w:r>
      <w:proofErr w:type="spellEnd"/>
      <w:r w:rsidRPr="00A105F0">
        <w:rPr>
          <w:rFonts w:ascii="Times New Roman" w:hAnsi="Times New Roman" w:cs="Times New Roman"/>
          <w:color w:val="FF0000"/>
          <w:sz w:val="24"/>
          <w:szCs w:val="24"/>
          <w:lang w:val="fr-FR"/>
        </w:rPr>
        <w:t xml:space="preserve">. </w:t>
      </w:r>
      <w:proofErr w:type="spellStart"/>
      <w:r w:rsidRPr="00A105F0">
        <w:rPr>
          <w:rFonts w:ascii="Times New Roman" w:hAnsi="Times New Roman" w:cs="Times New Roman"/>
          <w:color w:val="FF0000"/>
          <w:sz w:val="24"/>
          <w:szCs w:val="24"/>
        </w:rPr>
        <w:t>Consejería</w:t>
      </w:r>
      <w:proofErr w:type="spellEnd"/>
      <w:r w:rsidRPr="00A105F0">
        <w:rPr>
          <w:rFonts w:ascii="Times New Roman" w:hAnsi="Times New Roman" w:cs="Times New Roman"/>
          <w:color w:val="FF0000"/>
          <w:sz w:val="24"/>
          <w:szCs w:val="24"/>
        </w:rPr>
        <w:t xml:space="preserve"> de Agricultura, </w:t>
      </w:r>
      <w:proofErr w:type="spellStart"/>
      <w:r w:rsidRPr="00A105F0">
        <w:rPr>
          <w:rFonts w:ascii="Times New Roman" w:hAnsi="Times New Roman" w:cs="Times New Roman"/>
          <w:color w:val="FF0000"/>
          <w:sz w:val="24"/>
          <w:szCs w:val="24"/>
        </w:rPr>
        <w:t>Pesca</w:t>
      </w:r>
      <w:proofErr w:type="spellEnd"/>
      <w:r w:rsidRPr="00A105F0">
        <w:rPr>
          <w:rFonts w:ascii="Times New Roman" w:hAnsi="Times New Roman" w:cs="Times New Roman"/>
          <w:color w:val="FF0000"/>
          <w:sz w:val="24"/>
          <w:szCs w:val="24"/>
        </w:rPr>
        <w:t>, Agua y Desarrollo Rural.'</w:t>
      </w:r>
      <w:r w:rsidRPr="005B6FBE">
        <w:rPr>
          <w:rFonts w:ascii="Times New Roman" w:hAnsi="Times New Roman" w:cs="Times New Roman"/>
          <w:sz w:val="24"/>
          <w:szCs w:val="24"/>
        </w:rPr>
        <w:t>),</w:t>
      </w:r>
    </w:p>
    <w:p w14:paraId="4BC990E4" w14:textId="77777777" w:rsidR="00DB6DD1" w:rsidRPr="00DB6DD1" w:rsidRDefault="00DB6DD1" w:rsidP="00DB6DD1">
      <w:pPr>
        <w:spacing w:line="360" w:lineRule="auto"/>
        <w:jc w:val="both"/>
        <w:rPr>
          <w:rFonts w:ascii="Times New Roman" w:hAnsi="Times New Roman" w:cs="Times New Roman"/>
          <w:sz w:val="24"/>
          <w:szCs w:val="24"/>
        </w:rPr>
      </w:pPr>
      <w:proofErr w:type="gramStart"/>
      <w:r w:rsidRPr="00DB6DD1">
        <w:rPr>
          <w:rFonts w:ascii="Times New Roman" w:hAnsi="Times New Roman" w:cs="Times New Roman"/>
          <w:sz w:val="24"/>
          <w:szCs w:val="24"/>
        </w:rPr>
        <w:t>body(</w:t>
      </w:r>
      <w:proofErr w:type="gramEnd"/>
      <w:r w:rsidRPr="009C6302">
        <w:rPr>
          <w:rFonts w:ascii="Times New Roman" w:hAnsi="Times New Roman" w:cs="Times New Roman"/>
          <w:color w:val="FF0000"/>
          <w:sz w:val="24"/>
          <w:szCs w:val="24"/>
        </w:rPr>
        <w:t>'Marín-</w:t>
      </w:r>
      <w:proofErr w:type="spellStart"/>
      <w:r w:rsidRPr="009C6302">
        <w:rPr>
          <w:rFonts w:ascii="Times New Roman" w:hAnsi="Times New Roman" w:cs="Times New Roman"/>
          <w:color w:val="FF0000"/>
          <w:sz w:val="24"/>
          <w:szCs w:val="24"/>
        </w:rPr>
        <w:t>Membrive</w:t>
      </w:r>
      <w:proofErr w:type="spellEnd"/>
      <w:r w:rsidRPr="009C6302">
        <w:rPr>
          <w:rFonts w:ascii="Times New Roman" w:hAnsi="Times New Roman" w:cs="Times New Roman"/>
          <w:color w:val="FF0000"/>
          <w:sz w:val="24"/>
          <w:szCs w:val="24"/>
        </w:rPr>
        <w:t>, P., López-Marín, J., González, A., &amp; García-Alonso, Y. (2021). Agrivoltaic systems in Almería, Spain: Actual state and future perspectives. Agronomy, 11(4), 593.')</w:t>
      </w:r>
      <w:r w:rsidRPr="00DB6DD1">
        <w:rPr>
          <w:rFonts w:ascii="Times New Roman" w:hAnsi="Times New Roman" w:cs="Times New Roman"/>
          <w:sz w:val="24"/>
          <w:szCs w:val="24"/>
        </w:rPr>
        <w:t>,</w:t>
      </w:r>
    </w:p>
    <w:p w14:paraId="5C8B5A2D" w14:textId="77777777" w:rsidR="001F2C9C" w:rsidRDefault="001F2C9C">
      <w:pPr>
        <w:rPr>
          <w:rFonts w:ascii="Times New Roman" w:hAnsi="Times New Roman" w:cs="Times New Roman"/>
          <w:sz w:val="24"/>
          <w:szCs w:val="24"/>
        </w:rPr>
      </w:pPr>
      <w:r>
        <w:rPr>
          <w:rFonts w:ascii="Times New Roman" w:hAnsi="Times New Roman" w:cs="Times New Roman"/>
          <w:sz w:val="24"/>
          <w:szCs w:val="24"/>
        </w:rPr>
        <w:br w:type="page"/>
      </w:r>
    </w:p>
    <w:p w14:paraId="6850AB15" w14:textId="77777777" w:rsidR="00DB6DD1" w:rsidRDefault="00DB6DD1" w:rsidP="00DB6DD1">
      <w:pPr>
        <w:spacing w:line="360" w:lineRule="auto"/>
        <w:jc w:val="both"/>
        <w:rPr>
          <w:rFonts w:ascii="Times New Roman" w:hAnsi="Times New Roman" w:cs="Times New Roman"/>
          <w:sz w:val="24"/>
          <w:szCs w:val="24"/>
        </w:rPr>
      </w:pPr>
    </w:p>
    <w:p w14:paraId="5A1D5252" w14:textId="77777777" w:rsidR="00F539DC" w:rsidRPr="00F539DC" w:rsidRDefault="001F2C9C" w:rsidP="00F539DC">
      <w:pPr>
        <w:pStyle w:val="Bibliography"/>
      </w:pPr>
      <w:r>
        <w:rPr>
          <w:rFonts w:ascii="Times New Roman" w:hAnsi="Times New Roman" w:cs="Times New Roman"/>
        </w:rPr>
        <w:fldChar w:fldCharType="begin"/>
      </w:r>
      <w:r w:rsidR="000033CA">
        <w:rPr>
          <w:rFonts w:ascii="Times New Roman" w:hAnsi="Times New Roman" w:cs="Times New Roman"/>
        </w:rPr>
        <w:instrText xml:space="preserve"> ADDIN ZOTERO_BIBL {"uncited":[],"omitted":[],"custom":[]} CSL_BIBLIOGRAPHY </w:instrText>
      </w:r>
      <w:r>
        <w:rPr>
          <w:rFonts w:ascii="Times New Roman" w:hAnsi="Times New Roman" w:cs="Times New Roman"/>
        </w:rPr>
        <w:fldChar w:fldCharType="separate"/>
      </w:r>
      <w:r w:rsidR="00F539DC" w:rsidRPr="00F539DC">
        <w:t xml:space="preserve">Allen, R. G., Pereira, L. S., Raes, D., &amp; Smith, M. (n.d.). </w:t>
      </w:r>
      <w:r w:rsidR="00F539DC" w:rsidRPr="00F539DC">
        <w:rPr>
          <w:i/>
          <w:iCs/>
        </w:rPr>
        <w:t>Crop evapotranspiration—Guidelines for computing crop water requirements—FAO Irrigation and drainage paper 56</w:t>
      </w:r>
      <w:r w:rsidR="00F539DC" w:rsidRPr="00F539DC">
        <w:t>.</w:t>
      </w:r>
    </w:p>
    <w:p w14:paraId="31EBEE4E" w14:textId="77777777" w:rsidR="00F539DC" w:rsidRPr="00F539DC" w:rsidRDefault="00F539DC" w:rsidP="00F539DC">
      <w:pPr>
        <w:pStyle w:val="Bibliography"/>
      </w:pPr>
      <w:r w:rsidRPr="00F539DC">
        <w:t xml:space="preserve">Amaducci, S., Yin, X., &amp; Colauzzi, M. (2018). Agrivoltaic systems to optimise land use for electric energy production. </w:t>
      </w:r>
      <w:r w:rsidRPr="00F539DC">
        <w:rPr>
          <w:i/>
          <w:iCs/>
        </w:rPr>
        <w:t>Applied Energy</w:t>
      </w:r>
      <w:r w:rsidRPr="00F539DC">
        <w:t xml:space="preserve">, </w:t>
      </w:r>
      <w:r w:rsidRPr="00F539DC">
        <w:rPr>
          <w:i/>
          <w:iCs/>
        </w:rPr>
        <w:t>220</w:t>
      </w:r>
      <w:r w:rsidRPr="00F539DC">
        <w:t>, 545–561. https://doi.org/10.1016/j.apenergy.2018.03.081</w:t>
      </w:r>
    </w:p>
    <w:p w14:paraId="4321E9FF" w14:textId="77777777" w:rsidR="00F539DC" w:rsidRPr="00F539DC" w:rsidRDefault="00F539DC" w:rsidP="00F539DC">
      <w:pPr>
        <w:pStyle w:val="Bibliography"/>
      </w:pPr>
      <w:r w:rsidRPr="00F539DC">
        <w:t xml:space="preserve">Angelidaki, I., Alves, M., Bolzonella, D., Borzacconi, L., Campos, J. L., Guwy, A. J., Kalyuzhnyi, S., Jenicek, P., &amp; Van Lier, J. B. (2009). Defining the biomethane potential (BMP) of solid organic wastes and energy crops: A proposed protocol for batch assays. </w:t>
      </w:r>
      <w:r w:rsidRPr="00F539DC">
        <w:rPr>
          <w:i/>
          <w:iCs/>
        </w:rPr>
        <w:t>Water Science and Technology</w:t>
      </w:r>
      <w:r w:rsidRPr="00F539DC">
        <w:t xml:space="preserve">, </w:t>
      </w:r>
      <w:r w:rsidRPr="00F539DC">
        <w:rPr>
          <w:i/>
          <w:iCs/>
        </w:rPr>
        <w:t>59</w:t>
      </w:r>
      <w:r w:rsidRPr="00F539DC">
        <w:t>(5), 927–934. https://doi.org/10.2166/wst.2009.040</w:t>
      </w:r>
    </w:p>
    <w:p w14:paraId="071AB64E" w14:textId="77777777" w:rsidR="00F539DC" w:rsidRPr="00F539DC" w:rsidRDefault="00F539DC" w:rsidP="00F539DC">
      <w:pPr>
        <w:pStyle w:val="Bibliography"/>
      </w:pPr>
      <w:r w:rsidRPr="00F539DC">
        <w:t xml:space="preserve">Barron-Gafford, G. A., Pavao-Zuckerman, M. A., Minor, R. L., Sutter, L. F., Barnett-Moreno, I., Blackett, D. T., Thompson, M., Dimond, K., Gerlak, A. K., Nabhan, G. P., &amp; Macknick, J. E. (2019). Agrivoltaics provide mutual benefits across the food–energy–water nexus in drylands. </w:t>
      </w:r>
      <w:r w:rsidRPr="00F539DC">
        <w:rPr>
          <w:i/>
          <w:iCs/>
        </w:rPr>
        <w:t>Nature Sustainability</w:t>
      </w:r>
      <w:r w:rsidRPr="00F539DC">
        <w:t xml:space="preserve">, </w:t>
      </w:r>
      <w:r w:rsidRPr="00F539DC">
        <w:rPr>
          <w:i/>
          <w:iCs/>
        </w:rPr>
        <w:t>2</w:t>
      </w:r>
      <w:r w:rsidRPr="00F539DC">
        <w:t>(9), 848–855. https://doi.org/10.1038/s41893-019-0364-5</w:t>
      </w:r>
    </w:p>
    <w:p w14:paraId="26D07992" w14:textId="77777777" w:rsidR="00F539DC" w:rsidRPr="00F539DC" w:rsidRDefault="00F539DC" w:rsidP="00F539DC">
      <w:pPr>
        <w:pStyle w:val="Bibliography"/>
      </w:pPr>
      <w:r w:rsidRPr="00F539DC">
        <w:t xml:space="preserve">Chalgynbayeva, A., Gabnai, Z., Lengyel, P., Pestisha, A., &amp; Bai, A. (2023). Worldwide Research Trends in Agrivoltaic Systems—A Bibliometric Review. </w:t>
      </w:r>
      <w:r w:rsidRPr="00F539DC">
        <w:rPr>
          <w:i/>
          <w:iCs/>
        </w:rPr>
        <w:t>Energies</w:t>
      </w:r>
      <w:r w:rsidRPr="00F539DC">
        <w:t xml:space="preserve">, </w:t>
      </w:r>
      <w:r w:rsidRPr="00F539DC">
        <w:rPr>
          <w:i/>
          <w:iCs/>
        </w:rPr>
        <w:t>16</w:t>
      </w:r>
      <w:r w:rsidRPr="00F539DC">
        <w:t>(2), 611. https://doi.org/10.3390/en16020611</w:t>
      </w:r>
    </w:p>
    <w:p w14:paraId="26D4A876" w14:textId="77777777" w:rsidR="00F539DC" w:rsidRPr="00F539DC" w:rsidRDefault="00F539DC" w:rsidP="00F539DC">
      <w:pPr>
        <w:pStyle w:val="Bibliography"/>
      </w:pPr>
      <w:r w:rsidRPr="00F539DC">
        <w:t xml:space="preserve">Dinesh, H., &amp; Pearce, J. M. (2016). The potential of agrivoltaic systems. </w:t>
      </w:r>
      <w:r w:rsidRPr="00F539DC">
        <w:rPr>
          <w:i/>
          <w:iCs/>
        </w:rPr>
        <w:t>Renewable and Sustainable Energy Reviews</w:t>
      </w:r>
      <w:r w:rsidRPr="00F539DC">
        <w:t xml:space="preserve">, </w:t>
      </w:r>
      <w:r w:rsidRPr="00F539DC">
        <w:rPr>
          <w:i/>
          <w:iCs/>
        </w:rPr>
        <w:t>54</w:t>
      </w:r>
      <w:r w:rsidRPr="00F539DC">
        <w:t>, 299–308. https://doi.org/10.1016/j.rser.2015.10.024</w:t>
      </w:r>
    </w:p>
    <w:p w14:paraId="474F8937" w14:textId="77777777" w:rsidR="00F539DC" w:rsidRPr="00F539DC" w:rsidRDefault="00F539DC" w:rsidP="00F539DC">
      <w:pPr>
        <w:pStyle w:val="Bibliography"/>
        <w:rPr>
          <w:lang w:val="fr-FR"/>
        </w:rPr>
      </w:pPr>
      <w:r w:rsidRPr="00F539DC">
        <w:rPr>
          <w:lang w:val="fr-FR"/>
        </w:rPr>
        <w:t xml:space="preserve">Dupraz, C., Marrou, H., Talbot, G., Dufour, L., Nogier, A., &amp; Ferard, Y. (2011). </w:t>
      </w:r>
      <w:r w:rsidRPr="00F539DC">
        <w:t xml:space="preserve">Combining solar photovoltaic panels and food crops for optimising land use: Towards new agrivoltaic schemes. </w:t>
      </w:r>
      <w:r w:rsidRPr="00F539DC">
        <w:rPr>
          <w:i/>
          <w:iCs/>
          <w:lang w:val="fr-FR"/>
        </w:rPr>
        <w:t>Renewable Energy</w:t>
      </w:r>
      <w:r w:rsidRPr="00F539DC">
        <w:rPr>
          <w:lang w:val="fr-FR"/>
        </w:rPr>
        <w:t xml:space="preserve">, </w:t>
      </w:r>
      <w:r w:rsidRPr="00F539DC">
        <w:rPr>
          <w:i/>
          <w:iCs/>
          <w:lang w:val="fr-FR"/>
        </w:rPr>
        <w:t>36</w:t>
      </w:r>
      <w:r w:rsidRPr="00F539DC">
        <w:rPr>
          <w:lang w:val="fr-FR"/>
        </w:rPr>
        <w:t>(10), 2725–2732. https://doi.org/10.1016/j.renene.2011.03.005</w:t>
      </w:r>
    </w:p>
    <w:p w14:paraId="514FCE5C" w14:textId="77777777" w:rsidR="00F539DC" w:rsidRPr="00F539DC" w:rsidRDefault="00F539DC" w:rsidP="00F539DC">
      <w:pPr>
        <w:pStyle w:val="Bibliography"/>
      </w:pPr>
      <w:r w:rsidRPr="00F539DC">
        <w:rPr>
          <w:lang w:val="fr-FR"/>
        </w:rPr>
        <w:t xml:space="preserve">Elamri, Y., Cheviron, B., Lopez, J.-M., Dejean, C., &amp; Belaud, G. (2018). </w:t>
      </w:r>
      <w:r w:rsidRPr="00F539DC">
        <w:t xml:space="preserve">Water budget and crop modelling for agrivoltaic systems: Application to irrigated lettuces. </w:t>
      </w:r>
      <w:r w:rsidRPr="00F539DC">
        <w:rPr>
          <w:i/>
          <w:iCs/>
        </w:rPr>
        <w:t>Agricultural Water Management</w:t>
      </w:r>
      <w:r w:rsidRPr="00F539DC">
        <w:t xml:space="preserve">, </w:t>
      </w:r>
      <w:r w:rsidRPr="00F539DC">
        <w:rPr>
          <w:i/>
          <w:iCs/>
        </w:rPr>
        <w:t>208</w:t>
      </w:r>
      <w:r w:rsidRPr="00F539DC">
        <w:t>, 440–453. https://doi.org/10.1016/j.agwat.2018.07.001</w:t>
      </w:r>
    </w:p>
    <w:p w14:paraId="7DAC6EEB" w14:textId="77777777" w:rsidR="00F539DC" w:rsidRPr="00F539DC" w:rsidRDefault="00F539DC" w:rsidP="00F539DC">
      <w:pPr>
        <w:pStyle w:val="Bibliography"/>
      </w:pPr>
      <w:r w:rsidRPr="00F539DC">
        <w:lastRenderedPageBreak/>
        <w:t xml:space="preserve">Faiman, D. (2008). Assessing the outdoor operating temperature of photovoltaic modules. </w:t>
      </w:r>
      <w:r w:rsidRPr="00F539DC">
        <w:rPr>
          <w:i/>
          <w:iCs/>
        </w:rPr>
        <w:t>Progress in Photovoltaics: Research and Applications</w:t>
      </w:r>
      <w:r w:rsidRPr="00F539DC">
        <w:t xml:space="preserve">, </w:t>
      </w:r>
      <w:r w:rsidRPr="00F539DC">
        <w:rPr>
          <w:i/>
          <w:iCs/>
        </w:rPr>
        <w:t>16</w:t>
      </w:r>
      <w:r w:rsidRPr="00F539DC">
        <w:t>(4), 307–315. https://doi.org/10.1002/pip.813</w:t>
      </w:r>
    </w:p>
    <w:p w14:paraId="5B2822DB" w14:textId="77777777" w:rsidR="00F539DC" w:rsidRPr="00F539DC" w:rsidRDefault="00F539DC" w:rsidP="00F539DC">
      <w:pPr>
        <w:pStyle w:val="Bibliography"/>
      </w:pPr>
      <w:r w:rsidRPr="00F539DC">
        <w:t xml:space="preserve">FAO. (2017). </w:t>
      </w:r>
      <w:r w:rsidRPr="00F539DC">
        <w:rPr>
          <w:i/>
          <w:iCs/>
        </w:rPr>
        <w:t>The future of food and agriculture: Trends and challenges</w:t>
      </w:r>
      <w:r w:rsidRPr="00F539DC">
        <w:t>. Food and Agriculture Organization of the United Nations.</w:t>
      </w:r>
    </w:p>
    <w:p w14:paraId="2DCE2492" w14:textId="77777777" w:rsidR="00F539DC" w:rsidRPr="00F539DC" w:rsidRDefault="00F539DC" w:rsidP="00F539DC">
      <w:pPr>
        <w:pStyle w:val="Bibliography"/>
      </w:pPr>
      <w:r w:rsidRPr="00F539DC">
        <w:t xml:space="preserve">Feng, L., Li, Y., Chen, C., Liu, X., Xiao, X., Ma, X., Zhang, R., He, Y., &amp; Liu, G. (2013). Biochemical Methane Potential (BMP) of Vinegar Residue and the Influence of Feed to Inoculum Ratios on Biogas Production. </w:t>
      </w:r>
      <w:r w:rsidRPr="00F539DC">
        <w:rPr>
          <w:i/>
          <w:iCs/>
        </w:rPr>
        <w:t>BioResources</w:t>
      </w:r>
      <w:r w:rsidRPr="00F539DC">
        <w:t xml:space="preserve">, </w:t>
      </w:r>
      <w:r w:rsidRPr="00F539DC">
        <w:rPr>
          <w:i/>
          <w:iCs/>
        </w:rPr>
        <w:t>8</w:t>
      </w:r>
      <w:r w:rsidRPr="00F539DC">
        <w:t>(2), 2487–2498. https://doi.org/10.15376/biores.8.2.2487-2498</w:t>
      </w:r>
    </w:p>
    <w:p w14:paraId="585DB5ED" w14:textId="77777777" w:rsidR="00F539DC" w:rsidRPr="00F539DC" w:rsidRDefault="00F539DC" w:rsidP="00F539DC">
      <w:pPr>
        <w:pStyle w:val="Bibliography"/>
      </w:pPr>
      <w:r w:rsidRPr="00F539DC">
        <w:rPr>
          <w:i/>
          <w:iCs/>
        </w:rPr>
        <w:t>Fertilizer use by crop</w:t>
      </w:r>
      <w:r w:rsidRPr="00F539DC">
        <w:t>. (2006). Food and Agriculture Organization of the United Nations.</w:t>
      </w:r>
    </w:p>
    <w:p w14:paraId="1E192A7A" w14:textId="77777777" w:rsidR="00F539DC" w:rsidRPr="00F539DC" w:rsidRDefault="00F539DC" w:rsidP="00F539DC">
      <w:pPr>
        <w:pStyle w:val="Bibliography"/>
      </w:pPr>
      <w:r w:rsidRPr="00F539DC">
        <w:t xml:space="preserve">Goetzberger, A., &amp; Zastrow, A. (1982). On the Coexistence of Solar-Energy Conversion and Plant Cultivation. </w:t>
      </w:r>
      <w:r w:rsidRPr="00F539DC">
        <w:rPr>
          <w:i/>
          <w:iCs/>
        </w:rPr>
        <w:t>International Journal of Solar Energy</w:t>
      </w:r>
      <w:r w:rsidRPr="00F539DC">
        <w:t xml:space="preserve">, </w:t>
      </w:r>
      <w:r w:rsidRPr="00F539DC">
        <w:rPr>
          <w:i/>
          <w:iCs/>
        </w:rPr>
        <w:t>1</w:t>
      </w:r>
      <w:r w:rsidRPr="00F539DC">
        <w:t>(1), 55–69. https://doi.org/10.1080/01425918208909875</w:t>
      </w:r>
    </w:p>
    <w:p w14:paraId="467F5AF1" w14:textId="77777777" w:rsidR="00F539DC" w:rsidRPr="00F539DC" w:rsidRDefault="00F539DC" w:rsidP="00F539DC">
      <w:pPr>
        <w:pStyle w:val="Bibliography"/>
      </w:pPr>
      <w:r w:rsidRPr="00F539DC">
        <w:t xml:space="preserve">Gorjian, S., Bousi, E., Özdemir, Ö. E., Trommsdorff, M., Kumar, N. M., Anand, A., Kant, K., &amp; Chopra, S. S. (2022). Progress and challenges of crop production and electricity generation in agrivoltaic systems using semi-transparent photovoltaic technology. </w:t>
      </w:r>
      <w:r w:rsidRPr="00F539DC">
        <w:rPr>
          <w:i/>
          <w:iCs/>
        </w:rPr>
        <w:t>Renewable and Sustainable Energy Reviews</w:t>
      </w:r>
      <w:r w:rsidRPr="00F539DC">
        <w:t xml:space="preserve">, </w:t>
      </w:r>
      <w:r w:rsidRPr="00F539DC">
        <w:rPr>
          <w:i/>
          <w:iCs/>
        </w:rPr>
        <w:t>158</w:t>
      </w:r>
      <w:r w:rsidRPr="00F539DC">
        <w:t>, 112126. https://doi.org/10.1016/j.rser.2022.112126</w:t>
      </w:r>
    </w:p>
    <w:p w14:paraId="1ED0BA7A" w14:textId="77777777" w:rsidR="00F539DC" w:rsidRPr="00F539DC" w:rsidRDefault="00F539DC" w:rsidP="00F539DC">
      <w:pPr>
        <w:pStyle w:val="Bibliography"/>
      </w:pPr>
      <w:r w:rsidRPr="00F539DC">
        <w:t xml:space="preserve">Hassanpour Adeh, E., Selker, J. S., &amp; Higgins, C. W. (2018). Remarkable agrivoltaic influence on soil moisture, micrometeorology and water-use efficiency. </w:t>
      </w:r>
      <w:r w:rsidRPr="00F539DC">
        <w:rPr>
          <w:i/>
          <w:iCs/>
        </w:rPr>
        <w:t>PLOS ONE</w:t>
      </w:r>
      <w:r w:rsidRPr="00F539DC">
        <w:t xml:space="preserve">, </w:t>
      </w:r>
      <w:r w:rsidRPr="00F539DC">
        <w:rPr>
          <w:i/>
          <w:iCs/>
        </w:rPr>
        <w:t>13</w:t>
      </w:r>
      <w:r w:rsidRPr="00F539DC">
        <w:t>(11), e0203256. https://doi.org/10.1371/journal.pone.0203256</w:t>
      </w:r>
    </w:p>
    <w:p w14:paraId="488E9583" w14:textId="77777777" w:rsidR="00F539DC" w:rsidRPr="00F539DC" w:rsidRDefault="00F539DC" w:rsidP="00F539DC">
      <w:pPr>
        <w:pStyle w:val="Bibliography"/>
      </w:pPr>
      <w:r w:rsidRPr="00F539DC">
        <w:t xml:space="preserve">Huld, T., Müller, R., &amp; Gambardella, A. (2012). A new solar radiation database for estimating PV performance in Europe and Africa. </w:t>
      </w:r>
      <w:r w:rsidRPr="00F539DC">
        <w:rPr>
          <w:i/>
          <w:iCs/>
        </w:rPr>
        <w:t>Solar Energy</w:t>
      </w:r>
      <w:r w:rsidRPr="00F539DC">
        <w:t xml:space="preserve">, </w:t>
      </w:r>
      <w:r w:rsidRPr="00F539DC">
        <w:rPr>
          <w:i/>
          <w:iCs/>
        </w:rPr>
        <w:t>86</w:t>
      </w:r>
      <w:r w:rsidRPr="00F539DC">
        <w:t>(6), 1803–1815. https://doi.org/10.1016/j.solener.2012.03.006</w:t>
      </w:r>
    </w:p>
    <w:p w14:paraId="210AAF76" w14:textId="77777777" w:rsidR="00F539DC" w:rsidRPr="00F539DC" w:rsidRDefault="00F539DC" w:rsidP="00F539DC">
      <w:pPr>
        <w:pStyle w:val="Bibliography"/>
      </w:pPr>
      <w:r w:rsidRPr="00F539DC">
        <w:t xml:space="preserve">Imran, H., Riaz, M. H., &amp; Butt, N. Z. (2020). Optimization of Single-Axis Tracking of Photovoltaic Modules for Agrivoltaic Systems. </w:t>
      </w:r>
      <w:r w:rsidRPr="00F539DC">
        <w:rPr>
          <w:i/>
          <w:iCs/>
        </w:rPr>
        <w:t>2020 47th IEEE Photovoltaic Specialists Conference (PVSC)</w:t>
      </w:r>
      <w:r w:rsidRPr="00F539DC">
        <w:t>, 1353–1356. https://doi.org/10.1109/PVSC45281.2020.9300682</w:t>
      </w:r>
    </w:p>
    <w:p w14:paraId="31FA18C9" w14:textId="77777777" w:rsidR="00F539DC" w:rsidRPr="00F539DC" w:rsidRDefault="00F539DC" w:rsidP="00F539DC">
      <w:pPr>
        <w:pStyle w:val="Bibliography"/>
      </w:pPr>
      <w:r w:rsidRPr="00F539DC">
        <w:rPr>
          <w:lang w:val="fr-FR"/>
        </w:rPr>
        <w:lastRenderedPageBreak/>
        <w:t xml:space="preserve">Jacovides, C. P., Tymvios, F. S., Assimakopoulos, V. D., &amp; Kaltsounides, N. A. (2006). </w:t>
      </w:r>
      <w:r w:rsidRPr="00F539DC">
        <w:t xml:space="preserve">Comparative study of various correlations in estimating hourly diffuse fraction of global solar radiation. </w:t>
      </w:r>
      <w:r w:rsidRPr="00F539DC">
        <w:rPr>
          <w:i/>
          <w:iCs/>
        </w:rPr>
        <w:t>Renewable Energy</w:t>
      </w:r>
      <w:r w:rsidRPr="00F539DC">
        <w:t xml:space="preserve">, </w:t>
      </w:r>
      <w:r w:rsidRPr="00F539DC">
        <w:rPr>
          <w:i/>
          <w:iCs/>
        </w:rPr>
        <w:t>31</w:t>
      </w:r>
      <w:r w:rsidRPr="00F539DC">
        <w:t>(15), 2492–2504. https://doi.org/10.1016/j.renene.2005.11.009</w:t>
      </w:r>
    </w:p>
    <w:p w14:paraId="6295A578" w14:textId="77777777" w:rsidR="00F539DC" w:rsidRPr="00F539DC" w:rsidRDefault="00F539DC" w:rsidP="00F539DC">
      <w:pPr>
        <w:pStyle w:val="Bibliography"/>
      </w:pPr>
      <w:r w:rsidRPr="00F539DC">
        <w:t xml:space="preserve">Jordan, D. C., &amp; Kurtz, S. R. (2013). Photovoltaic Degradation Rates—An Analytical Review. </w:t>
      </w:r>
      <w:r w:rsidRPr="00F539DC">
        <w:rPr>
          <w:i/>
          <w:iCs/>
        </w:rPr>
        <w:t>Progress in Photovoltaics: Research and Applications</w:t>
      </w:r>
      <w:r w:rsidRPr="00F539DC">
        <w:t xml:space="preserve">, </w:t>
      </w:r>
      <w:r w:rsidRPr="00F539DC">
        <w:rPr>
          <w:i/>
          <w:iCs/>
        </w:rPr>
        <w:t>21</w:t>
      </w:r>
      <w:r w:rsidRPr="00F539DC">
        <w:t>(1), 12–29. https://doi.org/10.1002/pip.1182</w:t>
      </w:r>
    </w:p>
    <w:p w14:paraId="21F9CD41" w14:textId="77777777" w:rsidR="00F539DC" w:rsidRPr="00F539DC" w:rsidRDefault="00F539DC" w:rsidP="00F539DC">
      <w:pPr>
        <w:pStyle w:val="Bibliography"/>
      </w:pPr>
      <w:r w:rsidRPr="00F539DC">
        <w:rPr>
          <w:i/>
          <w:iCs/>
        </w:rPr>
        <w:t>JRC Photovoltaic Geographical Information System (PVGIS)—European Commission</w:t>
      </w:r>
      <w:r w:rsidRPr="00F539DC">
        <w:t>. (n.d.). Retrieved April 10, 2026, from https://re.jrc.ec.europa.eu/pvg_tools/en/</w:t>
      </w:r>
    </w:p>
    <w:p w14:paraId="0743F63B" w14:textId="77777777" w:rsidR="00F539DC" w:rsidRPr="00F539DC" w:rsidRDefault="00F539DC" w:rsidP="00F539DC">
      <w:pPr>
        <w:pStyle w:val="Bibliography"/>
      </w:pPr>
      <w:r w:rsidRPr="00F539DC">
        <w:rPr>
          <w:lang w:val="fr-FR"/>
        </w:rPr>
        <w:t xml:space="preserve">Lallement, A., Peyrelasse, C., Lagnet, C., Barakat, A., Schraauwers, B., Maunas, S., &amp; Monlau, F. (2023). </w:t>
      </w:r>
      <w:r w:rsidRPr="00F539DC">
        <w:t xml:space="preserve">A Detailed Database of the Chemical Properties and Methane Potential of Biomasses Covering a Large Range of Common Agricultural Biogas Plant Feedstocks. </w:t>
      </w:r>
      <w:r w:rsidRPr="00F539DC">
        <w:rPr>
          <w:i/>
          <w:iCs/>
        </w:rPr>
        <w:t>Waste</w:t>
      </w:r>
      <w:r w:rsidRPr="00F539DC">
        <w:t xml:space="preserve">, </w:t>
      </w:r>
      <w:r w:rsidRPr="00F539DC">
        <w:rPr>
          <w:i/>
          <w:iCs/>
        </w:rPr>
        <w:t>1</w:t>
      </w:r>
      <w:r w:rsidRPr="00F539DC">
        <w:t>(1), 195–227. https://doi.org/10.3390/waste1010014</w:t>
      </w:r>
    </w:p>
    <w:p w14:paraId="5549F113" w14:textId="77777777" w:rsidR="00F539DC" w:rsidRPr="00F539DC" w:rsidRDefault="00F539DC" w:rsidP="00F539DC">
      <w:pPr>
        <w:pStyle w:val="Bibliography"/>
      </w:pPr>
      <w:r w:rsidRPr="00F539DC">
        <w:t xml:space="preserve">Lindorfer, H., Waltenberger, R., Köllner, K., Braun, R., &amp; Kirchmayr, R. (2008). New data on temperature optimum and temperature changes in energy crop digesters. </w:t>
      </w:r>
      <w:r w:rsidRPr="00F539DC">
        <w:rPr>
          <w:i/>
          <w:iCs/>
        </w:rPr>
        <w:t>Bioresource Technology</w:t>
      </w:r>
      <w:r w:rsidRPr="00F539DC">
        <w:t xml:space="preserve">, </w:t>
      </w:r>
      <w:r w:rsidRPr="00F539DC">
        <w:rPr>
          <w:i/>
          <w:iCs/>
        </w:rPr>
        <w:t>99</w:t>
      </w:r>
      <w:r w:rsidRPr="00F539DC">
        <w:t>(15), 7011–7019. https://doi.org/10.1016/j.biortech.2008.01.034</w:t>
      </w:r>
    </w:p>
    <w:p w14:paraId="10B25639" w14:textId="77777777" w:rsidR="00F539DC" w:rsidRPr="00F539DC" w:rsidRDefault="00F539DC" w:rsidP="00F539DC">
      <w:pPr>
        <w:pStyle w:val="Bibliography"/>
      </w:pPr>
      <w:r w:rsidRPr="00F539DC">
        <w:t xml:space="preserve">Liu, B. Y. H., &amp; Jordan, R. C. (n.d.). </w:t>
      </w:r>
      <w:r w:rsidRPr="00F539DC">
        <w:rPr>
          <w:i/>
          <w:iCs/>
        </w:rPr>
        <w:t>Characteristic Distribution Total Solar Radiation</w:t>
      </w:r>
      <w:r w:rsidRPr="00F539DC">
        <w:t>.</w:t>
      </w:r>
    </w:p>
    <w:p w14:paraId="24A286E6" w14:textId="77777777" w:rsidR="00F539DC" w:rsidRPr="00F539DC" w:rsidRDefault="00F539DC" w:rsidP="00F539DC">
      <w:pPr>
        <w:pStyle w:val="Bibliography"/>
      </w:pPr>
      <w:r w:rsidRPr="00F539DC">
        <w:t xml:space="preserve">Macknick, J., Hartmann, H., Barron-Gafford, G., Beatty, B., Burton, R., Seok-Choi, C., Davis, M., Davis, R., Figueroa, J., Garrett, A., Hain, L., Herbert, S., Janski, J., Kinzer, A., Knapp, A., Lehan, M., Losey, J., Marley, J., MacDonald, J., … Walston, L. (2022). </w:t>
      </w:r>
      <w:r w:rsidRPr="00F539DC">
        <w:rPr>
          <w:i/>
          <w:iCs/>
        </w:rPr>
        <w:t>The 5 Cs of Agrivoltaic Success Factors in the United States: Lessons from the InSPIRE Research Study</w:t>
      </w:r>
      <w:r w:rsidRPr="00F539DC">
        <w:t xml:space="preserve"> (NREL/TP-6A20-83566, 1882930, MainId:84339; p. NREL/TP-6A20-83566, 1882930, MainId:84339). https://doi.org/10.2172/1882930</w:t>
      </w:r>
    </w:p>
    <w:p w14:paraId="0A1DF642" w14:textId="77777777" w:rsidR="00F539DC" w:rsidRPr="00F539DC" w:rsidRDefault="00F539DC" w:rsidP="00F539DC">
      <w:pPr>
        <w:pStyle w:val="Bibliography"/>
      </w:pPr>
      <w:r w:rsidRPr="00F539DC">
        <w:t xml:space="preserve">Marchaim, U. (1992). </w:t>
      </w:r>
      <w:r w:rsidRPr="00F539DC">
        <w:rPr>
          <w:i/>
          <w:iCs/>
        </w:rPr>
        <w:t>Biogas processes for sustainable development</w:t>
      </w:r>
      <w:r w:rsidRPr="00F539DC">
        <w:t>. Food and Agriculture Organization of the United Nations.</w:t>
      </w:r>
    </w:p>
    <w:p w14:paraId="3A7CE724" w14:textId="77777777" w:rsidR="00F539DC" w:rsidRPr="00F539DC" w:rsidRDefault="00F539DC" w:rsidP="00F539DC">
      <w:pPr>
        <w:pStyle w:val="Bibliography"/>
      </w:pPr>
      <w:r w:rsidRPr="00F539DC">
        <w:lastRenderedPageBreak/>
        <w:t xml:space="preserve">Marrou, H., Guilioni, L., Dufour, L., Dupraz, C., &amp; Wery, J. (2013). Microclimate under agrivoltaic systems: Is crop growth rate affected in the partial shade of solar panels? </w:t>
      </w:r>
      <w:r w:rsidRPr="00F539DC">
        <w:rPr>
          <w:i/>
          <w:iCs/>
        </w:rPr>
        <w:t>Agricultural and Forest Meteorology</w:t>
      </w:r>
      <w:r w:rsidRPr="00F539DC">
        <w:t xml:space="preserve">, </w:t>
      </w:r>
      <w:r w:rsidRPr="00F539DC">
        <w:rPr>
          <w:i/>
          <w:iCs/>
        </w:rPr>
        <w:t>177</w:t>
      </w:r>
      <w:r w:rsidRPr="00F539DC">
        <w:t>, 117–132. https://doi.org/10.1016/j.agrformet.2013.04.012</w:t>
      </w:r>
    </w:p>
    <w:p w14:paraId="64BC2D83" w14:textId="77777777" w:rsidR="00F539DC" w:rsidRPr="00F539DC" w:rsidRDefault="00F539DC" w:rsidP="00F539DC">
      <w:pPr>
        <w:pStyle w:val="Bibliography"/>
      </w:pPr>
      <w:r w:rsidRPr="00F539DC">
        <w:t xml:space="preserve">Mazzeo, D., Di Zio, A., Pesenti, C., &amp; Leva, S. (2025). </w:t>
      </w:r>
      <w:r w:rsidRPr="00F539DC">
        <w:rPr>
          <w:i/>
          <w:iCs/>
        </w:rPr>
        <w:t>Optimizing Agrivoltaic Systems: A Comprehensive Analysis of Design, Crop Productivity and Energy Performance in Open-Field Configurations</w:t>
      </w:r>
      <w:r w:rsidRPr="00F539DC">
        <w:t>. SSRN. https://doi.org/10.2139/ssrn.5082169</w:t>
      </w:r>
    </w:p>
    <w:p w14:paraId="222AE7D6" w14:textId="77777777" w:rsidR="00F539DC" w:rsidRPr="00F539DC" w:rsidRDefault="00F539DC" w:rsidP="00F539DC">
      <w:pPr>
        <w:pStyle w:val="Bibliography"/>
      </w:pPr>
      <w:r w:rsidRPr="00F539DC">
        <w:t xml:space="preserve">McCree, K. J. (1971). The action spectrum, absorptance and quantum yield of photosynthesis in crop plants. </w:t>
      </w:r>
      <w:r w:rsidRPr="00F539DC">
        <w:rPr>
          <w:i/>
          <w:iCs/>
        </w:rPr>
        <w:t>Agricultural Meteorology</w:t>
      </w:r>
      <w:r w:rsidRPr="00F539DC">
        <w:t xml:space="preserve">, </w:t>
      </w:r>
      <w:r w:rsidRPr="00F539DC">
        <w:rPr>
          <w:i/>
          <w:iCs/>
        </w:rPr>
        <w:t>9</w:t>
      </w:r>
      <w:r w:rsidRPr="00F539DC">
        <w:t>, 191–216. https://doi.org/10.1016/0002-1571(71)90022-7</w:t>
      </w:r>
    </w:p>
    <w:p w14:paraId="630CD023" w14:textId="77777777" w:rsidR="00F539DC" w:rsidRPr="00F539DC" w:rsidRDefault="00F539DC" w:rsidP="00F539DC">
      <w:pPr>
        <w:pStyle w:val="Bibliography"/>
      </w:pPr>
      <w:r w:rsidRPr="00F539DC">
        <w:t xml:space="preserve">Mead, R., &amp; Willey, R. W. (1980). The Concept of a ‘Land Equivalent Ratio’ and Advantages in Yields from Intercropping. </w:t>
      </w:r>
      <w:r w:rsidRPr="00F539DC">
        <w:rPr>
          <w:i/>
          <w:iCs/>
        </w:rPr>
        <w:t>Experimental Agriculture</w:t>
      </w:r>
      <w:r w:rsidRPr="00F539DC">
        <w:t xml:space="preserve">, </w:t>
      </w:r>
      <w:r w:rsidRPr="00F539DC">
        <w:rPr>
          <w:i/>
          <w:iCs/>
        </w:rPr>
        <w:t>16</w:t>
      </w:r>
      <w:r w:rsidRPr="00F539DC">
        <w:t>(3), 217–228. https://doi.org/10.1017/S0014479700010978</w:t>
      </w:r>
    </w:p>
    <w:p w14:paraId="7D99AEEB" w14:textId="77777777" w:rsidR="00F539DC" w:rsidRPr="00F539DC" w:rsidRDefault="00F539DC" w:rsidP="00F539DC">
      <w:pPr>
        <w:pStyle w:val="Bibliography"/>
      </w:pPr>
      <w:r w:rsidRPr="00F539DC">
        <w:t xml:space="preserve">Mohammedi, S., Dragonetti, G., Admane, N., &amp; Fouial, A. (2023). The Impact of Agrivoltaic Systems on Tomato Crop: A Case Study in Southern Italy. </w:t>
      </w:r>
      <w:r w:rsidRPr="00F539DC">
        <w:rPr>
          <w:i/>
          <w:iCs/>
        </w:rPr>
        <w:t>Processes</w:t>
      </w:r>
      <w:r w:rsidRPr="00F539DC">
        <w:t xml:space="preserve">, </w:t>
      </w:r>
      <w:r w:rsidRPr="00F539DC">
        <w:rPr>
          <w:i/>
          <w:iCs/>
        </w:rPr>
        <w:t>11</w:t>
      </w:r>
      <w:r w:rsidRPr="00F539DC">
        <w:t>(12), 3370. https://doi.org/10.3390/pr11123370</w:t>
      </w:r>
    </w:p>
    <w:p w14:paraId="0BD87645" w14:textId="77777777" w:rsidR="00F539DC" w:rsidRPr="00F539DC" w:rsidRDefault="00F539DC" w:rsidP="00F539DC">
      <w:pPr>
        <w:pStyle w:val="Bibliography"/>
      </w:pPr>
      <w:r w:rsidRPr="00F539DC">
        <w:t xml:space="preserve">Möller, K., &amp; Müller, T. (2012). Effects of anaerobic digestion on digestate nutrient availability and crop growth: A review. </w:t>
      </w:r>
      <w:r w:rsidRPr="00F539DC">
        <w:rPr>
          <w:i/>
          <w:iCs/>
        </w:rPr>
        <w:t>Engineering in Life Sciences</w:t>
      </w:r>
      <w:r w:rsidRPr="00F539DC">
        <w:t xml:space="preserve">, </w:t>
      </w:r>
      <w:r w:rsidRPr="00F539DC">
        <w:rPr>
          <w:i/>
          <w:iCs/>
        </w:rPr>
        <w:t>12</w:t>
      </w:r>
      <w:r w:rsidRPr="00F539DC">
        <w:t>(3), 242–257. https://doi.org/10.1002/elsc.201100085</w:t>
      </w:r>
    </w:p>
    <w:p w14:paraId="0A3DE327" w14:textId="77777777" w:rsidR="00F539DC" w:rsidRPr="00F539DC" w:rsidRDefault="00F539DC" w:rsidP="00F539DC">
      <w:pPr>
        <w:pStyle w:val="Bibliography"/>
      </w:pPr>
      <w:r w:rsidRPr="00F539DC">
        <w:t xml:space="preserve">Monteith, J. L., &amp; Unsworth, M. H. (2008). </w:t>
      </w:r>
      <w:r w:rsidRPr="00F539DC">
        <w:rPr>
          <w:i/>
          <w:iCs/>
        </w:rPr>
        <w:t>Principles of environmental physics</w:t>
      </w:r>
      <w:r w:rsidRPr="00F539DC">
        <w:t xml:space="preserve"> (3rd ed). Elsevier.</w:t>
      </w:r>
    </w:p>
    <w:p w14:paraId="033FF77C" w14:textId="77777777" w:rsidR="00F539DC" w:rsidRPr="00F539DC" w:rsidRDefault="00F539DC" w:rsidP="00F539DC">
      <w:pPr>
        <w:pStyle w:val="Bibliography"/>
      </w:pPr>
      <w:r w:rsidRPr="00F539DC">
        <w:t xml:space="preserve">Pal, A., &amp; Ilango, G. S. (2024). Design and techno-economic analysis of an off-grid integrated PV-biogas system with a constant temperature digester for a cost-effective rural application. </w:t>
      </w:r>
      <w:r w:rsidRPr="00F539DC">
        <w:rPr>
          <w:i/>
          <w:iCs/>
        </w:rPr>
        <w:t>Energy</w:t>
      </w:r>
      <w:r w:rsidRPr="00F539DC">
        <w:t xml:space="preserve">, </w:t>
      </w:r>
      <w:r w:rsidRPr="00F539DC">
        <w:rPr>
          <w:i/>
          <w:iCs/>
        </w:rPr>
        <w:t>287</w:t>
      </w:r>
      <w:r w:rsidRPr="00F539DC">
        <w:t>, 129671. https://doi.org/10.1016/j.energy.2023.129671</w:t>
      </w:r>
    </w:p>
    <w:p w14:paraId="4805F8E2" w14:textId="77777777" w:rsidR="00F539DC" w:rsidRPr="00F539DC" w:rsidRDefault="00F539DC" w:rsidP="00F539DC">
      <w:pPr>
        <w:pStyle w:val="Bibliography"/>
      </w:pPr>
      <w:r w:rsidRPr="00F539DC">
        <w:t xml:space="preserve">Pilarski, K., &amp; Pilarska, A. A. (2025). Kinetics and Energy Yield in Anaerobic Digestion: Effects of Substrate Composition and Fundamental Operating Conditions. </w:t>
      </w:r>
      <w:r w:rsidRPr="00F539DC">
        <w:rPr>
          <w:i/>
          <w:iCs/>
        </w:rPr>
        <w:t>Energies</w:t>
      </w:r>
      <w:r w:rsidRPr="00F539DC">
        <w:t xml:space="preserve">, </w:t>
      </w:r>
      <w:r w:rsidRPr="00F539DC">
        <w:rPr>
          <w:i/>
          <w:iCs/>
        </w:rPr>
        <w:t>18</w:t>
      </w:r>
      <w:r w:rsidRPr="00F539DC">
        <w:t>(23), 6262. https://doi.org/10.3390/en18236262</w:t>
      </w:r>
    </w:p>
    <w:p w14:paraId="2829CFB8" w14:textId="77777777" w:rsidR="00F539DC" w:rsidRPr="00F539DC" w:rsidRDefault="00F539DC" w:rsidP="00F539DC">
      <w:pPr>
        <w:pStyle w:val="Bibliography"/>
      </w:pPr>
      <w:r w:rsidRPr="00F539DC">
        <w:lastRenderedPageBreak/>
        <w:t xml:space="preserve">Proctor, K., Murthy, G., &amp; Higgins, C. (2020). Agrivoltaics Align with Green New Deal Goals While Supporting Investment in the US’ Rural Economy. </w:t>
      </w:r>
      <w:r w:rsidRPr="00F539DC">
        <w:rPr>
          <w:i/>
          <w:iCs/>
        </w:rPr>
        <w:t>Sustainability</w:t>
      </w:r>
      <w:r w:rsidRPr="00F539DC">
        <w:t xml:space="preserve">, </w:t>
      </w:r>
      <w:r w:rsidRPr="00F539DC">
        <w:rPr>
          <w:i/>
          <w:iCs/>
        </w:rPr>
        <w:t>13</w:t>
      </w:r>
      <w:r w:rsidRPr="00F539DC">
        <w:t>(1), 137. https://doi.org/10.3390/su13010137</w:t>
      </w:r>
    </w:p>
    <w:p w14:paraId="6712999D" w14:textId="77777777" w:rsidR="00F539DC" w:rsidRPr="00F539DC" w:rsidRDefault="00F539DC" w:rsidP="00F539DC">
      <w:pPr>
        <w:pStyle w:val="Bibliography"/>
      </w:pPr>
      <w:r w:rsidRPr="00F539DC">
        <w:t xml:space="preserve">Ravilla, A., Shirkey, G., Chen, J., Jarchow, M., Stary, O., &amp; Celik, I. (2024). Techno-economic and life cycle assessment of agrivoltaic system (AVS) designs. </w:t>
      </w:r>
      <w:r w:rsidRPr="00F539DC">
        <w:rPr>
          <w:i/>
          <w:iCs/>
        </w:rPr>
        <w:t>Science of The Total Environment</w:t>
      </w:r>
      <w:r w:rsidRPr="00F539DC">
        <w:t xml:space="preserve">, </w:t>
      </w:r>
      <w:r w:rsidRPr="00F539DC">
        <w:rPr>
          <w:i/>
          <w:iCs/>
        </w:rPr>
        <w:t>912</w:t>
      </w:r>
      <w:r w:rsidRPr="00F539DC">
        <w:t>, 169274. https://doi.org/10.1016/j.scitotenv.2023.169274</w:t>
      </w:r>
    </w:p>
    <w:p w14:paraId="4F9BF8B9" w14:textId="77777777" w:rsidR="00F539DC" w:rsidRPr="00F539DC" w:rsidRDefault="00F539DC" w:rsidP="00F539DC">
      <w:pPr>
        <w:pStyle w:val="Bibliography"/>
      </w:pPr>
      <w:r w:rsidRPr="00F539DC">
        <w:t xml:space="preserve">Reasoner, M., &amp; Ghosh, A. (2022). Agrivoltaic Engineering and Layout Optimization Approaches in the Transition to Renewable Energy Technologies: A Review. </w:t>
      </w:r>
      <w:r w:rsidRPr="00F539DC">
        <w:rPr>
          <w:i/>
          <w:iCs/>
        </w:rPr>
        <w:t>Challenges</w:t>
      </w:r>
      <w:r w:rsidRPr="00F539DC">
        <w:t xml:space="preserve">, </w:t>
      </w:r>
      <w:r w:rsidRPr="00F539DC">
        <w:rPr>
          <w:i/>
          <w:iCs/>
        </w:rPr>
        <w:t>13</w:t>
      </w:r>
      <w:r w:rsidRPr="00F539DC">
        <w:t>(2), 43. https://doi.org/10.3390/challe13020043</w:t>
      </w:r>
    </w:p>
    <w:p w14:paraId="2DA19F22" w14:textId="77777777" w:rsidR="00F539DC" w:rsidRPr="00F539DC" w:rsidRDefault="00F539DC" w:rsidP="00F539DC">
      <w:pPr>
        <w:pStyle w:val="Bibliography"/>
      </w:pPr>
      <w:r w:rsidRPr="00F539DC">
        <w:rPr>
          <w:i/>
          <w:iCs/>
        </w:rPr>
        <w:t>Renewable power generation costs in 2022</w:t>
      </w:r>
      <w:r w:rsidRPr="00F539DC">
        <w:t>. (2022).</w:t>
      </w:r>
    </w:p>
    <w:p w14:paraId="2C62B198" w14:textId="77777777" w:rsidR="00F539DC" w:rsidRPr="00F539DC" w:rsidRDefault="00F539DC" w:rsidP="00F539DC">
      <w:pPr>
        <w:pStyle w:val="Bibliography"/>
        <w:rPr>
          <w:lang w:val="fr-FR"/>
        </w:rPr>
      </w:pPr>
      <w:r w:rsidRPr="00F539DC">
        <w:t xml:space="preserve">Riaz, M. H., Imran, H., Alam, H., Alam, M. A., &amp; Butt, N. Z. (2022). Crop-Specific Optimization of Bifacial PV Arrays for Agrivoltaic Food-Energy Production: The Light-Productivity-Factor Approach. </w:t>
      </w:r>
      <w:r w:rsidRPr="00F539DC">
        <w:rPr>
          <w:i/>
          <w:iCs/>
          <w:lang w:val="fr-FR"/>
        </w:rPr>
        <w:t>IEEE Journal of Photovoltaics</w:t>
      </w:r>
      <w:r w:rsidRPr="00F539DC">
        <w:rPr>
          <w:lang w:val="fr-FR"/>
        </w:rPr>
        <w:t xml:space="preserve">, </w:t>
      </w:r>
      <w:r w:rsidRPr="00F539DC">
        <w:rPr>
          <w:i/>
          <w:iCs/>
          <w:lang w:val="fr-FR"/>
        </w:rPr>
        <w:t>12</w:t>
      </w:r>
      <w:r w:rsidRPr="00F539DC">
        <w:rPr>
          <w:lang w:val="fr-FR"/>
        </w:rPr>
        <w:t>(2), 572–580. https://doi.org/10.1109/JPHOTOV.2021.3136158</w:t>
      </w:r>
    </w:p>
    <w:p w14:paraId="6143F0AE" w14:textId="77777777" w:rsidR="00F539DC" w:rsidRPr="00F539DC" w:rsidRDefault="00F539DC" w:rsidP="00F539DC">
      <w:pPr>
        <w:pStyle w:val="Bibliography"/>
      </w:pPr>
      <w:r w:rsidRPr="00F539DC">
        <w:rPr>
          <w:lang w:val="fr-FR"/>
        </w:rPr>
        <w:t xml:space="preserve">Semeraro, T., Scarano, A., Curci, L. M., Leggieri, A., Lenucci, M., Basset, A., Santino, A., Piro, G., &amp; De Caroli, M. (2024). </w:t>
      </w:r>
      <w:r w:rsidRPr="00F539DC">
        <w:t xml:space="preserve">Shading effects in agrivoltaic systems can make the difference in boosting food security in climate change. </w:t>
      </w:r>
      <w:r w:rsidRPr="00F539DC">
        <w:rPr>
          <w:i/>
          <w:iCs/>
        </w:rPr>
        <w:t>Applied Energy</w:t>
      </w:r>
      <w:r w:rsidRPr="00F539DC">
        <w:t xml:space="preserve">, </w:t>
      </w:r>
      <w:r w:rsidRPr="00F539DC">
        <w:rPr>
          <w:i/>
          <w:iCs/>
        </w:rPr>
        <w:t>358</w:t>
      </w:r>
      <w:r w:rsidRPr="00F539DC">
        <w:t>, 122565. https://doi.org/10.1016/j.apenergy.2023.122565</w:t>
      </w:r>
    </w:p>
    <w:p w14:paraId="06752299" w14:textId="77777777" w:rsidR="00F539DC" w:rsidRPr="00F539DC" w:rsidRDefault="00F539DC" w:rsidP="00F539DC">
      <w:pPr>
        <w:pStyle w:val="Bibliography"/>
      </w:pPr>
      <w:r w:rsidRPr="00F539DC">
        <w:t xml:space="preserve">Storn, R. (n.d.). </w:t>
      </w:r>
      <w:r w:rsidRPr="00F539DC">
        <w:rPr>
          <w:i/>
          <w:iCs/>
        </w:rPr>
        <w:t>Differential Evolution—A simple and efficient adaptive scheme for global optimization over continuous spaces</w:t>
      </w:r>
      <w:r w:rsidRPr="00F539DC">
        <w:t>.</w:t>
      </w:r>
    </w:p>
    <w:p w14:paraId="56BD03D3" w14:textId="77777777" w:rsidR="00F539DC" w:rsidRPr="00F539DC" w:rsidRDefault="00F539DC" w:rsidP="00F539DC">
      <w:pPr>
        <w:pStyle w:val="Bibliography"/>
      </w:pPr>
      <w:r w:rsidRPr="00F539DC">
        <w:t xml:space="preserve">Temiz, M., Sinbuathong, N., &amp; Dincer, I. (n.d.). </w:t>
      </w:r>
      <w:r w:rsidRPr="00F539DC">
        <w:rPr>
          <w:i/>
          <w:iCs/>
        </w:rPr>
        <w:t>Development and assessment of a new agrivoltaic‐biogas energy system for sustainable communities</w:t>
      </w:r>
      <w:r w:rsidRPr="00F539DC">
        <w:t>.</w:t>
      </w:r>
    </w:p>
    <w:p w14:paraId="2C4890FE" w14:textId="77777777" w:rsidR="00F539DC" w:rsidRPr="00F539DC" w:rsidRDefault="00F539DC" w:rsidP="00F539DC">
      <w:pPr>
        <w:pStyle w:val="Bibliography"/>
      </w:pPr>
      <w:r w:rsidRPr="00F539DC">
        <w:t xml:space="preserve">Trommsdorff, M. (n.d.). </w:t>
      </w:r>
      <w:r w:rsidRPr="00F539DC">
        <w:rPr>
          <w:i/>
          <w:iCs/>
        </w:rPr>
        <w:t>Performance Indices for Parallel Agriculture and PV</w:t>
      </w:r>
      <w:r w:rsidRPr="00F539DC">
        <w:t>.</w:t>
      </w:r>
    </w:p>
    <w:p w14:paraId="76EF23DB" w14:textId="77777777" w:rsidR="00F539DC" w:rsidRPr="00F539DC" w:rsidRDefault="00F539DC" w:rsidP="00F539DC">
      <w:pPr>
        <w:pStyle w:val="Bibliography"/>
      </w:pPr>
      <w:r w:rsidRPr="00F539DC">
        <w:lastRenderedPageBreak/>
        <w:t xml:space="preserve">Waller, R., Kacira, M., Magadley, E., Teitel, M., &amp; Yehia, I. (2021). Semi-Transparent Organic Photovoltaics Applied as Greenhouse Shade for Spring and Summer Tomato Production in Arid Climate. </w:t>
      </w:r>
      <w:r w:rsidRPr="00F539DC">
        <w:rPr>
          <w:i/>
          <w:iCs/>
        </w:rPr>
        <w:t>Agronomy</w:t>
      </w:r>
      <w:r w:rsidRPr="00F539DC">
        <w:t xml:space="preserve">, </w:t>
      </w:r>
      <w:r w:rsidRPr="00F539DC">
        <w:rPr>
          <w:i/>
          <w:iCs/>
        </w:rPr>
        <w:t>11</w:t>
      </w:r>
      <w:r w:rsidRPr="00F539DC">
        <w:t>(6), 1152. https://doi.org/10.3390/agronomy11061152</w:t>
      </w:r>
    </w:p>
    <w:p w14:paraId="4F3F829E" w14:textId="77777777" w:rsidR="00F539DC" w:rsidRPr="00F539DC" w:rsidRDefault="00F539DC" w:rsidP="00F539DC">
      <w:pPr>
        <w:pStyle w:val="Bibliography"/>
      </w:pPr>
      <w:r w:rsidRPr="00F539DC">
        <w:t xml:space="preserve">Weselek, A., Ehmann, A., Zikeli, S., Lewandowski, I., Schindele, S., &amp; Högy, P. (2019). Agrophotovoltaic systems: Applications, challenges, and opportunities. A review. </w:t>
      </w:r>
      <w:r w:rsidRPr="00F539DC">
        <w:rPr>
          <w:i/>
          <w:iCs/>
        </w:rPr>
        <w:t>Agronomy for Sustainable Development</w:t>
      </w:r>
      <w:r w:rsidRPr="00F539DC">
        <w:t xml:space="preserve">, </w:t>
      </w:r>
      <w:r w:rsidRPr="00F539DC">
        <w:rPr>
          <w:i/>
          <w:iCs/>
        </w:rPr>
        <w:t>39</w:t>
      </w:r>
      <w:r w:rsidRPr="00F539DC">
        <w:t>(4), 35. https://doi.org/10.1007/s13593-019-0581-3</w:t>
      </w:r>
    </w:p>
    <w:p w14:paraId="5282BD31" w14:textId="77777777" w:rsidR="00F539DC" w:rsidRPr="00F539DC" w:rsidRDefault="00F539DC" w:rsidP="00F539DC">
      <w:pPr>
        <w:pStyle w:val="Bibliography"/>
      </w:pPr>
      <w:r w:rsidRPr="00F539DC">
        <w:rPr>
          <w:lang w:val="fr-FR"/>
        </w:rPr>
        <w:t xml:space="preserve">Zainali, S., Ma Lu, S., Stridh, B., Avelin, A., Amaducci, S., Colauzzi, M., &amp; Campana, P. E. (2023). </w:t>
      </w:r>
      <w:r w:rsidRPr="00F539DC">
        <w:t xml:space="preserve">Direct and diffuse shading factors modelling for the most representative agrivoltaic system layouts. </w:t>
      </w:r>
      <w:r w:rsidRPr="00F539DC">
        <w:rPr>
          <w:i/>
          <w:iCs/>
        </w:rPr>
        <w:t>Applied Energy</w:t>
      </w:r>
      <w:r w:rsidRPr="00F539DC">
        <w:t xml:space="preserve">, </w:t>
      </w:r>
      <w:r w:rsidRPr="00F539DC">
        <w:rPr>
          <w:i/>
          <w:iCs/>
        </w:rPr>
        <w:t>339</w:t>
      </w:r>
      <w:r w:rsidRPr="00F539DC">
        <w:t>, 120981. https://doi.org/10.1016/j.apenergy.2023.120981</w:t>
      </w:r>
    </w:p>
    <w:p w14:paraId="7CA0D9D0" w14:textId="77777777" w:rsidR="00F539DC" w:rsidRPr="00F539DC" w:rsidRDefault="00F539DC" w:rsidP="00F539DC">
      <w:pPr>
        <w:pStyle w:val="Bibliography"/>
      </w:pPr>
      <w:r w:rsidRPr="00F539DC">
        <w:t xml:space="preserve">Zwietering, M. H., Jongenburger, I., Rombouts, F. M., &amp; Van ’T Riet, K. (1990). Modeling of the Bacterial Growth Curve. </w:t>
      </w:r>
      <w:r w:rsidRPr="00F539DC">
        <w:rPr>
          <w:i/>
          <w:iCs/>
        </w:rPr>
        <w:t>Applied and Environmental Microbiology</w:t>
      </w:r>
      <w:r w:rsidRPr="00F539DC">
        <w:t xml:space="preserve">, </w:t>
      </w:r>
      <w:r w:rsidRPr="00F539DC">
        <w:rPr>
          <w:i/>
          <w:iCs/>
        </w:rPr>
        <w:t>56</w:t>
      </w:r>
      <w:r w:rsidRPr="00F539DC">
        <w:t>(6), 1875–1881. https://doi.org/10.1128/aem.56.6.1875-1881.1990</w:t>
      </w:r>
    </w:p>
    <w:p w14:paraId="0B785B49" w14:textId="31090E72" w:rsidR="001F2C9C" w:rsidRPr="00DB6DD1" w:rsidRDefault="001F2C9C" w:rsidP="00DB6DD1">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1F2C9C" w:rsidRPr="00DB6D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47703" w14:textId="77777777" w:rsidR="00533732" w:rsidRDefault="00533732" w:rsidP="00047A43">
      <w:pPr>
        <w:spacing w:after="0" w:line="240" w:lineRule="auto"/>
      </w:pPr>
      <w:r>
        <w:separator/>
      </w:r>
    </w:p>
  </w:endnote>
  <w:endnote w:type="continuationSeparator" w:id="0">
    <w:p w14:paraId="6B911307" w14:textId="77777777" w:rsidR="00533732" w:rsidRDefault="00533732" w:rsidP="0004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8218F" w14:textId="77777777" w:rsidR="00533732" w:rsidRDefault="00533732" w:rsidP="00047A43">
      <w:pPr>
        <w:spacing w:after="0" w:line="240" w:lineRule="auto"/>
      </w:pPr>
      <w:r>
        <w:separator/>
      </w:r>
    </w:p>
  </w:footnote>
  <w:footnote w:type="continuationSeparator" w:id="0">
    <w:p w14:paraId="327BBEA4" w14:textId="77777777" w:rsidR="00533732" w:rsidRDefault="00533732" w:rsidP="00047A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0DC"/>
    <w:multiLevelType w:val="hybridMultilevel"/>
    <w:tmpl w:val="CA84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756862"/>
    <w:multiLevelType w:val="hybridMultilevel"/>
    <w:tmpl w:val="6FF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B27CC"/>
    <w:multiLevelType w:val="hybridMultilevel"/>
    <w:tmpl w:val="0ADE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E42AF"/>
    <w:multiLevelType w:val="hybridMultilevel"/>
    <w:tmpl w:val="E42C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A13A1"/>
    <w:multiLevelType w:val="hybridMultilevel"/>
    <w:tmpl w:val="78BC4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2844C5"/>
    <w:multiLevelType w:val="hybridMultilevel"/>
    <w:tmpl w:val="EFF4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9C7926"/>
    <w:multiLevelType w:val="hybridMultilevel"/>
    <w:tmpl w:val="0254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DF63FA"/>
    <w:multiLevelType w:val="hybridMultilevel"/>
    <w:tmpl w:val="7298A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66F8B"/>
    <w:multiLevelType w:val="hybridMultilevel"/>
    <w:tmpl w:val="D73E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F4A54"/>
    <w:multiLevelType w:val="hybridMultilevel"/>
    <w:tmpl w:val="8AD2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
  </w:num>
  <w:num w:numId="4">
    <w:abstractNumId w:val="5"/>
  </w:num>
  <w:num w:numId="5">
    <w:abstractNumId w:val="0"/>
  </w:num>
  <w:num w:numId="6">
    <w:abstractNumId w:val="4"/>
  </w:num>
  <w:num w:numId="7">
    <w:abstractNumId w:val="8"/>
  </w:num>
  <w:num w:numId="8">
    <w:abstractNumId w:val="3"/>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D1"/>
    <w:rsid w:val="000033CA"/>
    <w:rsid w:val="000034D1"/>
    <w:rsid w:val="00014D3B"/>
    <w:rsid w:val="00031A5F"/>
    <w:rsid w:val="00047A43"/>
    <w:rsid w:val="00056804"/>
    <w:rsid w:val="0006785D"/>
    <w:rsid w:val="00076B83"/>
    <w:rsid w:val="00077EB6"/>
    <w:rsid w:val="00091A3D"/>
    <w:rsid w:val="000923CF"/>
    <w:rsid w:val="00093DC9"/>
    <w:rsid w:val="00093F8C"/>
    <w:rsid w:val="000A1AD7"/>
    <w:rsid w:val="000A2362"/>
    <w:rsid w:val="000B26FF"/>
    <w:rsid w:val="000B713B"/>
    <w:rsid w:val="000C2795"/>
    <w:rsid w:val="000C2E77"/>
    <w:rsid w:val="000D2A70"/>
    <w:rsid w:val="000D5FD6"/>
    <w:rsid w:val="000F0BB0"/>
    <w:rsid w:val="000F5910"/>
    <w:rsid w:val="000F67EF"/>
    <w:rsid w:val="0010024A"/>
    <w:rsid w:val="001041AF"/>
    <w:rsid w:val="0010733D"/>
    <w:rsid w:val="00107A82"/>
    <w:rsid w:val="0011012D"/>
    <w:rsid w:val="00112C38"/>
    <w:rsid w:val="00117C13"/>
    <w:rsid w:val="00120DB5"/>
    <w:rsid w:val="00123CED"/>
    <w:rsid w:val="00133947"/>
    <w:rsid w:val="001342C3"/>
    <w:rsid w:val="00147998"/>
    <w:rsid w:val="00156257"/>
    <w:rsid w:val="001568EB"/>
    <w:rsid w:val="0016399F"/>
    <w:rsid w:val="00171E24"/>
    <w:rsid w:val="00173DF1"/>
    <w:rsid w:val="001809F0"/>
    <w:rsid w:val="00183723"/>
    <w:rsid w:val="00184755"/>
    <w:rsid w:val="001C3F4E"/>
    <w:rsid w:val="001C59C2"/>
    <w:rsid w:val="001D4B27"/>
    <w:rsid w:val="001E4572"/>
    <w:rsid w:val="001F2C9C"/>
    <w:rsid w:val="001F342E"/>
    <w:rsid w:val="00207C1E"/>
    <w:rsid w:val="00214435"/>
    <w:rsid w:val="00215CD9"/>
    <w:rsid w:val="0022008F"/>
    <w:rsid w:val="00230411"/>
    <w:rsid w:val="0023616F"/>
    <w:rsid w:val="00237624"/>
    <w:rsid w:val="00251DA7"/>
    <w:rsid w:val="002608AD"/>
    <w:rsid w:val="00275E30"/>
    <w:rsid w:val="00284FB9"/>
    <w:rsid w:val="0028669C"/>
    <w:rsid w:val="002976C1"/>
    <w:rsid w:val="002A011A"/>
    <w:rsid w:val="002A7853"/>
    <w:rsid w:val="002B295F"/>
    <w:rsid w:val="002B3FBC"/>
    <w:rsid w:val="002C2134"/>
    <w:rsid w:val="002C21D3"/>
    <w:rsid w:val="003018DF"/>
    <w:rsid w:val="00317CE8"/>
    <w:rsid w:val="00323FF3"/>
    <w:rsid w:val="003403FD"/>
    <w:rsid w:val="003440B5"/>
    <w:rsid w:val="00346A87"/>
    <w:rsid w:val="00354B83"/>
    <w:rsid w:val="00367866"/>
    <w:rsid w:val="00372FBB"/>
    <w:rsid w:val="003775EA"/>
    <w:rsid w:val="0039380F"/>
    <w:rsid w:val="003964BE"/>
    <w:rsid w:val="003A705B"/>
    <w:rsid w:val="003B2B1A"/>
    <w:rsid w:val="003B7B31"/>
    <w:rsid w:val="003C33B9"/>
    <w:rsid w:val="003C5D28"/>
    <w:rsid w:val="003C7ED9"/>
    <w:rsid w:val="003D437D"/>
    <w:rsid w:val="003F03C1"/>
    <w:rsid w:val="004028E9"/>
    <w:rsid w:val="00404FAA"/>
    <w:rsid w:val="00406D0A"/>
    <w:rsid w:val="004249F1"/>
    <w:rsid w:val="0044134C"/>
    <w:rsid w:val="00467898"/>
    <w:rsid w:val="00481859"/>
    <w:rsid w:val="00496E8E"/>
    <w:rsid w:val="004A0471"/>
    <w:rsid w:val="004B0333"/>
    <w:rsid w:val="004B097C"/>
    <w:rsid w:val="004B4E3B"/>
    <w:rsid w:val="004C17F0"/>
    <w:rsid w:val="004C6312"/>
    <w:rsid w:val="004C7F3D"/>
    <w:rsid w:val="004D351A"/>
    <w:rsid w:val="004E6925"/>
    <w:rsid w:val="004F4AEF"/>
    <w:rsid w:val="005114EB"/>
    <w:rsid w:val="0051683F"/>
    <w:rsid w:val="00523FDF"/>
    <w:rsid w:val="00525466"/>
    <w:rsid w:val="00533732"/>
    <w:rsid w:val="005345A2"/>
    <w:rsid w:val="005611CE"/>
    <w:rsid w:val="005748AD"/>
    <w:rsid w:val="00582E38"/>
    <w:rsid w:val="00591139"/>
    <w:rsid w:val="005928BD"/>
    <w:rsid w:val="00593E11"/>
    <w:rsid w:val="00596B47"/>
    <w:rsid w:val="005B4546"/>
    <w:rsid w:val="005B6FBE"/>
    <w:rsid w:val="005C641A"/>
    <w:rsid w:val="005C6492"/>
    <w:rsid w:val="005D78A4"/>
    <w:rsid w:val="005E434F"/>
    <w:rsid w:val="005E5D6A"/>
    <w:rsid w:val="005F2BB5"/>
    <w:rsid w:val="00625A93"/>
    <w:rsid w:val="006416B9"/>
    <w:rsid w:val="00645F86"/>
    <w:rsid w:val="00646B77"/>
    <w:rsid w:val="006655CC"/>
    <w:rsid w:val="00685B4F"/>
    <w:rsid w:val="00691262"/>
    <w:rsid w:val="0069785C"/>
    <w:rsid w:val="006B540C"/>
    <w:rsid w:val="006C2D46"/>
    <w:rsid w:val="006D702D"/>
    <w:rsid w:val="006E00D5"/>
    <w:rsid w:val="006E6582"/>
    <w:rsid w:val="006F263E"/>
    <w:rsid w:val="00700765"/>
    <w:rsid w:val="00705CA1"/>
    <w:rsid w:val="00723332"/>
    <w:rsid w:val="007260A3"/>
    <w:rsid w:val="00735E86"/>
    <w:rsid w:val="00741E8B"/>
    <w:rsid w:val="00756417"/>
    <w:rsid w:val="0077326D"/>
    <w:rsid w:val="00786C62"/>
    <w:rsid w:val="007A2284"/>
    <w:rsid w:val="007A30B2"/>
    <w:rsid w:val="007A6F58"/>
    <w:rsid w:val="007B225A"/>
    <w:rsid w:val="007D02E4"/>
    <w:rsid w:val="007F11A1"/>
    <w:rsid w:val="00807FF8"/>
    <w:rsid w:val="008104EF"/>
    <w:rsid w:val="00812AF2"/>
    <w:rsid w:val="00826B11"/>
    <w:rsid w:val="00832670"/>
    <w:rsid w:val="00854C5C"/>
    <w:rsid w:val="008560A4"/>
    <w:rsid w:val="00881311"/>
    <w:rsid w:val="00884F50"/>
    <w:rsid w:val="00893F60"/>
    <w:rsid w:val="008A38BC"/>
    <w:rsid w:val="008A5770"/>
    <w:rsid w:val="008B2DCE"/>
    <w:rsid w:val="008B4940"/>
    <w:rsid w:val="008B5AA3"/>
    <w:rsid w:val="008C120D"/>
    <w:rsid w:val="008D1C02"/>
    <w:rsid w:val="008D2285"/>
    <w:rsid w:val="008D4E2C"/>
    <w:rsid w:val="008D6F6F"/>
    <w:rsid w:val="008E0184"/>
    <w:rsid w:val="008E609C"/>
    <w:rsid w:val="00911197"/>
    <w:rsid w:val="009161C8"/>
    <w:rsid w:val="009276B6"/>
    <w:rsid w:val="00936B2F"/>
    <w:rsid w:val="00944157"/>
    <w:rsid w:val="00947E7E"/>
    <w:rsid w:val="00951B7B"/>
    <w:rsid w:val="00951DC6"/>
    <w:rsid w:val="009603AB"/>
    <w:rsid w:val="00976380"/>
    <w:rsid w:val="0098574D"/>
    <w:rsid w:val="009B279C"/>
    <w:rsid w:val="009B4345"/>
    <w:rsid w:val="009C6302"/>
    <w:rsid w:val="009D289C"/>
    <w:rsid w:val="009D7F7A"/>
    <w:rsid w:val="009F219C"/>
    <w:rsid w:val="009F3438"/>
    <w:rsid w:val="009F433F"/>
    <w:rsid w:val="00A005F3"/>
    <w:rsid w:val="00A00DDC"/>
    <w:rsid w:val="00A02E6E"/>
    <w:rsid w:val="00A057C9"/>
    <w:rsid w:val="00A105F0"/>
    <w:rsid w:val="00A13735"/>
    <w:rsid w:val="00A1493E"/>
    <w:rsid w:val="00A26BFC"/>
    <w:rsid w:val="00A3261B"/>
    <w:rsid w:val="00A41304"/>
    <w:rsid w:val="00A433EF"/>
    <w:rsid w:val="00A43D59"/>
    <w:rsid w:val="00A50122"/>
    <w:rsid w:val="00A73240"/>
    <w:rsid w:val="00A74742"/>
    <w:rsid w:val="00A77564"/>
    <w:rsid w:val="00A874B6"/>
    <w:rsid w:val="00A9732F"/>
    <w:rsid w:val="00AA085B"/>
    <w:rsid w:val="00AB2E64"/>
    <w:rsid w:val="00AD0C7C"/>
    <w:rsid w:val="00AE7F35"/>
    <w:rsid w:val="00B01C5B"/>
    <w:rsid w:val="00B02894"/>
    <w:rsid w:val="00B02AE2"/>
    <w:rsid w:val="00B13AAB"/>
    <w:rsid w:val="00B4286A"/>
    <w:rsid w:val="00B4456F"/>
    <w:rsid w:val="00B56C7B"/>
    <w:rsid w:val="00B725FC"/>
    <w:rsid w:val="00B75A44"/>
    <w:rsid w:val="00B76473"/>
    <w:rsid w:val="00B87F48"/>
    <w:rsid w:val="00B91FB9"/>
    <w:rsid w:val="00B96702"/>
    <w:rsid w:val="00BA1718"/>
    <w:rsid w:val="00BA458D"/>
    <w:rsid w:val="00BB2413"/>
    <w:rsid w:val="00BE0F67"/>
    <w:rsid w:val="00BE13B0"/>
    <w:rsid w:val="00BF7751"/>
    <w:rsid w:val="00C053D9"/>
    <w:rsid w:val="00C07D92"/>
    <w:rsid w:val="00C216DE"/>
    <w:rsid w:val="00C21A22"/>
    <w:rsid w:val="00C33377"/>
    <w:rsid w:val="00C42CB2"/>
    <w:rsid w:val="00C520CC"/>
    <w:rsid w:val="00C53AAB"/>
    <w:rsid w:val="00C61812"/>
    <w:rsid w:val="00C63D90"/>
    <w:rsid w:val="00C657D0"/>
    <w:rsid w:val="00C66A1C"/>
    <w:rsid w:val="00C67BCE"/>
    <w:rsid w:val="00C85CB8"/>
    <w:rsid w:val="00C948A1"/>
    <w:rsid w:val="00C97063"/>
    <w:rsid w:val="00CB5A48"/>
    <w:rsid w:val="00CD0808"/>
    <w:rsid w:val="00CE3055"/>
    <w:rsid w:val="00CE356D"/>
    <w:rsid w:val="00CF0B43"/>
    <w:rsid w:val="00CF1F78"/>
    <w:rsid w:val="00D12E2A"/>
    <w:rsid w:val="00D261BA"/>
    <w:rsid w:val="00D3162C"/>
    <w:rsid w:val="00D34DB3"/>
    <w:rsid w:val="00D40C06"/>
    <w:rsid w:val="00D44719"/>
    <w:rsid w:val="00D44B62"/>
    <w:rsid w:val="00D535DF"/>
    <w:rsid w:val="00D565F8"/>
    <w:rsid w:val="00D62451"/>
    <w:rsid w:val="00D63C47"/>
    <w:rsid w:val="00D71727"/>
    <w:rsid w:val="00D81E62"/>
    <w:rsid w:val="00D82665"/>
    <w:rsid w:val="00D84F70"/>
    <w:rsid w:val="00D932B3"/>
    <w:rsid w:val="00DB4BD5"/>
    <w:rsid w:val="00DB5661"/>
    <w:rsid w:val="00DB6DD1"/>
    <w:rsid w:val="00DC19DD"/>
    <w:rsid w:val="00DD33AA"/>
    <w:rsid w:val="00DF0CCF"/>
    <w:rsid w:val="00DF1213"/>
    <w:rsid w:val="00DF7696"/>
    <w:rsid w:val="00E111D6"/>
    <w:rsid w:val="00E1139A"/>
    <w:rsid w:val="00E13127"/>
    <w:rsid w:val="00E22897"/>
    <w:rsid w:val="00E348D2"/>
    <w:rsid w:val="00E34C58"/>
    <w:rsid w:val="00E42317"/>
    <w:rsid w:val="00E50CBC"/>
    <w:rsid w:val="00E6057D"/>
    <w:rsid w:val="00E61893"/>
    <w:rsid w:val="00E832EE"/>
    <w:rsid w:val="00E83FBE"/>
    <w:rsid w:val="00E8734E"/>
    <w:rsid w:val="00EA410A"/>
    <w:rsid w:val="00EB14D8"/>
    <w:rsid w:val="00EB2F25"/>
    <w:rsid w:val="00EB49E2"/>
    <w:rsid w:val="00ED45E5"/>
    <w:rsid w:val="00EE58DF"/>
    <w:rsid w:val="00EF7215"/>
    <w:rsid w:val="00F01607"/>
    <w:rsid w:val="00F10A20"/>
    <w:rsid w:val="00F13BAD"/>
    <w:rsid w:val="00F17CA3"/>
    <w:rsid w:val="00F31C16"/>
    <w:rsid w:val="00F33560"/>
    <w:rsid w:val="00F3385A"/>
    <w:rsid w:val="00F4608F"/>
    <w:rsid w:val="00F47705"/>
    <w:rsid w:val="00F539DC"/>
    <w:rsid w:val="00F6199C"/>
    <w:rsid w:val="00F65720"/>
    <w:rsid w:val="00F702A5"/>
    <w:rsid w:val="00F85F6A"/>
    <w:rsid w:val="00FA07DF"/>
    <w:rsid w:val="00FA47DC"/>
    <w:rsid w:val="00FA58C8"/>
    <w:rsid w:val="00FE200E"/>
    <w:rsid w:val="00FE6287"/>
    <w:rsid w:val="00FF3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B1FD"/>
  <w15:chartTrackingRefBased/>
  <w15:docId w15:val="{9B657BD2-9993-494A-AAC9-137ABD793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ED9"/>
    <w:pPr>
      <w:ind w:left="720"/>
      <w:contextualSpacing/>
    </w:pPr>
  </w:style>
  <w:style w:type="paragraph" w:styleId="FootnoteText">
    <w:name w:val="footnote text"/>
    <w:basedOn w:val="Normal"/>
    <w:link w:val="FootnoteTextChar"/>
    <w:uiPriority w:val="99"/>
    <w:semiHidden/>
    <w:unhideWhenUsed/>
    <w:rsid w:val="00047A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7A43"/>
    <w:rPr>
      <w:sz w:val="20"/>
      <w:szCs w:val="20"/>
    </w:rPr>
  </w:style>
  <w:style w:type="character" w:styleId="FootnoteReference">
    <w:name w:val="footnote reference"/>
    <w:basedOn w:val="DefaultParagraphFont"/>
    <w:uiPriority w:val="99"/>
    <w:semiHidden/>
    <w:unhideWhenUsed/>
    <w:rsid w:val="00047A43"/>
    <w:rPr>
      <w:vertAlign w:val="superscript"/>
    </w:rPr>
  </w:style>
  <w:style w:type="paragraph" w:styleId="Bibliography">
    <w:name w:val="Bibliography"/>
    <w:basedOn w:val="Normal"/>
    <w:next w:val="Normal"/>
    <w:uiPriority w:val="37"/>
    <w:unhideWhenUsed/>
    <w:rsid w:val="001F2C9C"/>
    <w:pPr>
      <w:spacing w:after="0" w:line="480" w:lineRule="auto"/>
      <w:ind w:left="720" w:hanging="720"/>
    </w:pPr>
  </w:style>
  <w:style w:type="paragraph" w:styleId="Caption">
    <w:name w:val="caption"/>
    <w:basedOn w:val="Normal"/>
    <w:next w:val="Normal"/>
    <w:uiPriority w:val="35"/>
    <w:unhideWhenUsed/>
    <w:qFormat/>
    <w:rsid w:val="00F47705"/>
    <w:pPr>
      <w:spacing w:after="200" w:line="240" w:lineRule="auto"/>
    </w:pPr>
    <w:rPr>
      <w:i/>
      <w:iCs/>
      <w:color w:val="44546A" w:themeColor="text2"/>
      <w:sz w:val="18"/>
      <w:szCs w:val="18"/>
    </w:rPr>
  </w:style>
  <w:style w:type="table" w:styleId="TableGrid">
    <w:name w:val="Table Grid"/>
    <w:basedOn w:val="TableNormal"/>
    <w:uiPriority w:val="39"/>
    <w:rsid w:val="00BE1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2C331-ABFE-4BD3-BC0A-83ACE1722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2853</TotalTime>
  <Pages>41</Pages>
  <Words>53214</Words>
  <Characters>303326</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Amidou MAIGA</dc:creator>
  <cp:keywords/>
  <dc:description/>
  <cp:lastModifiedBy>Amidou MAIGA</cp:lastModifiedBy>
  <cp:revision>312</cp:revision>
  <dcterms:created xsi:type="dcterms:W3CDTF">2026-04-06T16:49:00Z</dcterms:created>
  <dcterms:modified xsi:type="dcterms:W3CDTF">2026-04-21T09:47:00Z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id="s2jcq3HE"/&gt;&lt;style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