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webextensions/taskpanes.xml" ContentType="application/vnd.ms-office.webextensiontaskpanes+xml"/>
  <Override PartName="/word/webextensions/webextension.xml" ContentType="application/vnd.ms-office.webextension+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Id4" /><Relationship Type="http://schemas.microsoft.com/office/2011/relationships/webextensiontaskpanes" Target="word/webextensions/taskpanes.xml" Id="R9e05ec15f7cf48c7"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0C01CA" w:rsidR="00DE61AE" w:rsidP="00102447" w:rsidRDefault="00DE61AE" w14:paraId="3E9541E0" w14:textId="03A91E05">
      <w:pPr>
        <w:spacing w:line="360" w:lineRule="auto"/>
        <w:jc w:val="both"/>
        <w:rPr>
          <w:rFonts w:ascii="Times New Roman" w:hAnsi="Times New Roman" w:cs="Times New Roman"/>
          <w:b/>
          <w:sz w:val="24"/>
          <w:szCs w:val="24"/>
        </w:rPr>
      </w:pPr>
      <w:r w:rsidRPr="000C01CA">
        <w:rPr>
          <w:rFonts w:ascii="Times New Roman" w:hAnsi="Times New Roman" w:cs="Times New Roman"/>
          <w:b/>
          <w:sz w:val="24"/>
          <w:szCs w:val="24"/>
        </w:rPr>
        <w:t>Abstract</w:t>
      </w:r>
    </w:p>
    <w:p w:rsidR="00472F5F" w:rsidP="00472F5F" w:rsidRDefault="00A835C4" w14:paraId="108349E4" w14:textId="0CA2C35F">
      <w:pPr>
        <w:spacing w:line="360" w:lineRule="auto"/>
        <w:ind w:firstLine="720"/>
        <w:jc w:val="both"/>
        <w:rPr>
          <w:rFonts w:ascii="Times New Roman" w:hAnsi="Times New Roman" w:cs="Times New Roman"/>
          <w:sz w:val="24"/>
          <w:szCs w:val="24"/>
        </w:rPr>
      </w:pPr>
      <w:r w:rsidRPr="000C01CA" w:rsidR="00A835C4">
        <w:rPr>
          <w:rFonts w:ascii="Times New Roman" w:hAnsi="Times New Roman" w:cs="Times New Roman"/>
          <w:sz w:val="24"/>
          <w:szCs w:val="24"/>
        </w:rPr>
        <w:t xml:space="preserve">Faced with resource pressure in semi-arid zones, the combination of agrivoltaics (AV) and anaerobic digestion (AD) </w:t>
      </w:r>
      <w:r w:rsidR="009D0A1E">
        <w:rPr>
          <w:rFonts w:ascii="Times New Roman" w:hAnsi="Times New Roman" w:cs="Times New Roman"/>
          <w:sz w:val="24"/>
          <w:szCs w:val="24"/>
        </w:rPr>
        <w:t>presen</w:t>
      </w:r>
      <w:r w:rsidR="00743A1C">
        <w:rPr>
          <w:rFonts w:ascii="Times New Roman" w:hAnsi="Times New Roman" w:cs="Times New Roman"/>
          <w:sz w:val="24"/>
          <w:szCs w:val="24"/>
        </w:rPr>
        <w:t xml:space="preserve">ts a transformative </w:t>
      </w:r>
      <w:bookmarkStart w:name="_Hlk225255020" w:id="0"/>
      <w:r w:rsidR="00472F5F">
        <w:rPr>
          <w:rFonts w:ascii="Times New Roman" w:hAnsi="Times New Roman" w:cs="Times New Roman"/>
          <w:sz w:val="24"/>
          <w:szCs w:val="24"/>
        </w:rPr>
        <w:t>solution</w:t>
      </w:r>
      <w:r w:rsidRPr="000C01CA" w:rsidR="00472F5F">
        <w:rPr>
          <w:rFonts w:ascii="Times New Roman" w:hAnsi="Times New Roman" w:cs="Times New Roman"/>
          <w:sz w:val="24"/>
          <w:szCs w:val="24"/>
        </w:rPr>
        <w:t>.</w:t>
      </w:r>
      <w:r w:rsidRPr="00344D97" w:rsidR="43844335">
        <w:rPr>
          <w:rFonts w:ascii="Times New Roman" w:hAnsi="Times New Roman" w:cs="Times New Roman"/>
          <w:sz w:val="24"/>
          <w:szCs w:val="24"/>
        </w:rPr>
        <w:t xml:space="preserve"> This study develops a novel integrated </w:t>
      </w:r>
      <w:r w:rsidRPr="00344D97" w:rsidR="4F77F841">
        <w:rPr>
          <w:rFonts w:ascii="Times New Roman" w:hAnsi="Times New Roman" w:cs="Times New Roman"/>
          <w:sz w:val="24"/>
          <w:szCs w:val="24"/>
        </w:rPr>
        <w:t xml:space="preserve">optimization</w:t>
      </w:r>
      <w:r w:rsidRPr="00344D97" w:rsidR="43844335">
        <w:rPr>
          <w:rFonts w:ascii="Times New Roman" w:hAnsi="Times New Roman" w:cs="Times New Roman"/>
          <w:sz w:val="24"/>
          <w:szCs w:val="24"/>
        </w:rPr>
        <w:t xml:space="preserve"> framework for AV-AD systems and applies it to five semi-arid locations in Burkina Faso, </w:t>
      </w:r>
      <w:r w:rsidRPr="00344D97" w:rsidR="1A6E3A9A">
        <w:rPr>
          <w:rFonts w:ascii="Times New Roman" w:hAnsi="Times New Roman" w:cs="Times New Roman"/>
          <w:sz w:val="24"/>
          <w:szCs w:val="24"/>
        </w:rPr>
        <w:t xml:space="preserve">Türkiye</w:t>
      </w:r>
      <w:r w:rsidRPr="00344D97" w:rsidR="43844335">
        <w:rPr>
          <w:rFonts w:ascii="Times New Roman" w:hAnsi="Times New Roman" w:cs="Times New Roman"/>
          <w:sz w:val="24"/>
          <w:szCs w:val="24"/>
        </w:rPr>
        <w:t xml:space="preserve">, and Spain.</w:t>
      </w:r>
      <w:r w:rsidRPr="00344D97" w:rsidR="43844335">
        <w:rPr>
          <w:rFonts w:ascii="Times New Roman" w:hAnsi="Times New Roman" w:cs="Times New Roman"/>
          <w:sz w:val="24"/>
          <w:szCs w:val="24"/>
        </w:rPr>
        <w:t xml:space="preserve"> The framework couples hourly photovoltaic modelling with the thermal energy balance of anaerobic digesters, </w:t>
      </w:r>
      <w:r w:rsidRPr="00344D97" w:rsidR="409852EE">
        <w:rPr>
          <w:rFonts w:ascii="Times New Roman" w:hAnsi="Times New Roman" w:cs="Times New Roman"/>
          <w:sz w:val="24"/>
          <w:szCs w:val="24"/>
        </w:rPr>
        <w:t xml:space="preserve">optimizing</w:t>
      </w:r>
      <w:r w:rsidRPr="00344D97" w:rsidR="43844335">
        <w:rPr>
          <w:rFonts w:ascii="Times New Roman" w:hAnsi="Times New Roman" w:cs="Times New Roman"/>
          <w:sz w:val="24"/>
          <w:szCs w:val="24"/>
        </w:rPr>
        <w:t xml:space="preserve"> design parameters that include panel tilt, row spacing, module height, digester volume, and PV-to heat fraction.</w:t>
      </w:r>
      <w:bookmarkEnd w:id="0"/>
      <w:r w:rsidRPr="43844335" w:rsidR="43844335">
        <w:rPr>
          <w:rFonts w:ascii="Times New Roman" w:hAnsi="Times New Roman" w:cs="Times New Roman"/>
          <w:sz w:val="24"/>
          <w:szCs w:val="24"/>
        </w:rPr>
        <w:t xml:space="preserve"> The results </w:t>
      </w:r>
      <w:r w:rsidRPr="43844335" w:rsidR="43844335">
        <w:rPr>
          <w:rFonts w:ascii="Times New Roman" w:hAnsi="Times New Roman" w:cs="Times New Roman"/>
          <w:sz w:val="24"/>
          <w:szCs w:val="24"/>
        </w:rPr>
        <w:t>demonstrate</w:t>
      </w:r>
      <w:r w:rsidRPr="43844335" w:rsidR="43844335">
        <w:rPr>
          <w:rFonts w:ascii="Times New Roman" w:hAnsi="Times New Roman" w:cs="Times New Roman"/>
          <w:sz w:val="24"/>
          <w:szCs w:val="24"/>
        </w:rPr>
        <w:t xml:space="preserve"> that the integrated AV-AD system achieves a Global Land Equivalent Ratio () of up to 2.66, which is 166% greater land-use efficiency compared to separate systems. For Ouagadougou, the </w:t>
      </w:r>
      <w:r w:rsidRPr="43844335" w:rsidR="43844335">
        <w:rPr>
          <w:rFonts w:ascii="Times New Roman" w:hAnsi="Times New Roman" w:cs="Times New Roman"/>
          <w:sz w:val="24"/>
          <w:szCs w:val="24"/>
        </w:rPr>
        <w:t>optimal</w:t>
      </w:r>
      <w:r w:rsidRPr="43844335" w:rsidR="43844335">
        <w:rPr>
          <w:rFonts w:ascii="Times New Roman" w:hAnsi="Times New Roman" w:cs="Times New Roman"/>
          <w:sz w:val="24"/>
          <w:szCs w:val="24"/>
        </w:rPr>
        <w:t xml:space="preserve"> configuration (23.3° tilt, 12 m row spacing, 3.7 m module height, 72 m³ digester) </w:t>
      </w:r>
      <w:r w:rsidRPr="43844335" w:rsidR="43844335">
        <w:rPr>
          <w:rFonts w:ascii="Times New Roman" w:hAnsi="Times New Roman" w:cs="Times New Roman"/>
          <w:sz w:val="24"/>
          <w:szCs w:val="24"/>
        </w:rPr>
        <w:t>maintains</w:t>
      </w:r>
      <w:r w:rsidRPr="43844335" w:rsidR="43844335">
        <w:rPr>
          <w:rFonts w:ascii="Times New Roman" w:hAnsi="Times New Roman" w:cs="Times New Roman"/>
          <w:sz w:val="24"/>
          <w:szCs w:val="24"/>
        </w:rPr>
        <w:t xml:space="preserve"> 100% crop yield while producing 41 </w:t>
      </w:r>
      <w:r w:rsidRPr="43844335" w:rsidR="43844335">
        <w:rPr>
          <w:rFonts w:ascii="Times New Roman" w:hAnsi="Times New Roman" w:cs="Times New Roman"/>
          <w:sz w:val="24"/>
          <w:szCs w:val="24"/>
        </w:rPr>
        <w:t>kWp</w:t>
      </w:r>
      <w:r w:rsidRPr="43844335" w:rsidR="43844335">
        <w:rPr>
          <w:rFonts w:ascii="Times New Roman" w:hAnsi="Times New Roman" w:cs="Times New Roman"/>
          <w:sz w:val="24"/>
          <w:szCs w:val="24"/>
        </w:rPr>
        <w:t xml:space="preserve"> of PV capacity and generating 24,500 kWh/year of biomethane. Critically, only 20% of PV output is </w:t>
      </w:r>
      <w:r w:rsidRPr="43844335" w:rsidR="43844335">
        <w:rPr>
          <w:rFonts w:ascii="Times New Roman" w:hAnsi="Times New Roman" w:cs="Times New Roman"/>
          <w:sz w:val="24"/>
          <w:szCs w:val="24"/>
        </w:rPr>
        <w:t>required</w:t>
      </w:r>
      <w:r w:rsidRPr="43844335" w:rsidR="43844335">
        <w:rPr>
          <w:rFonts w:ascii="Times New Roman" w:hAnsi="Times New Roman" w:cs="Times New Roman"/>
          <w:sz w:val="24"/>
          <w:szCs w:val="24"/>
        </w:rPr>
        <w:t xml:space="preserve"> to meet digester thermal demand, allowing full biogas </w:t>
      </w:r>
      <w:r w:rsidRPr="43844335" w:rsidR="43844335">
        <w:rPr>
          <w:rFonts w:ascii="Times New Roman" w:hAnsi="Times New Roman" w:cs="Times New Roman"/>
          <w:sz w:val="24"/>
          <w:szCs w:val="24"/>
        </w:rPr>
        <w:t>utilization</w:t>
      </w:r>
      <w:r w:rsidRPr="43844335" w:rsidR="43844335">
        <w:rPr>
          <w:rFonts w:ascii="Times New Roman" w:hAnsi="Times New Roman" w:cs="Times New Roman"/>
          <w:sz w:val="24"/>
          <w:szCs w:val="24"/>
        </w:rPr>
        <w:t xml:space="preserve"> for revenue generation. This AV-AD </w:t>
      </w:r>
      <w:r w:rsidRPr="43844335" w:rsidR="43844335">
        <w:rPr>
          <w:rFonts w:ascii="Times New Roman" w:hAnsi="Times New Roman" w:cs="Times New Roman"/>
          <w:sz w:val="24"/>
          <w:szCs w:val="24"/>
        </w:rPr>
        <w:t>synergy</w:t>
      </w:r>
      <w:r w:rsidRPr="43844335" w:rsidR="43844335">
        <w:rPr>
          <w:rFonts w:ascii="Times New Roman" w:hAnsi="Times New Roman" w:cs="Times New Roman"/>
          <w:sz w:val="24"/>
          <w:szCs w:val="24"/>
        </w:rPr>
        <w:t xml:space="preserve"> creates a closed-loop circular economy: solar electricity powers the digester, digestate fertilizes crops, and crop residues feed the digester. The proposed integrated system </w:t>
      </w:r>
      <w:r w:rsidRPr="43844335" w:rsidR="43844335">
        <w:rPr>
          <w:rFonts w:ascii="Times New Roman" w:hAnsi="Times New Roman" w:cs="Times New Roman"/>
          <w:sz w:val="24"/>
          <w:szCs w:val="24"/>
        </w:rPr>
        <w:t>emerges</w:t>
      </w:r>
      <w:r w:rsidRPr="43844335" w:rsidR="43844335">
        <w:rPr>
          <w:rFonts w:ascii="Times New Roman" w:hAnsi="Times New Roman" w:cs="Times New Roman"/>
          <w:sz w:val="24"/>
          <w:szCs w:val="24"/>
        </w:rPr>
        <w:t xml:space="preserve"> as a robust, multi-output strategy to address the water-energy-food nexus in vulnerable semi-arid agroecosystems.</w:t>
      </w:r>
    </w:p>
    <w:p w:rsidRPr="000C01CA" w:rsidR="00042D8A" w:rsidP="00472F5F" w:rsidRDefault="00344D97" w14:paraId="0231DE19" w14:textId="4E1A55D5">
      <w:pPr>
        <w:spacing w:line="360" w:lineRule="auto"/>
        <w:ind w:firstLine="720"/>
        <w:jc w:val="both"/>
        <w:rPr>
          <w:rFonts w:ascii="Times New Roman" w:hAnsi="Times New Roman" w:cs="Times New Roman"/>
          <w:sz w:val="24"/>
          <w:szCs w:val="24"/>
        </w:rPr>
      </w:pPr>
      <w:r w:rsidRPr="008E107A">
        <w:rPr>
          <w:rFonts w:ascii="Times New Roman" w:hAnsi="Times New Roman" w:cs="Times New Roman"/>
          <w:b/>
          <w:bCs/>
          <w:sz w:val="24"/>
          <w:szCs w:val="24"/>
        </w:rPr>
        <w:t>Keywords</w:t>
      </w:r>
      <w:r w:rsidRPr="00344D97">
        <w:rPr>
          <w:rFonts w:ascii="Times New Roman" w:hAnsi="Times New Roman" w:cs="Times New Roman"/>
          <w:sz w:val="24"/>
          <w:szCs w:val="24"/>
        </w:rPr>
        <w:t>: Agrivoltaics; Anaerobic Digestion;</w:t>
      </w:r>
      <w:r w:rsidR="00472F5F">
        <w:rPr>
          <w:rFonts w:ascii="Times New Roman" w:hAnsi="Times New Roman" w:cs="Times New Roman"/>
          <w:sz w:val="24"/>
          <w:szCs w:val="24"/>
        </w:rPr>
        <w:t xml:space="preserve"> </w:t>
      </w:r>
      <w:r w:rsidRPr="00344D97">
        <w:rPr>
          <w:rFonts w:ascii="Times New Roman" w:hAnsi="Times New Roman" w:cs="Times New Roman"/>
          <w:sz w:val="24"/>
          <w:szCs w:val="24"/>
        </w:rPr>
        <w:t>Water-Energy-Food Nexus; Semi-arid</w:t>
      </w:r>
      <w:r w:rsidR="00472F5F">
        <w:rPr>
          <w:rFonts w:ascii="Times New Roman" w:hAnsi="Times New Roman" w:cs="Times New Roman"/>
          <w:sz w:val="24"/>
          <w:szCs w:val="24"/>
        </w:rPr>
        <w:t xml:space="preserve"> </w:t>
      </w:r>
      <w:r w:rsidRPr="00344D97">
        <w:rPr>
          <w:rFonts w:ascii="Times New Roman" w:hAnsi="Times New Roman" w:cs="Times New Roman"/>
          <w:sz w:val="24"/>
          <w:szCs w:val="24"/>
        </w:rPr>
        <w:t>Agriculture; Circular Bioeconomy; System Optimization; Land Equivalent Ratio</w:t>
      </w:r>
      <w:r w:rsidRPr="000C01CA" w:rsidR="00042D8A">
        <w:rPr>
          <w:rFonts w:ascii="Times New Roman" w:hAnsi="Times New Roman" w:cs="Times New Roman"/>
          <w:sz w:val="24"/>
          <w:szCs w:val="24"/>
        </w:rPr>
        <w:br w:type="page"/>
      </w:r>
    </w:p>
    <w:p w:rsidRPr="000C01CA" w:rsidR="00916B85" w:rsidP="00102447" w:rsidRDefault="00916B85" w14:paraId="6E88B505" w14:textId="5F80404A">
      <w:pPr>
        <w:spacing w:line="360" w:lineRule="auto"/>
        <w:jc w:val="both"/>
        <w:rPr>
          <w:rFonts w:ascii="Times New Roman" w:hAnsi="Times New Roman" w:cs="Times New Roman"/>
          <w:b/>
          <w:sz w:val="24"/>
          <w:szCs w:val="24"/>
        </w:rPr>
      </w:pPr>
      <w:r w:rsidRPr="000C01CA">
        <w:rPr>
          <w:rFonts w:ascii="Times New Roman" w:hAnsi="Times New Roman" w:cs="Times New Roman"/>
          <w:b/>
          <w:sz w:val="24"/>
          <w:szCs w:val="24"/>
        </w:rPr>
        <w:t>I. Introduction</w:t>
      </w:r>
    </w:p>
    <w:p w:rsidRPr="000C01CA" w:rsidR="00F35517" w:rsidP="00102447" w:rsidRDefault="00A835C4" w14:paraId="0D956719" w14:textId="4CCB4EC1">
      <w:pPr>
        <w:spacing w:line="360" w:lineRule="auto"/>
        <w:ind w:firstLine="720"/>
        <w:jc w:val="both"/>
        <w:rPr>
          <w:rFonts w:ascii="Times New Roman" w:hAnsi="Times New Roman" w:cs="Times New Roman"/>
          <w:sz w:val="24"/>
          <w:szCs w:val="24"/>
        </w:rPr>
      </w:pPr>
      <w:r w:rsidRPr="43844335" w:rsidR="00A835C4">
        <w:rPr>
          <w:rFonts w:ascii="Times New Roman" w:hAnsi="Times New Roman" w:cs="Times New Roman"/>
          <w:sz w:val="24"/>
          <w:szCs w:val="24"/>
        </w:rPr>
        <w:t xml:space="preserve">Global population growth is </w:t>
      </w:r>
      <w:r w:rsidRPr="43844335" w:rsidR="00A835C4">
        <w:rPr>
          <w:rFonts w:ascii="Times New Roman" w:hAnsi="Times New Roman" w:cs="Times New Roman"/>
          <w:sz w:val="24"/>
          <w:szCs w:val="24"/>
        </w:rPr>
        <w:t>exacerbating</w:t>
      </w:r>
      <w:r w:rsidRPr="43844335" w:rsidR="00A835C4">
        <w:rPr>
          <w:rFonts w:ascii="Times New Roman" w:hAnsi="Times New Roman" w:cs="Times New Roman"/>
          <w:sz w:val="24"/>
          <w:szCs w:val="24"/>
        </w:rPr>
        <w:t xml:space="preserve"> an already palpable tension on three fundamental resources: water, </w:t>
      </w:r>
      <w:r w:rsidRPr="43844335" w:rsidR="65933659">
        <w:rPr>
          <w:rFonts w:ascii="Times New Roman" w:hAnsi="Times New Roman" w:cs="Times New Roman"/>
          <w:sz w:val="24"/>
          <w:szCs w:val="24"/>
        </w:rPr>
        <w:t>energy,</w:t>
      </w:r>
      <w:r w:rsidRPr="43844335" w:rsidR="00A835C4">
        <w:rPr>
          <w:rFonts w:ascii="Times New Roman" w:hAnsi="Times New Roman" w:cs="Times New Roman"/>
          <w:sz w:val="24"/>
          <w:szCs w:val="24"/>
        </w:rPr>
        <w:t xml:space="preserve"> and food</w:t>
      </w:r>
      <w:r w:rsidRPr="43844335" w:rsidR="001E5E23">
        <w:rPr>
          <w:rFonts w:ascii="Times New Roman" w:hAnsi="Times New Roman" w:cs="Times New Roman"/>
          <w:sz w:val="24"/>
          <w:szCs w:val="24"/>
        </w:rPr>
        <w:t>.</w:t>
      </w:r>
      <w:r w:rsidRPr="43844335" w:rsidR="00CC678E">
        <w:rPr>
          <w:rFonts w:ascii="Times New Roman" w:hAnsi="Times New Roman" w:cs="Times New Roman"/>
          <w:sz w:val="24"/>
          <w:szCs w:val="24"/>
        </w:rPr>
        <w:t xml:space="preserve"> This pressure is felt most acutely in semi-arid regions. In these areas, chronic water shortages and blistering temperatures act as </w:t>
      </w:r>
      <w:r w:rsidRPr="43844335" w:rsidR="6705E38E">
        <w:rPr>
          <w:rFonts w:ascii="Times New Roman" w:hAnsi="Times New Roman" w:cs="Times New Roman"/>
          <w:sz w:val="24"/>
          <w:szCs w:val="24"/>
        </w:rPr>
        <w:t>constant bottlenecks</w:t>
      </w:r>
      <w:r w:rsidRPr="43844335" w:rsidR="00CC678E">
        <w:rPr>
          <w:rFonts w:ascii="Times New Roman" w:hAnsi="Times New Roman" w:cs="Times New Roman"/>
          <w:sz w:val="24"/>
          <w:szCs w:val="24"/>
        </w:rPr>
        <w:t xml:space="preserve"> for agricultural output</w:t>
      </w:r>
      <w:r w:rsidRPr="43844335" w:rsidR="006A7955">
        <w:rPr>
          <w:rFonts w:ascii="Times New Roman" w:hAnsi="Times New Roman" w:cs="Times New Roman"/>
          <w:sz w:val="24"/>
          <w:szCs w:val="24"/>
        </w:rPr>
        <w:t xml:space="preserve"> </w:t>
      </w:r>
      <w:r w:rsidRPr="43844335">
        <w:rPr>
          <w:rFonts w:ascii="Times New Roman" w:hAnsi="Times New Roman" w:cs="Times New Roman"/>
          <w:sz w:val="24"/>
          <w:szCs w:val="24"/>
        </w:rPr>
        <w:fldChar w:fldCharType="begin"/>
      </w:r>
      <w:r w:rsidRPr="43844335">
        <w:rPr>
          <w:rFonts w:ascii="Times New Roman" w:hAnsi="Times New Roman" w:cs="Times New Roman"/>
          <w:sz w:val="24"/>
          <w:szCs w:val="24"/>
        </w:rPr>
        <w:instrText xml:space="preserve"> ADDIN ZOTERO_ITEM CSL_CITATION {"citationID":"xyEI9bKM","properties":{"formattedCitation":"[1]","plainCitation":"[1]","dontUpdate":true,"noteIndex":0},"citationItems":[{"id":5,"uris":["http://zotero.org/users/local/NWCAR5we/items/UUW3G8ZP"],"itemData":{"id":5,"type":"article-journal","abstract":"Agrivoltaic systems combine solar photovoltaic energy production with agriculture to improve land-use efﬁciency. We provide an upper-bound reduced-order cost estimate for widespread implementation of Agrivoltaic systems in the United States. We ﬁnd that 20% of the US’ total electricity generation can be met with Agrivoltaic systems if less than 1% of the annual US budget is invested into rural infrastructure. Simultaneously, Agrivoltaic systems align well with existing Green New Deal goals. Widescale installation of Agrivoltaic systems can lead to a carbon dioxide (CO2) emissions reduction equivalent to removing 71,000 cars from the road annually and the creation of over 100,000 jobs in rural communities. Agrivoltaics provide a rare chance for true synergy: more food, more energy, lower water demand, lower carbon emissions, and more prosperous rural communities.","container-title":"Sustainability","DOI":"10.3390/su13010137","ISSN":"2071-1050","issue":"1","journalAbbreviation":"Sustainability","language":"en","page":"137","source":"DOI.org (Crossref)","title":"Agrivoltaics Align with Green New Deal Goals While Supporting Investment in the US’ Rural Economy","volume":"13","author":[{"family":"Proctor","given":"Kyle"},{"family":"Murthy","given":"Ganti"},{"family":"Higgins","given":"Chad"}],"issued":{"date-parts":[["2020",12,25]]}}}],"schema":"https://github.com/citation-style-language/schema/raw/master/csl-citation.json"} </w:instrText>
      </w:r>
      <w:r w:rsidRPr="43844335">
        <w:rPr>
          <w:rFonts w:ascii="Times New Roman" w:hAnsi="Times New Roman" w:cs="Times New Roman"/>
          <w:sz w:val="24"/>
          <w:szCs w:val="24"/>
        </w:rPr>
        <w:fldChar w:fldCharType="separate"/>
      </w:r>
      <w:r w:rsidRPr="43844335" w:rsidR="000703F4">
        <w:rPr>
          <w:rFonts w:ascii="Times New Roman" w:hAnsi="Times New Roman" w:cs="Times New Roman"/>
          <w:sz w:val="24"/>
          <w:szCs w:val="24"/>
        </w:rPr>
        <w:t>[1</w:t>
      </w:r>
      <w:r w:rsidRPr="43844335" w:rsidR="00246226">
        <w:rPr>
          <w:rFonts w:ascii="Times New Roman" w:hAnsi="Times New Roman" w:cs="Times New Roman"/>
          <w:sz w:val="24"/>
          <w:szCs w:val="24"/>
        </w:rPr>
        <w:t>,</w:t>
      </w:r>
      <w:r w:rsidRPr="43844335">
        <w:rPr>
          <w:rFonts w:ascii="Times New Roman" w:hAnsi="Times New Roman" w:cs="Times New Roman"/>
          <w:sz w:val="24"/>
          <w:szCs w:val="24"/>
        </w:rPr>
        <w:fldChar w:fldCharType="end"/>
      </w:r>
      <w:r w:rsidRPr="43844335" w:rsidR="00680540">
        <w:rPr>
          <w:rFonts w:ascii="Times New Roman" w:hAnsi="Times New Roman" w:cs="Times New Roman"/>
          <w:sz w:val="24"/>
          <w:szCs w:val="24"/>
        </w:rPr>
        <w:t xml:space="preserve"> </w:t>
      </w:r>
      <w:r w:rsidRPr="43844335">
        <w:rPr>
          <w:rFonts w:ascii="Times New Roman" w:hAnsi="Times New Roman" w:cs="Times New Roman"/>
          <w:sz w:val="24"/>
          <w:szCs w:val="24"/>
        </w:rPr>
        <w:fldChar w:fldCharType="begin"/>
      </w:r>
      <w:r w:rsidRPr="43844335">
        <w:rPr>
          <w:rFonts w:ascii="Times New Roman" w:hAnsi="Times New Roman" w:cs="Times New Roman"/>
          <w:sz w:val="24"/>
          <w:szCs w:val="24"/>
        </w:rPr>
        <w:instrText xml:space="preserve"> ADDIN ZOTERO_ITEM CSL_CITATION {"citationID":"bFfLziXT","properties":{"formattedCitation":"[2]","plainCitation":"[2]","dontUpdate":true,"noteIndex":0},"citationItems":[{"id":4,"uris":["http://zotero.org/users/local/NWCAR5we/items/3QU7AW53"],"itemData":{"id":4,"type":"paper-conference","abstract":"Agrivoltaics is an emerging technology of collocating solar photovoltaics with agriculture that has many potential synergetic food-energy-water beneﬁts. The design of agrivoltaic systems demands a careful balance for sharing sunlight between solar panels and crops to ensure an optimal food-energy productivity. We explore the optimal single-axis tracking schemes for agrivoltaics that can provide the precise balance of sunlight between PV and crops. The single-axis tracking schemes are applied to bifacial panel arrays in two different PV orientations, i.e., East/West vs. North/South faced. By modeling the temporal variations of drop shadows on crops and the known requirements of photosynthetically active radiation (PAR) by the crop, we propose customized solar tracking schemes that vary between standard sun tracking and reverse sun tracking during the day according to the crop requirement. During the early daytime after sunrise and closer to the sunset, PAR is lower than the saturated PAR for the plants. Closer to noon, available PAR can exceed the crop needs. An optimal algorithm ensures that the PAR available to the crops remains closer to its required PAR so that the excess sunlight could be harvested by the PV arrays. The seasonal variation in customized tracking schemes is explored for the two PV orientations.","container-title":"2020 47th IEEE Photovoltaic Specialists Conference (PVSC)","DOI":"10.1109/PVSC45281.2020.9300682","event-place":"Calgary, AB, Canada","event-title":"2020 IEEE 47th Photovoltaic Specialists Conference (PVSC)","ISBN":"978-1-7281-6115-0","language":"en","license":"https://ieeexplore.ieee.org/Xplorehelp/downloads/license-information/IEEE.html","page":"1353-1356","publisher":"IEEE","publisher-place":"Calgary, AB, Canada","source":"DOI.org (Crossref)","title":"Optimization of Single-Axis Tracking of Photovoltaic Modules for Agrivoltaic Systems","URL":"https://ieeexplore.ieee.org/document/9300682/","author":[{"family":"Imran","given":"Hassan"},{"family":"Riaz","given":"Muhammad Hussnain"},{"family":"Butt","given":"Nauman Zafar"}],"accessed":{"date-parts":[["2025",12,15]]},"issued":{"date-parts":[["2020",6,14]]}}}],"schema":"https://github.com/citation-style-language/schema/raw/master/csl-citation.json"} </w:instrText>
      </w:r>
      <w:r w:rsidRPr="43844335">
        <w:rPr>
          <w:rFonts w:ascii="Times New Roman" w:hAnsi="Times New Roman" w:cs="Times New Roman"/>
          <w:sz w:val="24"/>
          <w:szCs w:val="24"/>
        </w:rPr>
        <w:fldChar w:fldCharType="separate"/>
      </w:r>
      <w:r w:rsidRPr="43844335" w:rsidR="000703F4">
        <w:rPr>
          <w:rFonts w:ascii="Times New Roman" w:hAnsi="Times New Roman" w:cs="Times New Roman"/>
          <w:sz w:val="24"/>
          <w:szCs w:val="24"/>
        </w:rPr>
        <w:t>2</w:t>
      </w:r>
      <w:r w:rsidRPr="43844335" w:rsidR="00246226">
        <w:rPr>
          <w:rFonts w:ascii="Times New Roman" w:hAnsi="Times New Roman" w:cs="Times New Roman"/>
          <w:sz w:val="24"/>
          <w:szCs w:val="24"/>
        </w:rPr>
        <w:t>,</w:t>
      </w:r>
      <w:r w:rsidRPr="43844335">
        <w:rPr>
          <w:rFonts w:ascii="Times New Roman" w:hAnsi="Times New Roman" w:cs="Times New Roman"/>
          <w:sz w:val="24"/>
          <w:szCs w:val="24"/>
        </w:rPr>
        <w:fldChar w:fldCharType="end"/>
      </w:r>
      <w:r w:rsidRPr="43844335" w:rsidR="006D6F1E">
        <w:rPr>
          <w:rFonts w:ascii="Times New Roman" w:hAnsi="Times New Roman" w:cs="Times New Roman"/>
          <w:sz w:val="24"/>
          <w:szCs w:val="24"/>
        </w:rPr>
        <w:t xml:space="preserve"> </w:t>
      </w:r>
      <w:r w:rsidRPr="43844335">
        <w:rPr>
          <w:rFonts w:ascii="Times New Roman" w:hAnsi="Times New Roman" w:cs="Times New Roman"/>
          <w:sz w:val="24"/>
          <w:szCs w:val="24"/>
        </w:rPr>
        <w:fldChar w:fldCharType="begin"/>
      </w:r>
      <w:r w:rsidRPr="43844335">
        <w:rPr>
          <w:rFonts w:ascii="Times New Roman" w:hAnsi="Times New Roman" w:cs="Times New Roman"/>
          <w:sz w:val="24"/>
          <w:szCs w:val="24"/>
        </w:rPr>
        <w:instrText xml:space="preserve"> ADDIN ZOTERO_ITEM CSL_CITATION {"citationID":"U37fr2FO","properties":{"formattedCitation":"[3]","plainCitation":"[3]","dontUpdate":true,"noteIndex":0},"citationItems":[{"id":17,"uris":["http://zotero.org/users/local/NWCAR5we/items/ZEN6CQHW"],"itemData":{"id":17,"type":"article-journal","abstract":"Agrivoltaic systems, which consist of the combination of energy production by means of photovoltaic systems and agricultural production in the same area, have emerged as a promising solution to the constraints related to the reduction in cultivated areas due to solar panels used in agricultural production systems. They also enable optimization of land use and reduction in conﬂicts over land access, in order to meet the increasing demand for agricultural products and energy resulting from rapid population growth. However, the selected installation conﬁgurations, such as elevation, spacing, tilt, and choice of panel technology used, can have a negative impact on agricultural and/or energy production. Thus, this paper addresses the need for a review that provides a clear explanation of agrivoltaics, including the factors that impact agricultural and energy production in agrivoltaic systems, types of panel conﬁgurations and technologies to optimize these systems, and a synthesis of modelling studies which have already been conducted in this area. Several studies have been carried out in this ﬁeld to ﬁnd the appropriate mounting height and spacing of the solar panels that optimize crop yields, as this later can be reduced by the shade created with the solar panels on the plants. It was reported that yields have been reduced by 62% to 3% for more than 80% of the tested crops. To this end, an optimization model can be developed to determine the optimal elevation, spacing, and tilt angle of the solar panels. This model would take into account factors that inﬂuence crop growth and yield, as well as factors that affect the performance of the photovoltaic system, with the goal of maximizing both crop yield and energy production.","container-title":"Processes","DOI":"10.3390/pr11030948","ISSN":"2227-9717","issue":"3","journalAbbreviation":"Processes","language":"en","page":"948","source":"DOI.org (Crossref)","title":"Agrivoltaic, a Synergistic Co-Location of Agricultural and Energy Production in Perpetual Mutation: A Comprehensive Review","title-short":"Agrivoltaic, a Synergistic Co-Location of Agricultural and Energy Production in Perpetual Mutation","volume":"11","author":[{"family":"Sarr","given":"Aminata"},{"family":"Soro","given":"Y. M."},{"family":"Tossa","given":"Alain K."},{"family":"Diop","given":"Lamine"}],"issued":{"date-parts":[["2023",3,20]]}}}],"schema":"https://github.com/citation-style-language/schema/raw/master/csl-citation.json"} </w:instrText>
      </w:r>
      <w:r w:rsidRPr="43844335">
        <w:rPr>
          <w:rFonts w:ascii="Times New Roman" w:hAnsi="Times New Roman" w:cs="Times New Roman"/>
          <w:sz w:val="24"/>
          <w:szCs w:val="24"/>
        </w:rPr>
        <w:fldChar w:fldCharType="separate"/>
      </w:r>
      <w:r w:rsidRPr="43844335" w:rsidR="000703F4">
        <w:rPr>
          <w:rFonts w:ascii="Times New Roman" w:hAnsi="Times New Roman" w:cs="Times New Roman"/>
          <w:sz w:val="24"/>
          <w:szCs w:val="24"/>
        </w:rPr>
        <w:t>3]</w:t>
      </w:r>
      <w:r w:rsidRPr="43844335">
        <w:rPr>
          <w:rFonts w:ascii="Times New Roman" w:hAnsi="Times New Roman" w:cs="Times New Roman"/>
          <w:sz w:val="24"/>
          <w:szCs w:val="24"/>
        </w:rPr>
        <w:fldChar w:fldCharType="end"/>
      </w:r>
      <w:r w:rsidRPr="43844335" w:rsidR="00F35517">
        <w:rPr>
          <w:rFonts w:ascii="Times New Roman" w:hAnsi="Times New Roman" w:cs="Times New Roman"/>
          <w:sz w:val="24"/>
          <w:szCs w:val="24"/>
        </w:rPr>
        <w:t xml:space="preserve">. </w:t>
      </w:r>
      <w:r w:rsidRPr="43844335" w:rsidR="00E67266">
        <w:rPr>
          <w:rFonts w:ascii="Times New Roman" w:hAnsi="Times New Roman" w:cs="Times New Roman"/>
          <w:sz w:val="24"/>
          <w:szCs w:val="24"/>
        </w:rPr>
        <w:t xml:space="preserve">At the same time, we cannot ignore the agri-food sector's role in global emissions; electricity consumption alone accounts for </w:t>
      </w:r>
      <w:r w:rsidRPr="43844335" w:rsidR="2A4BD9D1">
        <w:rPr>
          <w:rFonts w:ascii="Times New Roman" w:hAnsi="Times New Roman" w:cs="Times New Roman"/>
          <w:sz w:val="24"/>
          <w:szCs w:val="24"/>
        </w:rPr>
        <w:t>78.7%</w:t>
      </w:r>
      <w:r w:rsidRPr="43844335" w:rsidR="00E832A3">
        <w:rPr>
          <w:rFonts w:ascii="Times New Roman" w:hAnsi="Times New Roman" w:cs="Times New Roman"/>
          <w:sz w:val="24"/>
          <w:szCs w:val="24"/>
        </w:rPr>
        <w:t xml:space="preserve"> of its carbon footprint </w:t>
      </w:r>
      <w:r w:rsidRPr="43844335">
        <w:rPr>
          <w:rFonts w:ascii="Times New Roman" w:hAnsi="Times New Roman" w:cs="Times New Roman"/>
          <w:sz w:val="24"/>
          <w:szCs w:val="24"/>
        </w:rPr>
        <w:fldChar w:fldCharType="begin"/>
      </w:r>
      <w:r w:rsidRPr="43844335">
        <w:rPr>
          <w:rFonts w:ascii="Times New Roman" w:hAnsi="Times New Roman" w:cs="Times New Roman"/>
          <w:sz w:val="24"/>
          <w:szCs w:val="24"/>
        </w:rPr>
        <w:instrText xml:space="preserve"> ADDIN ZOTERO_ITEM CSL_CITATION {"citationID":"X5Q9CjCO","properties":{"formattedCitation":"[4]","plainCitation":"[4]","noteIndex":0},"citationItems":[{"id":8,"uris":["http://zotero.org/users/local/NWCAR5we/items/5V5LMZDP"],"itemData":{"id":8,"type":"article-journal","abstract":"The world population and consequently the global need for food continue to grow. At the same time, areas will be used to generate clean electricity to cope with climate change and global warming. The combination of crop production and solar photovoltaics in the form of “agrivoltaic technology” offers advantages for both sides that provide an adequate, resource-efficient solution to the persistent problem of competition for arable lands. The implementation of agrivoltaic systems has been exponentially increased in recent years and reached the global installed capacity of 2.8 GW in 2020 from the initial capacity of 5 MW in 2012. The agrivoltaic systems installed worldwide mostly employ conventional opaque photovoltaic (PV) modules, causing a change in the microclimate under the panels that become critical when shading ratios are high. Semi-transparent PV (STPV) modules have been recently employed to mitigate this issue which is profoundly studied in this research by considering the use of semi-transparent technologies based on crystalline silicon (c-Si), thin-film photovoltaics, organic PVs (OPVs), dye-sensitized solar cells (DSSCs), concentrating PVs (CPVs), and luminescent solar concentrators (LSCs) in open (arable farming lands) and closed (cultivation greenhouses) agrivoltaic systems. The results indicated that c-Si STPV modules have the highest share of employment in agrivoltaic systems due to their extreme benefits of low costs, high stability, and high efficiency in comparison with other technologies, while in contrast, the use of thinfilm STPV modules have been rarely reported in the literature. Additionally, STPV modules using OPVs and DSSCs offer the capability to achieve wavelength-selective transparency, causing the photosynthetic active radiation to pass through while the remained spectrum is utilized to generate electricity. Other potential solutions come from CPVs and LSCs, in which, diffuse light is available for the growth of cultivated plants, while direct concentrated sunlight can generate electricity. Although STPV modules are proven as a feasible solution for use in agrivoltaic systems, still more developments are required in terms of the modules’ efficiency enhancement and costs reduction, while more detailed research is required to observe the response of cultivated plants to make this technology a viable sustainable solution in the future.","container-title":"Renewable and Sustainable Energy Reviews","DOI":"10.1016/j.rser.2022.112126","ISSN":"13640321","journalAbbreviation":"Renewable and Sustainable Energy Reviews","language":"en","page":"112126","source":"DOI.org (Crossref)","title":"Progress and challenges of crop production and electricity generation in agrivoltaic systems using semi-transparent photovoltaic technology","volume":"158","author":[{"family":"Gorjian","given":"Shiva"},{"family":"Bousi","given":"Erion"},{"family":"Özdemir","given":"Özal Emre"},{"family":"Trommsdorff","given":"Max"},{"family":"Kumar","given":"Nallapaneni Manoj"},{"family":"Anand","given":"Abhishek"},{"family":"Kant","given":"Karunesh"},{"family":"Chopra","given":"Shauhrat S."}],"issued":{"date-parts":[["2022",4]]}}}],"schema":"https://github.com/citation-style-language/schema/raw/master/csl-citation.json"} </w:instrText>
      </w:r>
      <w:r w:rsidRPr="43844335">
        <w:rPr>
          <w:rFonts w:ascii="Times New Roman" w:hAnsi="Times New Roman" w:cs="Times New Roman"/>
          <w:sz w:val="24"/>
          <w:szCs w:val="24"/>
        </w:rPr>
        <w:fldChar w:fldCharType="separate"/>
      </w:r>
      <w:r w:rsidRPr="43844335" w:rsidR="000703F4">
        <w:rPr>
          <w:rFonts w:ascii="Times New Roman" w:hAnsi="Times New Roman" w:cs="Times New Roman"/>
          <w:sz w:val="24"/>
          <w:szCs w:val="24"/>
        </w:rPr>
        <w:t>[4]</w:t>
      </w:r>
      <w:r w:rsidRPr="43844335">
        <w:rPr>
          <w:rFonts w:ascii="Times New Roman" w:hAnsi="Times New Roman" w:cs="Times New Roman"/>
          <w:sz w:val="24"/>
          <w:szCs w:val="24"/>
        </w:rPr>
        <w:fldChar w:fldCharType="end"/>
      </w:r>
      <w:r w:rsidRPr="43844335" w:rsidR="00F35517">
        <w:rPr>
          <w:rFonts w:ascii="Times New Roman" w:hAnsi="Times New Roman" w:cs="Times New Roman"/>
          <w:sz w:val="24"/>
          <w:szCs w:val="24"/>
        </w:rPr>
        <w:t>.</w:t>
      </w:r>
    </w:p>
    <w:p w:rsidRPr="000C01CA" w:rsidR="008168C6" w:rsidP="00102447" w:rsidRDefault="00CD530B" w14:paraId="37A0DB50" w14:textId="415658D1">
      <w:pPr>
        <w:spacing w:line="360" w:lineRule="auto"/>
        <w:jc w:val="both"/>
        <w:rPr>
          <w:rFonts w:ascii="Times New Roman" w:hAnsi="Times New Roman" w:cs="Times New Roman"/>
          <w:sz w:val="24"/>
          <w:szCs w:val="24"/>
        </w:rPr>
      </w:pPr>
      <w:r w:rsidRPr="000C01CA">
        <w:rPr>
          <w:rFonts w:ascii="Times New Roman" w:hAnsi="Times New Roman" w:cs="Times New Roman"/>
          <w:sz w:val="24"/>
          <w:szCs w:val="24"/>
        </w:rPr>
        <w:t xml:space="preserve">Although solar photovoltaic (PV) technologies offer a major pathway for the decarbonization of energy systems, their deployment has long been limited by competition for land use, as large ground-mounted solar installations often require land that would otherwise be used for food production </w:t>
      </w:r>
      <w:r w:rsidRPr="000C01CA" w:rsidR="000703F4">
        <w:rPr>
          <w:rFonts w:ascii="Times New Roman" w:hAnsi="Times New Roman" w:cs="Times New Roman"/>
          <w:sz w:val="24"/>
          <w:szCs w:val="24"/>
        </w:rPr>
        <w:fldChar w:fldCharType="begin"/>
      </w:r>
      <w:r w:rsidRPr="000C01CA" w:rsidR="00246226">
        <w:rPr>
          <w:rFonts w:ascii="Times New Roman" w:hAnsi="Times New Roman" w:cs="Times New Roman"/>
          <w:sz w:val="24"/>
          <w:szCs w:val="24"/>
        </w:rPr>
        <w:instrText xml:space="preserve"> ADDIN ZOTERO_ITEM CSL_CITATION {"citationID":"sXUWnOXw","properties":{"formattedCitation":"[1]","plainCitation":"[1]","dontUpdate":true,"noteIndex":0},"citationItems":[{"id":5,"uris":["http://zotero.org/users/local/NWCAR5we/items/UUW3G8ZP"],"itemData":{"id":5,"type":"article-journal","abstract":"Agrivoltaic systems combine solar photovoltaic energy production with agriculture to improve land-use efﬁciency. We provide an upper-bound reduced-order cost estimate for widespread implementation of Agrivoltaic systems in the United States. We ﬁnd that 20% of the US’ total electricity generation can be met with Agrivoltaic systems if less than 1% of the annual US budget is invested into rural infrastructure. Simultaneously, Agrivoltaic systems align well with existing Green New Deal goals. Widescale installation of Agrivoltaic systems can lead to a carbon dioxide (CO2) emissions reduction equivalent to removing 71,000 cars from the road annually and the creation of over 100,000 jobs in rural communities. Agrivoltaics provide a rare chance for true synergy: more food, more energy, lower water demand, lower carbon emissions, and more prosperous rural communities.","container-title":"Sustainability","DOI":"10.3390/su13010137","ISSN":"2071-1050","issue":"1","journalAbbreviation":"Sustainability","language":"en","page":"137","source":"DOI.org (Crossref)","title":"Agrivoltaics Align with Green New Deal Goals While Supporting Investment in the US’ Rural Economy","volume":"13","author":[{"family":"Proctor","given":"Kyle"},{"family":"Murthy","given":"Ganti"},{"family":"Higgins","given":"Chad"}],"issued":{"date-parts":[["2020",12,25]]}}}],"schema":"https://github.com/citation-style-language/schema/raw/master/csl-citation.json"} </w:instrText>
      </w:r>
      <w:r w:rsidRPr="000C01CA" w:rsidR="000703F4">
        <w:rPr>
          <w:rFonts w:ascii="Times New Roman" w:hAnsi="Times New Roman" w:cs="Times New Roman"/>
          <w:sz w:val="24"/>
          <w:szCs w:val="24"/>
        </w:rPr>
        <w:fldChar w:fldCharType="separate"/>
      </w:r>
      <w:r w:rsidRPr="000C01CA" w:rsidR="000703F4">
        <w:rPr>
          <w:rFonts w:ascii="Times New Roman" w:hAnsi="Times New Roman" w:cs="Times New Roman"/>
          <w:sz w:val="24"/>
        </w:rPr>
        <w:t>[1</w:t>
      </w:r>
      <w:r w:rsidRPr="000C01CA" w:rsidR="00246226">
        <w:rPr>
          <w:rFonts w:ascii="Times New Roman" w:hAnsi="Times New Roman" w:cs="Times New Roman"/>
          <w:sz w:val="24"/>
        </w:rPr>
        <w:t>,</w:t>
      </w:r>
      <w:r w:rsidRPr="000C01CA" w:rsidR="000703F4">
        <w:rPr>
          <w:rFonts w:ascii="Times New Roman" w:hAnsi="Times New Roman" w:cs="Times New Roman"/>
          <w:sz w:val="24"/>
          <w:szCs w:val="24"/>
        </w:rPr>
        <w:fldChar w:fldCharType="end"/>
      </w:r>
      <w:r w:rsidRPr="000C01CA" w:rsidR="00680540">
        <w:rPr>
          <w:rFonts w:ascii="Times New Roman" w:hAnsi="Times New Roman" w:cs="Times New Roman"/>
          <w:sz w:val="24"/>
          <w:szCs w:val="24"/>
        </w:rPr>
        <w:t xml:space="preserve"> </w:t>
      </w:r>
      <w:r w:rsidRPr="000C01CA" w:rsidR="000703F4">
        <w:rPr>
          <w:rFonts w:ascii="Times New Roman" w:hAnsi="Times New Roman" w:cs="Times New Roman"/>
          <w:sz w:val="24"/>
          <w:szCs w:val="24"/>
        </w:rPr>
        <w:fldChar w:fldCharType="begin"/>
      </w:r>
      <w:r w:rsidRPr="000C01CA" w:rsidR="00246226">
        <w:rPr>
          <w:rFonts w:ascii="Times New Roman" w:hAnsi="Times New Roman" w:cs="Times New Roman"/>
          <w:sz w:val="24"/>
          <w:szCs w:val="24"/>
        </w:rPr>
        <w:instrText xml:space="preserve"> ADDIN ZOTERO_ITEM CSL_CITATION {"citationID":"8uIcjEMf","properties":{"formattedCitation":"[2]","plainCitation":"[2]","dontUpdate":true,"noteIndex":0},"citationItems":[{"id":4,"uris":["http://zotero.org/users/local/NWCAR5we/items/3QU7AW53"],"itemData":{"id":4,"type":"paper-conference","abstract":"Agrivoltaics is an emerging technology of collocating solar photovoltaics with agriculture that has many potential synergetic food-energy-water beneﬁts. The design of agrivoltaic systems demands a careful balance for sharing sunlight between solar panels and crops to ensure an optimal food-energy productivity. We explore the optimal single-axis tracking schemes for agrivoltaics that can provide the precise balance of sunlight between PV and crops. The single-axis tracking schemes are applied to bifacial panel arrays in two different PV orientations, i.e., East/West vs. North/South faced. By modeling the temporal variations of drop shadows on crops and the known requirements of photosynthetically active radiation (PAR) by the crop, we propose customized solar tracking schemes that vary between standard sun tracking and reverse sun tracking during the day according to the crop requirement. During the early daytime after sunrise and closer to the sunset, PAR is lower than the saturated PAR for the plants. Closer to noon, available PAR can exceed the crop needs. An optimal algorithm ensures that the PAR available to the crops remains closer to its required PAR so that the excess sunlight could be harvested by the PV arrays. The seasonal variation in customized tracking schemes is explored for the two PV orientations.","container-title":"2020 47th IEEE Photovoltaic Specialists Conference (PVSC)","DOI":"10.1109/PVSC45281.2020.9300682","event-place":"Calgary, AB, Canada","event-title":"2020 IEEE 47th Photovoltaic Specialists Conference (PVSC)","ISBN":"978-1-7281-6115-0","language":"en","license":"https://ieeexplore.ieee.org/Xplorehelp/downloads/license-information/IEEE.html","page":"1353-1356","publisher":"IEEE","publisher-place":"Calgary, AB, Canada","source":"DOI.org (Crossref)","title":"Optimization of Single-Axis Tracking of Photovoltaic Modules for Agrivoltaic Systems","URL":"https://ieeexplore.ieee.org/document/9300682/","author":[{"family":"Imran","given":"Hassan"},{"family":"Riaz","given":"Muhammad Hussnain"},{"family":"Butt","given":"Nauman Zafar"}],"accessed":{"date-parts":[["2025",12,15]]},"issued":{"date-parts":[["2020",6,14]]}}}],"schema":"https://github.com/citation-style-language/schema/raw/master/csl-citation.json"} </w:instrText>
      </w:r>
      <w:r w:rsidRPr="000C01CA" w:rsidR="000703F4">
        <w:rPr>
          <w:rFonts w:ascii="Times New Roman" w:hAnsi="Times New Roman" w:cs="Times New Roman"/>
          <w:sz w:val="24"/>
          <w:szCs w:val="24"/>
        </w:rPr>
        <w:fldChar w:fldCharType="separate"/>
      </w:r>
      <w:r w:rsidRPr="000C01CA" w:rsidR="000703F4">
        <w:rPr>
          <w:rFonts w:ascii="Times New Roman" w:hAnsi="Times New Roman" w:cs="Times New Roman"/>
          <w:sz w:val="24"/>
        </w:rPr>
        <w:t>2</w:t>
      </w:r>
      <w:r w:rsidRPr="000C01CA" w:rsidR="00246226">
        <w:rPr>
          <w:rFonts w:ascii="Times New Roman" w:hAnsi="Times New Roman" w:cs="Times New Roman"/>
          <w:sz w:val="24"/>
        </w:rPr>
        <w:t>,</w:t>
      </w:r>
      <w:r w:rsidRPr="000C01CA" w:rsidR="000703F4">
        <w:rPr>
          <w:rFonts w:ascii="Times New Roman" w:hAnsi="Times New Roman" w:cs="Times New Roman"/>
          <w:sz w:val="24"/>
          <w:szCs w:val="24"/>
        </w:rPr>
        <w:fldChar w:fldCharType="end"/>
      </w:r>
      <w:r w:rsidRPr="000C01CA" w:rsidR="00260DBA">
        <w:rPr>
          <w:rFonts w:ascii="Times New Roman" w:hAnsi="Times New Roman" w:cs="Times New Roman"/>
          <w:sz w:val="24"/>
          <w:szCs w:val="24"/>
        </w:rPr>
        <w:t xml:space="preserve"> </w:t>
      </w:r>
      <w:r w:rsidRPr="000C01CA" w:rsidR="000703F4">
        <w:rPr>
          <w:rFonts w:ascii="Times New Roman" w:hAnsi="Times New Roman" w:cs="Times New Roman"/>
          <w:sz w:val="24"/>
          <w:szCs w:val="24"/>
        </w:rPr>
        <w:fldChar w:fldCharType="begin"/>
      </w:r>
      <w:r w:rsidRPr="000C01CA" w:rsidR="00246226">
        <w:rPr>
          <w:rFonts w:ascii="Times New Roman" w:hAnsi="Times New Roman" w:cs="Times New Roman"/>
          <w:sz w:val="24"/>
          <w:szCs w:val="24"/>
        </w:rPr>
        <w:instrText xml:space="preserve"> ADDIN ZOTERO_ITEM CSL_CITATION {"citationID":"rGzbn2jZ","properties":{"formattedCitation":"[3]","plainCitation":"[3]","dontUpdate":true,"noteIndex":0},"citationItems":[{"id":17,"uris":["http://zotero.org/users/local/NWCAR5we/items/ZEN6CQHW"],"itemData":{"id":17,"type":"article-journal","abstract":"Agrivoltaic systems, which consist of the combination of energy production by means of photovoltaic systems and agricultural production in the same area, have emerged as a promising solution to the constraints related to the reduction in cultivated areas due to solar panels used in agricultural production systems. They also enable optimization of land use and reduction in conﬂicts over land access, in order to meet the increasing demand for agricultural products and energy resulting from rapid population growth. However, the selected installation conﬁgurations, such as elevation, spacing, tilt, and choice of panel technology used, can have a negative impact on agricultural and/or energy production. Thus, this paper addresses the need for a review that provides a clear explanation of agrivoltaics, including the factors that impact agricultural and energy production in agrivoltaic systems, types of panel conﬁgurations and technologies to optimize these systems, and a synthesis of modelling studies which have already been conducted in this area. Several studies have been carried out in this ﬁeld to ﬁnd the appropriate mounting height and spacing of the solar panels that optimize crop yields, as this later can be reduced by the shade created with the solar panels on the plants. It was reported that yields have been reduced by 62% to 3% for more than 80% of the tested crops. To this end, an optimization model can be developed to determine the optimal elevation, spacing, and tilt angle of the solar panels. This model would take into account factors that inﬂuence crop growth and yield, as well as factors that affect the performance of the photovoltaic system, with the goal of maximizing both crop yield and energy production.","container-title":"Processes","DOI":"10.3390/pr11030948","ISSN":"2227-9717","issue":"3","journalAbbreviation":"Processes","language":"en","page":"948","source":"DOI.org (Crossref)","title":"Agrivoltaic, a Synergistic Co-Location of Agricultural and Energy Production in Perpetual Mutation: A Comprehensive Review","title-short":"Agrivoltaic, a Synergistic Co-Location of Agricultural and Energy Production in Perpetual Mutation","volume":"11","author":[{"family":"Sarr","given":"Aminata"},{"family":"Soro","given":"Y. M."},{"family":"Tossa","given":"Alain K."},{"family":"Diop","given":"Lamine"}],"issued":{"date-parts":[["2023",3,20]]}}}],"schema":"https://github.com/citation-style-language/schema/raw/master/csl-citation.json"} </w:instrText>
      </w:r>
      <w:r w:rsidRPr="000C01CA" w:rsidR="000703F4">
        <w:rPr>
          <w:rFonts w:ascii="Times New Roman" w:hAnsi="Times New Roman" w:cs="Times New Roman"/>
          <w:sz w:val="24"/>
          <w:szCs w:val="24"/>
        </w:rPr>
        <w:fldChar w:fldCharType="separate"/>
      </w:r>
      <w:r w:rsidRPr="000C01CA" w:rsidR="000703F4">
        <w:rPr>
          <w:rFonts w:ascii="Times New Roman" w:hAnsi="Times New Roman" w:cs="Times New Roman"/>
          <w:sz w:val="24"/>
        </w:rPr>
        <w:t>3</w:t>
      </w:r>
      <w:r w:rsidRPr="000C01CA" w:rsidR="00246226">
        <w:rPr>
          <w:rFonts w:ascii="Times New Roman" w:hAnsi="Times New Roman" w:cs="Times New Roman"/>
          <w:sz w:val="24"/>
        </w:rPr>
        <w:t>,</w:t>
      </w:r>
      <w:r w:rsidRPr="000C01CA" w:rsidR="000703F4">
        <w:rPr>
          <w:rFonts w:ascii="Times New Roman" w:hAnsi="Times New Roman" w:cs="Times New Roman"/>
          <w:sz w:val="24"/>
          <w:szCs w:val="24"/>
        </w:rPr>
        <w:fldChar w:fldCharType="end"/>
      </w:r>
      <w:r w:rsidRPr="000C01CA" w:rsidR="00680540">
        <w:rPr>
          <w:rFonts w:ascii="Times New Roman" w:hAnsi="Times New Roman" w:cs="Times New Roman"/>
          <w:sz w:val="24"/>
          <w:szCs w:val="24"/>
        </w:rPr>
        <w:t xml:space="preserve"> </w:t>
      </w:r>
      <w:r w:rsidRPr="000C01CA" w:rsidR="000703F4">
        <w:rPr>
          <w:rFonts w:ascii="Times New Roman" w:hAnsi="Times New Roman" w:cs="Times New Roman"/>
          <w:sz w:val="24"/>
          <w:szCs w:val="24"/>
        </w:rPr>
        <w:fldChar w:fldCharType="begin"/>
      </w:r>
      <w:r w:rsidRPr="000C01CA" w:rsidR="00246226">
        <w:rPr>
          <w:rFonts w:ascii="Times New Roman" w:hAnsi="Times New Roman" w:cs="Times New Roman"/>
          <w:sz w:val="24"/>
          <w:szCs w:val="24"/>
        </w:rPr>
        <w:instrText xml:space="preserve"> ADDIN ZOTERO_ITEM CSL_CITATION {"citationID":"IkLiVVJh","properties":{"formattedCitation":"[5]","plainCitation":"[5]","dontUpdate":true,"noteIndex":0},"citationItems":[{"id":10,"uris":["http://zotero.org/users/local/NWCAR5we/items/MILN53UC"],"itemData":{"id":10,"type":"report","language":"en","note":"DOI: 10.2172/1882930","number":"NREL/TP-6A20-83566, 1882930, MainId:84339","page":"NREL/TP-6A20-83566, 1882930, MainId:84339","source":"DOI.org (Crossref)","title":"The 5 Cs of Agrivoltaic Success Factors in the United States: Lessons from the InSPIRE Research Study","title-short":"The 5 Cs of Agrivoltaic Success Factors in the United States","URL":"https://www.osti.gov/servlets/purl/1882930/","author":[{"family":"Macknick","given":"Jordan"},{"family":"Hartmann","given":"Heidi"},{"family":"Barron-Gafford","given":"Greg"},{"family":"Beatty","given":"Brenda"},{"family":"Burton","given":"Robin"},{"family":"Seok-Choi","given":"Chong"},{"family":"Davis","given":"Matthew"},{"family":"Davis","given":"Rob"},{"family":"Figueroa","given":"Jorge"},{"family":"Garrett","given":"Amy"},{"family":"Hain","given":"Lexie"},{"family":"Herbert","given":"Stephen"},{"family":"Janski","given":"Jake"},{"family":"Kinzer","given":"Austin"},{"family":"Knapp","given":"Alan"},{"family":"Lehan","given":"Michael"},{"family":"Losey","given":"John"},{"family":"Marley","given":"Jake"},{"family":"MacDonald","given":"James"},{"family":"McCall","given":"James"},{"family":"Nebert","given":"Lucas"},{"family":"Ravi","given":"Sujith"},{"family":"Schmidt","given":"Jason"},{"family":"Staie","given":"Brittany"},{"family":"Walston","given":"Leroy"}],"accessed":{"date-parts":[["2025",12,15]]},"issued":{"date-parts":[["2022",8,1]]}}}],"schema":"https://github.com/citation-style-language/schema/raw/master/csl-citation.json"} </w:instrText>
      </w:r>
      <w:r w:rsidRPr="000C01CA" w:rsidR="000703F4">
        <w:rPr>
          <w:rFonts w:ascii="Times New Roman" w:hAnsi="Times New Roman" w:cs="Times New Roman"/>
          <w:sz w:val="24"/>
          <w:szCs w:val="24"/>
        </w:rPr>
        <w:fldChar w:fldCharType="separate"/>
      </w:r>
      <w:r w:rsidRPr="000C01CA" w:rsidR="000703F4">
        <w:rPr>
          <w:rFonts w:ascii="Times New Roman" w:hAnsi="Times New Roman" w:cs="Times New Roman"/>
          <w:sz w:val="24"/>
        </w:rPr>
        <w:t>5</w:t>
      </w:r>
      <w:r w:rsidRPr="000C01CA" w:rsidR="00246226">
        <w:rPr>
          <w:rFonts w:ascii="Times New Roman" w:hAnsi="Times New Roman" w:cs="Times New Roman"/>
          <w:sz w:val="24"/>
        </w:rPr>
        <w:t>,</w:t>
      </w:r>
      <w:r w:rsidRPr="000C01CA" w:rsidR="000703F4">
        <w:rPr>
          <w:rFonts w:ascii="Times New Roman" w:hAnsi="Times New Roman" w:cs="Times New Roman"/>
          <w:sz w:val="24"/>
          <w:szCs w:val="24"/>
        </w:rPr>
        <w:fldChar w:fldCharType="end"/>
      </w:r>
      <w:r w:rsidRPr="000C01CA" w:rsidR="006D6F1E">
        <w:rPr>
          <w:rFonts w:ascii="Times New Roman" w:hAnsi="Times New Roman" w:cs="Times New Roman"/>
          <w:sz w:val="24"/>
          <w:szCs w:val="24"/>
        </w:rPr>
        <w:t xml:space="preserve"> </w:t>
      </w:r>
      <w:r w:rsidRPr="000C01CA" w:rsidR="000703F4">
        <w:rPr>
          <w:rFonts w:ascii="Times New Roman" w:hAnsi="Times New Roman" w:cs="Times New Roman"/>
          <w:sz w:val="24"/>
          <w:szCs w:val="24"/>
        </w:rPr>
        <w:fldChar w:fldCharType="begin"/>
      </w:r>
      <w:r w:rsidRPr="000C01CA" w:rsidR="00246226">
        <w:rPr>
          <w:rFonts w:ascii="Times New Roman" w:hAnsi="Times New Roman" w:cs="Times New Roman"/>
          <w:sz w:val="24"/>
          <w:szCs w:val="24"/>
        </w:rPr>
        <w:instrText xml:space="preserve"> ADDIN ZOTERO_ITEM CSL_CITATION {"citationID":"xWVjb5Ua","properties":{"formattedCitation":"[6]","plainCitation":"[6]","dontUpdate":true,"noteIndex":0},"citationItems":[{"id":46,"uris":["http://zotero.org/users/local/NWCAR5we/items/BAPQ3KXE"],"itemData":{"id":46,"type":"article-journal","abstract":"Despite the technical feasibility of renewable energy technologies and their contribution to climate-friendly power production public opposition can be a hurdle for new installations of renewable energy plants. This study assesses citizens’ perceptions of the Agrophotovoltaics (APV) technology by applying the Responsible Research and Innovation (RRI) concept. APV combines biomass cultivation and solar power production at the same site in order to reduce land use conﬂict of food vs. energy production. In a workshop, citizens’ perception on APV before building the ﬁrst pilot plant was investigated to analyze relevant aspects for the innovation process and its framework at an early stage of the technology development process. This paper describes the ﬁndings from this workshop focusing on the impact of APV on landscape, biodiversity, economy, and on the requirements for regulatory framework.","container-title":"Journal of Responsible Innovation","DOI":"10.1080/23299460.2019.1647085","ISSN":"2329-9460, 2329-9037","issue":"2","journalAbbreviation":"Journal of Responsible Innovation","language":"en","page":"193-216","source":"DOI.org (Crossref)","title":"Land use conflicts between biomass and power production – citizens’ participation in the technology development of Agrophotovoltaics","volume":"7","author":[{"family":"Ketzer","given":"Daniel"},{"family":"Weinberger","given":"Nora"},{"family":"Rösch","given":"Christine"},{"family":"Seitz","given":"Stefanie B."}],"issued":{"date-parts":[["2020",5,3]]}}}],"schema":"https://github.com/citation-style-language/schema/raw/master/csl-citation.json"} </w:instrText>
      </w:r>
      <w:r w:rsidRPr="000C01CA" w:rsidR="000703F4">
        <w:rPr>
          <w:rFonts w:ascii="Times New Roman" w:hAnsi="Times New Roman" w:cs="Times New Roman"/>
          <w:sz w:val="24"/>
          <w:szCs w:val="24"/>
        </w:rPr>
        <w:fldChar w:fldCharType="separate"/>
      </w:r>
      <w:r w:rsidRPr="000C01CA" w:rsidR="000703F4">
        <w:rPr>
          <w:rFonts w:ascii="Times New Roman" w:hAnsi="Times New Roman" w:cs="Times New Roman"/>
          <w:sz w:val="24"/>
        </w:rPr>
        <w:t>6]</w:t>
      </w:r>
      <w:r w:rsidRPr="000C01CA" w:rsidR="000703F4">
        <w:rPr>
          <w:rFonts w:ascii="Times New Roman" w:hAnsi="Times New Roman" w:cs="Times New Roman"/>
          <w:sz w:val="24"/>
          <w:szCs w:val="24"/>
        </w:rPr>
        <w:fldChar w:fldCharType="end"/>
      </w:r>
      <w:r w:rsidRPr="000C01CA">
        <w:rPr>
          <w:rFonts w:ascii="Times New Roman" w:hAnsi="Times New Roman" w:cs="Times New Roman"/>
          <w:sz w:val="24"/>
          <w:szCs w:val="24"/>
        </w:rPr>
        <w:t>. This tension is particularly evident in densely populated regions.</w:t>
      </w:r>
    </w:p>
    <w:p w:rsidRPr="000C01CA" w:rsidR="00773396" w:rsidP="00102447" w:rsidRDefault="00A835C4" w14:paraId="1ECBB1AA" w14:textId="73635962">
      <w:pPr>
        <w:spacing w:line="360" w:lineRule="auto"/>
        <w:jc w:val="both"/>
        <w:rPr>
          <w:rFonts w:ascii="Times New Roman" w:hAnsi="Times New Roman" w:cs="Times New Roman"/>
          <w:sz w:val="24"/>
          <w:szCs w:val="24"/>
        </w:rPr>
      </w:pPr>
      <w:r w:rsidRPr="43844335" w:rsidR="00A835C4">
        <w:rPr>
          <w:rFonts w:ascii="Times New Roman" w:hAnsi="Times New Roman" w:cs="Times New Roman"/>
          <w:sz w:val="24"/>
          <w:szCs w:val="24"/>
        </w:rPr>
        <w:t xml:space="preserve">For farmers in semi-arid regions, climatic conditions are characterized by a triple burden: intense sunlight, high evapotranspiration, and persistent heat waves. These factors </w:t>
      </w:r>
      <w:r w:rsidRPr="43844335" w:rsidR="00A835C4">
        <w:rPr>
          <w:rFonts w:ascii="Times New Roman" w:hAnsi="Times New Roman" w:cs="Times New Roman"/>
          <w:sz w:val="24"/>
          <w:szCs w:val="24"/>
        </w:rPr>
        <w:t>exacerbate</w:t>
      </w:r>
      <w:r w:rsidRPr="43844335" w:rsidR="00A835C4">
        <w:rPr>
          <w:rFonts w:ascii="Times New Roman" w:hAnsi="Times New Roman" w:cs="Times New Roman"/>
          <w:sz w:val="24"/>
          <w:szCs w:val="24"/>
        </w:rPr>
        <w:t xml:space="preserve"> the pressure on water resources and create a context in which agrivoltaic (AV) solutions prove particularly relevant </w:t>
      </w:r>
      <w:r w:rsidRPr="43844335">
        <w:rPr>
          <w:rFonts w:ascii="Times New Roman" w:hAnsi="Times New Roman" w:cs="Times New Roman"/>
          <w:sz w:val="24"/>
          <w:szCs w:val="24"/>
        </w:rPr>
        <w:fldChar w:fldCharType="begin"/>
      </w:r>
      <w:r w:rsidRPr="43844335">
        <w:rPr>
          <w:rFonts w:ascii="Times New Roman" w:hAnsi="Times New Roman" w:cs="Times New Roman"/>
          <w:sz w:val="24"/>
          <w:szCs w:val="24"/>
        </w:rPr>
        <w:instrText xml:space="preserve"> ADDIN ZOTERO_ITEM CSL_CITATION {"citationID":"yvn0P8od","properties":{"formattedCitation":"[7]","plainCitation":"[7]","dontUpdate":true,"noteIndex":0},"citationItems":[{"id":20,"uris":["http://zotero.org/users/local/NWCAR5we/items/NHYQ9YAR"],"itemData":{"id":20,"type":"article-journal","abstract":"As more nations move towards net-zero emission goals by 2050, research into the coupling of photovoltaics (PV) and agriculture has increased into a new sector of agrivoltaics (AV). Measurement of the Land Equivalent Ratio (LER) has allowed researchers to develop methods for optimizing the agrivoltaic system. Studies on innovative engineering technologies related to photovoltaic tracking along with new generation PV cells were reviewed to determine the factors that inﬂuence optimization. This review also considered AV farm layouts and how different spacing, height, and density impact the shading under the panels. As panels block the light from hitting the plants, the photosynthetically active radiation (PAR) changes and alters plant growth. The shading, however, also creates micro-climates that have beneﬁcial qualities in terms of water usage and PV efﬁciency. The overall review investigated the research of the last ﬁve years into AV optimization and the implications for future AV developments.","container-title":"Challenges","DOI":"10.3390/challe13020043","ISSN":"2078-1547","issue":"2","journalAbbreviation":"Challenges","language":"en","page":"43","source":"DOI.org (Crossref)","title":"Agrivoltaic Engineering and Layout Optimization Approaches in the Transition to Renewable Energy Technologies: A Review","title-short":"Agrivoltaic Engineering and Layout Optimization Approaches in the Transition to Renewable Energy Technologies","volume":"13","author":[{"family":"Reasoner","given":"Meagan"},{"family":"Ghosh","given":"Aritra"}],"issued":{"date-parts":[["2022",9,1]]}}}],"schema":"https://github.com/citation-style-language/schema/raw/master/csl-citation.json"} </w:instrText>
      </w:r>
      <w:r w:rsidRPr="43844335">
        <w:rPr>
          <w:rFonts w:ascii="Times New Roman" w:hAnsi="Times New Roman" w:cs="Times New Roman"/>
          <w:sz w:val="24"/>
          <w:szCs w:val="24"/>
        </w:rPr>
        <w:fldChar w:fldCharType="separate"/>
      </w:r>
      <w:r w:rsidRPr="43844335" w:rsidR="000703F4">
        <w:rPr>
          <w:rFonts w:ascii="Times New Roman" w:hAnsi="Times New Roman" w:cs="Times New Roman"/>
          <w:sz w:val="24"/>
          <w:szCs w:val="24"/>
        </w:rPr>
        <w:t>[7</w:t>
      </w:r>
      <w:r w:rsidRPr="43844335" w:rsidR="00246226">
        <w:rPr>
          <w:rFonts w:ascii="Times New Roman" w:hAnsi="Times New Roman" w:cs="Times New Roman"/>
          <w:sz w:val="24"/>
          <w:szCs w:val="24"/>
        </w:rPr>
        <w:t>,</w:t>
      </w:r>
      <w:r w:rsidRPr="43844335">
        <w:rPr>
          <w:rFonts w:ascii="Times New Roman" w:hAnsi="Times New Roman" w:cs="Times New Roman"/>
          <w:sz w:val="24"/>
          <w:szCs w:val="24"/>
        </w:rPr>
        <w:fldChar w:fldCharType="end"/>
      </w:r>
      <w:r w:rsidRPr="43844335" w:rsidR="00066D86">
        <w:rPr>
          <w:rFonts w:ascii="Times New Roman" w:hAnsi="Times New Roman" w:cs="Times New Roman"/>
          <w:sz w:val="24"/>
          <w:szCs w:val="24"/>
        </w:rPr>
        <w:t xml:space="preserve"> </w:t>
      </w:r>
      <w:r w:rsidRPr="43844335">
        <w:rPr>
          <w:rFonts w:ascii="Times New Roman" w:hAnsi="Times New Roman" w:cs="Times New Roman"/>
          <w:sz w:val="24"/>
          <w:szCs w:val="24"/>
        </w:rPr>
        <w:fldChar w:fldCharType="begin"/>
      </w:r>
      <w:r w:rsidRPr="43844335">
        <w:rPr>
          <w:rFonts w:ascii="Times New Roman" w:hAnsi="Times New Roman" w:cs="Times New Roman"/>
          <w:sz w:val="24"/>
          <w:szCs w:val="24"/>
        </w:rPr>
        <w:instrText xml:space="preserve"> ADDIN ZOTERO_ITEM CSL_CITATION {"citationID":"n4YmuduO","properties":{"formattedCitation":"[8]","plainCitation":"[8]","dontUpdate":true,"noteIndex":0},"citationItems":[{"id":22,"uris":["http://zotero.org/users/local/NWCAR5we/items/RNLZ3A56"],"itemData":{"id":22,"type":"article-journal","abstract":"Agrivoltaics, a system combining the production of agricultural crops and solar energy on the same land area, offers a potential solution to land use competition between different sectors. However, concerns have been raised regarding the impact of shade on plant growth under Agrivoltaic Systems (AVSs). Numerous studies have explored the effects of AVSs shading on agricultural crops. However, most of these studies focused on shade-tolerant crops, leaving a gap in the understanding of how these systems affect shade-intolerant crops. To this end, this study was conducted in Bari, southern Italy, using two types of AVSs: conventional (Con) and semi-transparent (ST) panels. The objective was to assess the impacts of the different levels of shading on the tomato yield and fruit quality. Tomato cultivation occurred between May and August under various conditions: Con panels, ST panels, and Open Field. The results revealed that soil temperature decreased under both AVSs compared to in the open ﬁeld conditions. However, the signiﬁcant reduction in photosynthetically active radiation (PAR), up to 43% in ST and 67% in Con, led to yield reductions ranging between 28% and 58% in ST and Con, respectively. Nonetheless, AVSs demonstrated their potential to reduce irrigation water demand by over 15% in ST and more than 20% in Con. Interestingly, the AVSs reduced fruit size but improved certain fruit quality attributes, such as titratable acidity, which is closely correlated with fruit ﬂavour. These ﬁndings highlight the challenges of cultivating shadeintolerant crops under AVSs in a Mediterranean climate, while temperate, dry conditions may offer more favourable prospects for agricultural production.","container-title":"Processes","DOI":"10.3390/pr11123370","ISSN":"2227-9717","issue":"12","journalAbbreviation":"Processes","language":"en","page":"3370","source":"DOI.org (Crossref)","title":"The Impact of Agrivoltaic Systems on Tomato Crop: A Case Study in Southern Italy","title-short":"The Impact of Agrivoltaic Systems on Tomato Crop","volume":"11","author":[{"family":"Mohammedi","given":"Serine"},{"family":"Dragonetti","given":"Giovanna"},{"family":"Admane","given":"Naouel"},{"family":"Fouial","given":"Abdelouahid"}],"issued":{"date-parts":[["2023",12,4]]}}}],"schema":"https://github.com/citation-style-language/schema/raw/master/csl-citation.json"} </w:instrText>
      </w:r>
      <w:r w:rsidRPr="43844335">
        <w:rPr>
          <w:rFonts w:ascii="Times New Roman" w:hAnsi="Times New Roman" w:cs="Times New Roman"/>
          <w:sz w:val="24"/>
          <w:szCs w:val="24"/>
        </w:rPr>
        <w:fldChar w:fldCharType="separate"/>
      </w:r>
      <w:r w:rsidRPr="43844335" w:rsidR="000703F4">
        <w:rPr>
          <w:rFonts w:ascii="Times New Roman" w:hAnsi="Times New Roman" w:cs="Times New Roman"/>
          <w:sz w:val="24"/>
          <w:szCs w:val="24"/>
        </w:rPr>
        <w:t>8]</w:t>
      </w:r>
      <w:r w:rsidRPr="43844335">
        <w:rPr>
          <w:rFonts w:ascii="Times New Roman" w:hAnsi="Times New Roman" w:cs="Times New Roman"/>
          <w:sz w:val="24"/>
          <w:szCs w:val="24"/>
        </w:rPr>
        <w:fldChar w:fldCharType="end"/>
      </w:r>
      <w:r w:rsidRPr="43844335" w:rsidR="00356C03">
        <w:rPr>
          <w:rFonts w:ascii="Times New Roman" w:hAnsi="Times New Roman" w:cs="Times New Roman"/>
          <w:sz w:val="24"/>
          <w:szCs w:val="24"/>
        </w:rPr>
        <w:t>.</w:t>
      </w:r>
      <w:r w:rsidRPr="43844335" w:rsidR="00F35517">
        <w:rPr>
          <w:rFonts w:ascii="Times New Roman" w:hAnsi="Times New Roman" w:cs="Times New Roman"/>
          <w:sz w:val="24"/>
          <w:szCs w:val="24"/>
        </w:rPr>
        <w:t xml:space="preserve"> </w:t>
      </w:r>
      <w:r w:rsidRPr="43844335" w:rsidR="00CC678E">
        <w:rPr>
          <w:rFonts w:ascii="Times New Roman" w:hAnsi="Times New Roman" w:cs="Times New Roman"/>
          <w:sz w:val="24"/>
          <w:szCs w:val="24"/>
        </w:rPr>
        <w:t xml:space="preserve">Agrivoltaics (AV) has surfaced as a compelling "dual-use" solution to this problem, allowing crops and solar energy to share the same footprint. Research </w:t>
      </w:r>
      <w:r w:rsidRPr="43844335" w:rsidR="00CC678E">
        <w:rPr>
          <w:rFonts w:ascii="Times New Roman" w:hAnsi="Times New Roman" w:cs="Times New Roman"/>
          <w:sz w:val="24"/>
          <w:szCs w:val="24"/>
        </w:rPr>
        <w:t>indicates</w:t>
      </w:r>
      <w:r w:rsidRPr="43844335" w:rsidR="00CC678E">
        <w:rPr>
          <w:rFonts w:ascii="Times New Roman" w:hAnsi="Times New Roman" w:cs="Times New Roman"/>
          <w:sz w:val="24"/>
          <w:szCs w:val="24"/>
        </w:rPr>
        <w:t xml:space="preserve"> that the partial shade from PV modules is </w:t>
      </w:r>
      <w:r w:rsidRPr="43844335" w:rsidR="7BC8DB1B">
        <w:rPr>
          <w:rFonts w:ascii="Times New Roman" w:hAnsi="Times New Roman" w:cs="Times New Roman"/>
          <w:sz w:val="24"/>
          <w:szCs w:val="24"/>
        </w:rPr>
        <w:t>a</w:t>
      </w:r>
      <w:r w:rsidRPr="43844335" w:rsidR="00CC678E">
        <w:rPr>
          <w:rFonts w:ascii="Times New Roman" w:hAnsi="Times New Roman" w:cs="Times New Roman"/>
          <w:sz w:val="24"/>
          <w:szCs w:val="24"/>
        </w:rPr>
        <w:t xml:space="preserve"> benefit-it cuts down on water loss, boosts water use efficiency (WUE), and shields crops from heat stress</w:t>
      </w:r>
      <w:r w:rsidRPr="43844335" w:rsidR="00680540">
        <w:rPr>
          <w:rFonts w:ascii="Times New Roman" w:hAnsi="Times New Roman" w:cs="Times New Roman"/>
          <w:sz w:val="24"/>
          <w:szCs w:val="24"/>
        </w:rPr>
        <w:t xml:space="preserve"> </w:t>
      </w:r>
      <w:r w:rsidRPr="43844335">
        <w:rPr>
          <w:rFonts w:ascii="Times New Roman" w:hAnsi="Times New Roman" w:cs="Times New Roman"/>
          <w:sz w:val="24"/>
          <w:szCs w:val="24"/>
        </w:rPr>
        <w:fldChar w:fldCharType="begin"/>
      </w:r>
      <w:r w:rsidRPr="43844335">
        <w:rPr>
          <w:rFonts w:ascii="Times New Roman" w:hAnsi="Times New Roman" w:cs="Times New Roman"/>
          <w:sz w:val="24"/>
          <w:szCs w:val="24"/>
        </w:rPr>
        <w:instrText xml:space="preserve"> ADDIN ZOTERO_ITEM CSL_CITATION {"citationID":"w0tYInkk","properties":{"formattedCitation":"[4]","plainCitation":"[4]","dontUpdate":true,"noteIndex":0},"citationItems":[{"id":8,"uris":["http://zotero.org/users/local/NWCAR5we/items/5V5LMZDP"],"itemData":{"id":8,"type":"article-journal","abstract":"The world population and consequently the global need for food continue to grow. At the same time, areas will be used to generate clean electricity to cope with climate change and global warming. The combination of crop production and solar photovoltaics in the form of “agrivoltaic technology” offers advantages for both sides that provide an adequate, resource-efficient solution to the persistent problem of competition for arable lands. The implementation of agrivoltaic systems has been exponentially increased in recent years and reached the global installed capacity of 2.8 GW in 2020 from the initial capacity of 5 MW in 2012. The agrivoltaic systems installed worldwide mostly employ conventional opaque photovoltaic (PV) modules, causing a change in the microclimate under the panels that become critical when shading ratios are high. Semi-transparent PV (STPV) modules have been recently employed to mitigate this issue which is profoundly studied in this research by considering the use of semi-transparent technologies based on crystalline silicon (c-Si), thin-film photovoltaics, organic PVs (OPVs), dye-sensitized solar cells (DSSCs), concentrating PVs (CPVs), and luminescent solar concentrators (LSCs) in open (arable farming lands) and closed (cultivation greenhouses) agrivoltaic systems. The results indicated that c-Si STPV modules have the highest share of employment in agrivoltaic systems due to their extreme benefits of low costs, high stability, and high efficiency in comparison with other technologies, while in contrast, the use of thinfilm STPV modules have been rarely reported in the literature. Additionally, STPV modules using OPVs and DSSCs offer the capability to achieve wavelength-selective transparency, causing the photosynthetic active radiation to pass through while the remained spectrum is utilized to generate electricity. Other potential solutions come from CPVs and LSCs, in which, diffuse light is available for the growth of cultivated plants, while direct concentrated sunlight can generate electricity. Although STPV modules are proven as a feasible solution for use in agrivoltaic systems, still more developments are required in terms of the modules’ efficiency enhancement and costs reduction, while more detailed research is required to observe the response of cultivated plants to make this technology a viable sustainable solution in the future.","container-title":"Renewable and Sustainable Energy Reviews","DOI":"10.1016/j.rser.2022.112126","ISSN":"13640321","journalAbbreviation":"Renewable and Sustainable Energy Reviews","language":"en","page":"112126","source":"DOI.org (Crossref)","title":"Progress and challenges of crop production and electricity generation in agrivoltaic systems using semi-transparent photovoltaic technology","volume":"158","author":[{"family":"Gorjian","given":"Shiva"},{"family":"Bousi","given":"Erion"},{"family":"Özdemir","given":"Özal Emre"},{"family":"Trommsdorff","given":"Max"},{"family":"Kumar","given":"Nallapaneni Manoj"},{"family":"Anand","given":"Abhishek"},{"family":"Kant","given":"Karunesh"},{"family":"Chopra","given":"Shauhrat S."}],"issued":{"date-parts":[["2022",4]]}}}],"schema":"https://github.com/citation-style-language/schema/raw/master/csl-citation.json"} </w:instrText>
      </w:r>
      <w:r w:rsidRPr="43844335">
        <w:rPr>
          <w:rFonts w:ascii="Times New Roman" w:hAnsi="Times New Roman" w:cs="Times New Roman"/>
          <w:sz w:val="24"/>
          <w:szCs w:val="24"/>
        </w:rPr>
        <w:fldChar w:fldCharType="separate"/>
      </w:r>
      <w:r w:rsidRPr="43844335" w:rsidR="000703F4">
        <w:rPr>
          <w:rFonts w:ascii="Times New Roman" w:hAnsi="Times New Roman" w:cs="Times New Roman"/>
          <w:sz w:val="24"/>
          <w:szCs w:val="24"/>
        </w:rPr>
        <w:t>[4</w:t>
      </w:r>
      <w:r w:rsidRPr="43844335" w:rsidR="00246226">
        <w:rPr>
          <w:rFonts w:ascii="Times New Roman" w:hAnsi="Times New Roman" w:cs="Times New Roman"/>
          <w:sz w:val="24"/>
          <w:szCs w:val="24"/>
        </w:rPr>
        <w:t>,</w:t>
      </w:r>
      <w:r w:rsidRPr="43844335">
        <w:rPr>
          <w:rFonts w:ascii="Times New Roman" w:hAnsi="Times New Roman" w:cs="Times New Roman"/>
          <w:sz w:val="24"/>
          <w:szCs w:val="24"/>
        </w:rPr>
        <w:fldChar w:fldCharType="end"/>
      </w:r>
      <w:r w:rsidRPr="43844335" w:rsidR="00066D86">
        <w:rPr>
          <w:rFonts w:ascii="Times New Roman" w:hAnsi="Times New Roman" w:cs="Times New Roman"/>
          <w:sz w:val="24"/>
          <w:szCs w:val="24"/>
        </w:rPr>
        <w:t xml:space="preserve"> </w:t>
      </w:r>
      <w:r w:rsidRPr="43844335">
        <w:rPr>
          <w:rFonts w:ascii="Times New Roman" w:hAnsi="Times New Roman" w:cs="Times New Roman"/>
          <w:sz w:val="24"/>
          <w:szCs w:val="24"/>
        </w:rPr>
        <w:fldChar w:fldCharType="begin"/>
      </w:r>
      <w:r w:rsidRPr="43844335">
        <w:rPr>
          <w:rFonts w:ascii="Times New Roman" w:hAnsi="Times New Roman" w:cs="Times New Roman"/>
          <w:sz w:val="24"/>
          <w:szCs w:val="24"/>
        </w:rPr>
        <w:instrText xml:space="preserve"> ADDIN ZOTERO_ITEM CSL_CITATION {"citationID":"hSCpcRmz","properties":{"formattedCitation":"[8]","plainCitation":"[8]","dontUpdate":true,"noteIndex":0},"citationItems":[{"id":22,"uris":["http://zotero.org/users/local/NWCAR5we/items/RNLZ3A56"],"itemData":{"id":22,"type":"article-journal","abstract":"Agrivoltaics, a system combining the production of agricultural crops and solar energy on the same land area, offers a potential solution to land use competition between different sectors. However, concerns have been raised regarding the impact of shade on plant growth under Agrivoltaic Systems (AVSs). Numerous studies have explored the effects of AVSs shading on agricultural crops. However, most of these studies focused on shade-tolerant crops, leaving a gap in the understanding of how these systems affect shade-intolerant crops. To this end, this study was conducted in Bari, southern Italy, using two types of AVSs: conventional (Con) and semi-transparent (ST) panels. The objective was to assess the impacts of the different levels of shading on the tomato yield and fruit quality. Tomato cultivation occurred between May and August under various conditions: Con panels, ST panels, and Open Field. The results revealed that soil temperature decreased under both AVSs compared to in the open ﬁeld conditions. However, the signiﬁcant reduction in photosynthetically active radiation (PAR), up to 43% in ST and 67% in Con, led to yield reductions ranging between 28% and 58% in ST and Con, respectively. Nonetheless, AVSs demonstrated their potential to reduce irrigation water demand by over 15% in ST and more than 20% in Con. Interestingly, the AVSs reduced fruit size but improved certain fruit quality attributes, such as titratable acidity, which is closely correlated with fruit ﬂavour. These ﬁndings highlight the challenges of cultivating shadeintolerant crops under AVSs in a Mediterranean climate, while temperate, dry conditions may offer more favourable prospects for agricultural production.","container-title":"Processes","DOI":"10.3390/pr11123370","ISSN":"2227-9717","issue":"12","journalAbbreviation":"Processes","language":"en","page":"3370","source":"DOI.org (Crossref)","title":"The Impact of Agrivoltaic Systems on Tomato Crop: A Case Study in Southern Italy","title-short":"The Impact of Agrivoltaic Systems on Tomato Crop","volume":"11","author":[{"family":"Mohammedi","given":"Serine"},{"family":"Dragonetti","given":"Giovanna"},{"family":"Admane","given":"Naouel"},{"family":"Fouial","given":"Abdelouahid"}],"issued":{"date-parts":[["2023",12,4]]}}}],"schema":"https://github.com/citation-style-language/schema/raw/master/csl-citation.json"} </w:instrText>
      </w:r>
      <w:r w:rsidRPr="43844335">
        <w:rPr>
          <w:rFonts w:ascii="Times New Roman" w:hAnsi="Times New Roman" w:cs="Times New Roman"/>
          <w:sz w:val="24"/>
          <w:szCs w:val="24"/>
        </w:rPr>
        <w:fldChar w:fldCharType="separate"/>
      </w:r>
      <w:r w:rsidRPr="43844335" w:rsidR="000703F4">
        <w:rPr>
          <w:rFonts w:ascii="Times New Roman" w:hAnsi="Times New Roman" w:cs="Times New Roman"/>
          <w:sz w:val="24"/>
          <w:szCs w:val="24"/>
        </w:rPr>
        <w:t>8</w:t>
      </w:r>
      <w:r w:rsidRPr="43844335" w:rsidR="00246226">
        <w:rPr>
          <w:rFonts w:ascii="Times New Roman" w:hAnsi="Times New Roman" w:cs="Times New Roman"/>
          <w:sz w:val="24"/>
          <w:szCs w:val="24"/>
        </w:rPr>
        <w:t>,</w:t>
      </w:r>
      <w:r w:rsidRPr="43844335">
        <w:rPr>
          <w:rFonts w:ascii="Times New Roman" w:hAnsi="Times New Roman" w:cs="Times New Roman"/>
          <w:sz w:val="24"/>
          <w:szCs w:val="24"/>
        </w:rPr>
        <w:fldChar w:fldCharType="end"/>
      </w:r>
      <w:r w:rsidRPr="43844335" w:rsidR="006D6F1E">
        <w:rPr>
          <w:rFonts w:ascii="Times New Roman" w:hAnsi="Times New Roman" w:cs="Times New Roman"/>
          <w:sz w:val="24"/>
          <w:szCs w:val="24"/>
        </w:rPr>
        <w:t xml:space="preserve"> </w:t>
      </w:r>
      <w:r w:rsidRPr="43844335">
        <w:rPr>
          <w:rFonts w:ascii="Times New Roman" w:hAnsi="Times New Roman" w:cs="Times New Roman"/>
          <w:sz w:val="24"/>
          <w:szCs w:val="24"/>
        </w:rPr>
        <w:fldChar w:fldCharType="begin"/>
      </w:r>
      <w:r w:rsidRPr="43844335">
        <w:rPr>
          <w:rFonts w:ascii="Times New Roman" w:hAnsi="Times New Roman" w:cs="Times New Roman"/>
          <w:sz w:val="24"/>
          <w:szCs w:val="24"/>
        </w:rPr>
        <w:instrText xml:space="preserve"> ADDIN ZOTERO_ITEM CSL_CITATION {"citationID":"8kslYyz3","properties":{"formattedCitation":"[9]","plainCitation":"[9]","dontUpdate":true,"noteIndex":0},"citationItems":[{"id":27,"uris":["http://zotero.org/users/local/NWCAR5we/items/F3WGQBFK"],"itemData":{"id":27,"type":"article-journal","abstract":"In this study, a unique energy system integrated with an agrivoltaic plant, a biogas production and utilization facility, and a community-based energy system is analyzed in order to fully cover the needs of electricity, biogas, heat, and cooling for a community. The bifacial photovoltaic modules with a high structure are considered in this design, where they cover the sugarcane field as the agrivoltaic system. Both sugarcane and cow manure are considered and used to generate biogas. An integrated energy system is proposed to meet the electricity, heating, and cooling requirements of a community in a case study. The capacities of the components are determined according to a community load selected for a case study with more than 34 000 people living in Nakhon Ratchasima, Thailand. A biogas-based combined cycle with two stages of the Rankine cycle, as well as a bifacial photovoltaic-based system, are used to generate electricity. The excess heat is recovered and used to cover the heating loads of the community for greenhouse and food dryer, as well as in a lithium bromide absorption refrigeration cycle to provide cooling. The first and second laws of thermodynamics are used with the mass, energy, entropy, and exergy balance equations to analyze and evaluate the system. A time-dependent analysis is carried out to provide more insightful details about the system for each hour throughout the whole year. The experimental data for the biogas production system and actual meteorological data are considered with commercially available component and unit specifications to provide more realistic results. An 8 MWp of PV plant with 415 MWp of a biogas power plant as well as 105 MWp of high- and low-pressure steam turbines can meet 100% of 92 GWh nonthermal electricity, 63 GWh cooling, and 13 GWh heating loads in a year. The overall energy and exergy efficiencies of the overall system are found to be 33.64% and 22.96% under average ambient conditions and average load requirements.","container-title":"International Journal of Energy Research","DOI":"10.1002/er.8483","ISSN":"0363-907X, 1099-114X","issue":"13","journalAbbreviation":"Intl J of Energy Research","language":"en","page":"18663-18675","source":"DOI.org (Crossref)","title":"Development and assessment of a new agrivoltaic‐biogas energy system for sustainable communities","volume":"46","author":[{"family":"Temiz","given":"Mert"},{"family":"Sinbuathong","given":"Nusara"},{"family":"Dincer","given":"Ibrahim"}],"issued":{"date-parts":[["2022",10,25]]}}}],"schema":"https://github.com/citation-style-language/schema/raw/master/csl-citation.json"} </w:instrText>
      </w:r>
      <w:r w:rsidRPr="43844335">
        <w:rPr>
          <w:rFonts w:ascii="Times New Roman" w:hAnsi="Times New Roman" w:cs="Times New Roman"/>
          <w:sz w:val="24"/>
          <w:szCs w:val="24"/>
        </w:rPr>
        <w:fldChar w:fldCharType="separate"/>
      </w:r>
      <w:r w:rsidRPr="43844335" w:rsidR="000703F4">
        <w:rPr>
          <w:rFonts w:ascii="Times New Roman" w:hAnsi="Times New Roman" w:cs="Times New Roman"/>
          <w:sz w:val="24"/>
          <w:szCs w:val="24"/>
        </w:rPr>
        <w:t>9</w:t>
      </w:r>
      <w:r w:rsidRPr="43844335" w:rsidR="00246226">
        <w:rPr>
          <w:rFonts w:ascii="Times New Roman" w:hAnsi="Times New Roman" w:cs="Times New Roman"/>
          <w:sz w:val="24"/>
          <w:szCs w:val="24"/>
        </w:rPr>
        <w:t>,</w:t>
      </w:r>
      <w:r w:rsidRPr="43844335">
        <w:rPr>
          <w:rFonts w:ascii="Times New Roman" w:hAnsi="Times New Roman" w:cs="Times New Roman"/>
          <w:sz w:val="24"/>
          <w:szCs w:val="24"/>
        </w:rPr>
        <w:fldChar w:fldCharType="end"/>
      </w:r>
      <w:r w:rsidRPr="43844335" w:rsidR="002D2965">
        <w:rPr>
          <w:rFonts w:ascii="Times New Roman" w:hAnsi="Times New Roman" w:cs="Times New Roman"/>
          <w:sz w:val="24"/>
          <w:szCs w:val="24"/>
        </w:rPr>
        <w:t xml:space="preserve"> </w:t>
      </w:r>
      <w:r w:rsidRPr="43844335">
        <w:rPr>
          <w:rFonts w:ascii="Times New Roman" w:hAnsi="Times New Roman" w:cs="Times New Roman"/>
          <w:sz w:val="24"/>
          <w:szCs w:val="24"/>
        </w:rPr>
        <w:fldChar w:fldCharType="begin"/>
      </w:r>
      <w:r w:rsidRPr="43844335">
        <w:rPr>
          <w:rFonts w:ascii="Times New Roman" w:hAnsi="Times New Roman" w:cs="Times New Roman"/>
          <w:sz w:val="24"/>
          <w:szCs w:val="24"/>
        </w:rPr>
        <w:instrText xml:space="preserve"> ADDIN ZOTERO_ITEM CSL_CITATION {"citationID":"VnSTc5LL","properties":{"formattedCitation":"[10]","plainCitation":"[10]","dontUpdate":true,"noteIndex":0},"citationItems":[{"id":48,"uris":["http://zotero.org/users/local/NWCAR5we/items/2HH4DVKK"],"itemData":{"id":48,"type":"article-journal","container-title":"Applied Energy","DOI":"10.1016/j.apenergy.2023.122565","ISSN":"03062619","journalAbbreviation":"Applied Energy","language":"en","page":"122565","source":"DOI.org (Crossref)","title":"Shading effects in agrivoltaic systems can make the difference in boosting food security in climate change","volume":"358","author":[{"family":"Semeraro","given":"Teodoro"},{"family":"Scarano","given":"Aurelia"},{"family":"Curci","given":"Lorenzo Maria"},{"family":"Leggieri","given":"Angelo"},{"family":"Lenucci","given":"Marcello"},{"family":"Basset","given":"Alberto"},{"family":"Santino","given":"Angelo"},{"family":"Piro","given":"Gabriella"},{"family":"De Caroli","given":"Monica"}],"issued":{"date-parts":[["2024",3]]}}}],"schema":"https://github.com/citation-style-language/schema/raw/master/csl-citation.json"} </w:instrText>
      </w:r>
      <w:r w:rsidRPr="43844335">
        <w:rPr>
          <w:rFonts w:ascii="Times New Roman" w:hAnsi="Times New Roman" w:cs="Times New Roman"/>
          <w:sz w:val="24"/>
          <w:szCs w:val="24"/>
        </w:rPr>
        <w:fldChar w:fldCharType="separate"/>
      </w:r>
      <w:r w:rsidRPr="43844335" w:rsidR="000703F4">
        <w:rPr>
          <w:rFonts w:ascii="Times New Roman" w:hAnsi="Times New Roman" w:cs="Times New Roman"/>
          <w:sz w:val="24"/>
          <w:szCs w:val="24"/>
        </w:rPr>
        <w:t>10]</w:t>
      </w:r>
      <w:r w:rsidRPr="43844335">
        <w:rPr>
          <w:rFonts w:ascii="Times New Roman" w:hAnsi="Times New Roman" w:cs="Times New Roman"/>
          <w:sz w:val="24"/>
          <w:szCs w:val="24"/>
        </w:rPr>
        <w:fldChar w:fldCharType="end"/>
      </w:r>
      <w:r w:rsidRPr="43844335" w:rsidR="00356C03">
        <w:rPr>
          <w:rFonts w:ascii="Times New Roman" w:hAnsi="Times New Roman" w:cs="Times New Roman"/>
          <w:sz w:val="24"/>
          <w:szCs w:val="24"/>
        </w:rPr>
        <w:t xml:space="preserve">. </w:t>
      </w:r>
      <w:r w:rsidRPr="43844335" w:rsidR="00CC678E">
        <w:rPr>
          <w:rFonts w:ascii="Times New Roman" w:hAnsi="Times New Roman" w:cs="Times New Roman"/>
          <w:sz w:val="24"/>
          <w:szCs w:val="24"/>
        </w:rPr>
        <w:t xml:space="preserve">Consequently, AV is increasingly seen as a practical fix for the water–energy–food nexus in drylands </w:t>
      </w:r>
      <w:r w:rsidRPr="43844335">
        <w:rPr>
          <w:rFonts w:ascii="Times New Roman" w:hAnsi="Times New Roman" w:cs="Times New Roman"/>
          <w:sz w:val="24"/>
          <w:szCs w:val="24"/>
        </w:rPr>
        <w:fldChar w:fldCharType="begin"/>
      </w:r>
      <w:r w:rsidRPr="43844335">
        <w:rPr>
          <w:rFonts w:ascii="Times New Roman" w:hAnsi="Times New Roman" w:cs="Times New Roman"/>
          <w:sz w:val="24"/>
          <w:szCs w:val="24"/>
        </w:rPr>
        <w:instrText xml:space="preserve"> ADDIN ZOTERO_ITEM CSL_CITATION {"citationID":"kRG354xD","properties":{"formattedCitation":"[1]","plainCitation":"[1]","dontUpdate":true,"noteIndex":0},"citationItems":[{"id":5,"uris":["http://zotero.org/users/local/NWCAR5we/items/UUW3G8ZP"],"itemData":{"id":5,"type":"article-journal","abstract":"Agrivoltaic systems combine solar photovoltaic energy production with agriculture to improve land-use efﬁciency. We provide an upper-bound reduced-order cost estimate for widespread implementation of Agrivoltaic systems in the United States. We ﬁnd that 20% of the US’ total electricity generation can be met with Agrivoltaic systems if less than 1% of the annual US budget is invested into rural infrastructure. Simultaneously, Agrivoltaic systems align well with existing Green New Deal goals. Widescale installation of Agrivoltaic systems can lead to a carbon dioxide (CO2) emissions reduction equivalent to removing 71,000 cars from the road annually and the creation of over 100,000 jobs in rural communities. Agrivoltaics provide a rare chance for true synergy: more food, more energy, lower water demand, lower carbon emissions, and more prosperous rural communities.","container-title":"Sustainability","DOI":"10.3390/su13010137","ISSN":"2071-1050","issue":"1","journalAbbreviation":"Sustainability","language":"en","page":"137","source":"DOI.org (Crossref)","title":"Agrivoltaics Align with Green New Deal Goals While Supporting Investment in the US’ Rural Economy","volume":"13","author":[{"family":"Proctor","given":"Kyle"},{"family":"Murthy","given":"Ganti"},{"family":"Higgins","given":"Chad"}],"issued":{"date-parts":[["2020",12,25]]}}}],"schema":"https://github.com/citation-style-language/schema/raw/master/csl-citation.json"} </w:instrText>
      </w:r>
      <w:r w:rsidRPr="43844335">
        <w:rPr>
          <w:rFonts w:ascii="Times New Roman" w:hAnsi="Times New Roman" w:cs="Times New Roman"/>
          <w:sz w:val="24"/>
          <w:szCs w:val="24"/>
        </w:rPr>
        <w:fldChar w:fldCharType="separate"/>
      </w:r>
      <w:r w:rsidRPr="43844335" w:rsidR="000703F4">
        <w:rPr>
          <w:rFonts w:ascii="Times New Roman" w:hAnsi="Times New Roman" w:cs="Times New Roman"/>
          <w:sz w:val="24"/>
          <w:szCs w:val="24"/>
        </w:rPr>
        <w:t>[1</w:t>
      </w:r>
      <w:r w:rsidRPr="43844335" w:rsidR="00A67940">
        <w:rPr>
          <w:rFonts w:ascii="Times New Roman" w:hAnsi="Times New Roman" w:cs="Times New Roman"/>
          <w:sz w:val="24"/>
          <w:szCs w:val="24"/>
        </w:rPr>
        <w:t>,</w:t>
      </w:r>
      <w:r w:rsidRPr="43844335">
        <w:rPr>
          <w:rFonts w:ascii="Times New Roman" w:hAnsi="Times New Roman" w:cs="Times New Roman"/>
          <w:sz w:val="24"/>
          <w:szCs w:val="24"/>
        </w:rPr>
        <w:fldChar w:fldCharType="end"/>
      </w:r>
      <w:r w:rsidRPr="43844335" w:rsidR="005D2FDE">
        <w:rPr>
          <w:rFonts w:ascii="Times New Roman" w:hAnsi="Times New Roman" w:cs="Times New Roman"/>
          <w:sz w:val="24"/>
          <w:szCs w:val="24"/>
        </w:rPr>
        <w:t xml:space="preserve"> </w:t>
      </w:r>
      <w:r w:rsidRPr="43844335">
        <w:rPr>
          <w:rFonts w:ascii="Times New Roman" w:hAnsi="Times New Roman" w:cs="Times New Roman"/>
          <w:sz w:val="24"/>
          <w:szCs w:val="24"/>
        </w:rPr>
        <w:fldChar w:fldCharType="begin"/>
      </w:r>
      <w:r w:rsidRPr="43844335">
        <w:rPr>
          <w:rFonts w:ascii="Times New Roman" w:hAnsi="Times New Roman" w:cs="Times New Roman"/>
          <w:sz w:val="24"/>
          <w:szCs w:val="24"/>
        </w:rPr>
        <w:instrText xml:space="preserve"> ADDIN ZOTERO_ITEM CSL_CITATION {"citationID":"dpLhhCZb","properties":{"formattedCitation":"[3]","plainCitation":"[3]","dontUpdate":true,"noteIndex":0},"citationItems":[{"id":17,"uris":["http://zotero.org/users/local/NWCAR5we/items/ZEN6CQHW"],"itemData":{"id":17,"type":"article-journal","abstract":"Agrivoltaic systems, which consist of the combination of energy production by means of photovoltaic systems and agricultural production in the same area, have emerged as a promising solution to the constraints related to the reduction in cultivated areas due to solar panels used in agricultural production systems. They also enable optimization of land use and reduction in conﬂicts over land access, in order to meet the increasing demand for agricultural products and energy resulting from rapid population growth. However, the selected installation conﬁgurations, such as elevation, spacing, tilt, and choice of panel technology used, can have a negative impact on agricultural and/or energy production. Thus, this paper addresses the need for a review that provides a clear explanation of agrivoltaics, including the factors that impact agricultural and energy production in agrivoltaic systems, types of panel conﬁgurations and technologies to optimize these systems, and a synthesis of modelling studies which have already been conducted in this area. Several studies have been carried out in this ﬁeld to ﬁnd the appropriate mounting height and spacing of the solar panels that optimize crop yields, as this later can be reduced by the shade created with the solar panels on the plants. It was reported that yields have been reduced by 62% to 3% for more than 80% of the tested crops. To this end, an optimization model can be developed to determine the optimal elevation, spacing, and tilt angle of the solar panels. This model would take into account factors that inﬂuence crop growth and yield, as well as factors that affect the performance of the photovoltaic system, with the goal of maximizing both crop yield and energy production.","container-title":"Processes","DOI":"10.3390/pr11030948","ISSN":"2227-9717","issue":"3","journalAbbreviation":"Processes","language":"en","page":"948","source":"DOI.org (Crossref)","title":"Agrivoltaic, a Synergistic Co-Location of Agricultural and Energy Production in Perpetual Mutation: A Comprehensive Review","title-short":"Agrivoltaic, a Synergistic Co-Location of Agricultural and Energy Production in Perpetual Mutation","volume":"11","author":[{"family":"Sarr","given":"Aminata"},{"family":"Soro","given":"Y. M."},{"family":"Tossa","given":"Alain K."},{"family":"Diop","given":"Lamine"}],"issued":{"date-parts":[["2023",3,20]]}}}],"schema":"https://github.com/citation-style-language/schema/raw/master/csl-citation.json"} </w:instrText>
      </w:r>
      <w:r w:rsidRPr="43844335">
        <w:rPr>
          <w:rFonts w:ascii="Times New Roman" w:hAnsi="Times New Roman" w:cs="Times New Roman"/>
          <w:sz w:val="24"/>
          <w:szCs w:val="24"/>
        </w:rPr>
        <w:fldChar w:fldCharType="separate"/>
      </w:r>
      <w:r w:rsidRPr="43844335" w:rsidR="000703F4">
        <w:rPr>
          <w:rFonts w:ascii="Times New Roman" w:hAnsi="Times New Roman" w:cs="Times New Roman"/>
          <w:sz w:val="24"/>
          <w:szCs w:val="24"/>
        </w:rPr>
        <w:t>3</w:t>
      </w:r>
      <w:r w:rsidRPr="43844335" w:rsidR="00A67940">
        <w:rPr>
          <w:rFonts w:ascii="Times New Roman" w:hAnsi="Times New Roman" w:cs="Times New Roman"/>
          <w:sz w:val="24"/>
          <w:szCs w:val="24"/>
        </w:rPr>
        <w:t>,</w:t>
      </w:r>
      <w:r w:rsidRPr="43844335">
        <w:rPr>
          <w:rFonts w:ascii="Times New Roman" w:hAnsi="Times New Roman" w:cs="Times New Roman"/>
          <w:sz w:val="24"/>
          <w:szCs w:val="24"/>
        </w:rPr>
        <w:fldChar w:fldCharType="end"/>
      </w:r>
      <w:r w:rsidRPr="43844335" w:rsidR="00680540">
        <w:rPr>
          <w:rFonts w:ascii="Times New Roman" w:hAnsi="Times New Roman" w:cs="Times New Roman"/>
          <w:sz w:val="24"/>
          <w:szCs w:val="24"/>
        </w:rPr>
        <w:t xml:space="preserve"> </w:t>
      </w:r>
      <w:r w:rsidRPr="43844335">
        <w:rPr>
          <w:rFonts w:ascii="Times New Roman" w:hAnsi="Times New Roman" w:cs="Times New Roman"/>
          <w:sz w:val="24"/>
          <w:szCs w:val="24"/>
        </w:rPr>
        <w:fldChar w:fldCharType="begin"/>
      </w:r>
      <w:r w:rsidRPr="43844335">
        <w:rPr>
          <w:rFonts w:ascii="Times New Roman" w:hAnsi="Times New Roman" w:cs="Times New Roman"/>
          <w:sz w:val="24"/>
          <w:szCs w:val="24"/>
        </w:rPr>
        <w:instrText xml:space="preserve"> ADDIN ZOTERO_ITEM CSL_CITATION {"citationID":"BYIkJwIk","properties":{"formattedCitation":"[5]","plainCitation":"[5]","dontUpdate":true,"noteIndex":0},"citationItems":[{"id":10,"uris":["http://zotero.org/users/local/NWCAR5we/items/MILN53UC"],"itemData":{"id":10,"type":"report","language":"en","note":"DOI: 10.2172/1882930","number":"NREL/TP-6A20-83566, 1882930, MainId:84339","page":"NREL/TP-6A20-83566, 1882930, MainId:84339","source":"DOI.org (Crossref)","title":"The 5 Cs of Agrivoltaic Success Factors in the United States: Lessons from the InSPIRE Research Study","title-short":"The 5 Cs of Agrivoltaic Success Factors in the United States","URL":"https://www.osti.gov/servlets/purl/1882930/","author":[{"family":"Macknick","given":"Jordan"},{"family":"Hartmann","given":"Heidi"},{"family":"Barron-Gafford","given":"Greg"},{"family":"Beatty","given":"Brenda"},{"family":"Burton","given":"Robin"},{"family":"Seok-Choi","given":"Chong"},{"family":"Davis","given":"Matthew"},{"family":"Davis","given":"Rob"},{"family":"Figueroa","given":"Jorge"},{"family":"Garrett","given":"Amy"},{"family":"Hain","given":"Lexie"},{"family":"Herbert","given":"Stephen"},{"family":"Janski","given":"Jake"},{"family":"Kinzer","given":"Austin"},{"family":"Knapp","given":"Alan"},{"family":"Lehan","given":"Michael"},{"family":"Losey","given":"John"},{"family":"Marley","given":"Jake"},{"family":"MacDonald","given":"James"},{"family":"McCall","given":"James"},{"family":"Nebert","given":"Lucas"},{"family":"Ravi","given":"Sujith"},{"family":"Schmidt","given":"Jason"},{"family":"Staie","given":"Brittany"},{"family":"Walston","given":"Leroy"}],"accessed":{"date-parts":[["2025",12,15]]},"issued":{"date-parts":[["2022",8,1]]}}}],"schema":"https://github.com/citation-style-language/schema/raw/master/csl-citation.json"} </w:instrText>
      </w:r>
      <w:r w:rsidRPr="43844335">
        <w:rPr>
          <w:rFonts w:ascii="Times New Roman" w:hAnsi="Times New Roman" w:cs="Times New Roman"/>
          <w:sz w:val="24"/>
          <w:szCs w:val="24"/>
        </w:rPr>
        <w:fldChar w:fldCharType="separate"/>
      </w:r>
      <w:r w:rsidRPr="43844335" w:rsidR="000703F4">
        <w:rPr>
          <w:rFonts w:ascii="Times New Roman" w:hAnsi="Times New Roman" w:cs="Times New Roman"/>
          <w:sz w:val="24"/>
          <w:szCs w:val="24"/>
        </w:rPr>
        <w:t>5</w:t>
      </w:r>
      <w:r w:rsidRPr="43844335" w:rsidR="00A67940">
        <w:rPr>
          <w:rFonts w:ascii="Times New Roman" w:hAnsi="Times New Roman" w:cs="Times New Roman"/>
          <w:sz w:val="24"/>
          <w:szCs w:val="24"/>
        </w:rPr>
        <w:t>,</w:t>
      </w:r>
      <w:r w:rsidRPr="43844335">
        <w:rPr>
          <w:rFonts w:ascii="Times New Roman" w:hAnsi="Times New Roman" w:cs="Times New Roman"/>
          <w:sz w:val="24"/>
          <w:szCs w:val="24"/>
        </w:rPr>
        <w:fldChar w:fldCharType="end"/>
      </w:r>
      <w:r w:rsidRPr="43844335" w:rsidR="00AA4489">
        <w:rPr>
          <w:rFonts w:ascii="Times New Roman" w:hAnsi="Times New Roman" w:cs="Times New Roman"/>
          <w:sz w:val="24"/>
          <w:szCs w:val="24"/>
        </w:rPr>
        <w:t xml:space="preserve"> </w:t>
      </w:r>
      <w:r w:rsidRPr="43844335">
        <w:rPr>
          <w:rFonts w:ascii="Times New Roman" w:hAnsi="Times New Roman" w:cs="Times New Roman"/>
          <w:sz w:val="24"/>
          <w:szCs w:val="24"/>
        </w:rPr>
        <w:fldChar w:fldCharType="begin"/>
      </w:r>
      <w:r w:rsidRPr="43844335">
        <w:rPr>
          <w:rFonts w:ascii="Times New Roman" w:hAnsi="Times New Roman" w:cs="Times New Roman"/>
          <w:sz w:val="24"/>
          <w:szCs w:val="24"/>
        </w:rPr>
        <w:instrText xml:space="preserve"> ADDIN ZOTERO_ITEM CSL_CITATION {"citationID":"euy5iR6N","properties":{"formattedCitation":"[7]","plainCitation":"[7]","dontUpdate":true,"noteIndex":0},"citationItems":[{"id":20,"uris":["http://zotero.org/users/local/NWCAR5we/items/NHYQ9YAR"],"itemData":{"id":20,"type":"article-journal","abstract":"As more nations move towards net-zero emission goals by 2050, research into the coupling of photovoltaics (PV) and agriculture has increased into a new sector of agrivoltaics (AV). Measurement of the Land Equivalent Ratio (LER) has allowed researchers to develop methods for optimizing the agrivoltaic system. Studies on innovative engineering technologies related to photovoltaic tracking along with new generation PV cells were reviewed to determine the factors that inﬂuence optimization. This review also considered AV farm layouts and how different spacing, height, and density impact the shading under the panels. As panels block the light from hitting the plants, the photosynthetically active radiation (PAR) changes and alters plant growth. The shading, however, also creates micro-climates that have beneﬁcial qualities in terms of water usage and PV efﬁciency. The overall review investigated the research of the last ﬁve years into AV optimization and the implications for future AV developments.","container-title":"Challenges","DOI":"10.3390/challe13020043","ISSN":"2078-1547","issue":"2","journalAbbreviation":"Challenges","language":"en","page":"43","source":"DOI.org (Crossref)","title":"Agrivoltaic Engineering and Layout Optimization Approaches in the Transition to Renewable Energy Technologies: A Review","title-short":"Agrivoltaic Engineering and Layout Optimization Approaches in the Transition to Renewable Energy Technologies","volume":"13","author":[{"family":"Reasoner","given":"Meagan"},{"family":"Ghosh","given":"Aritra"}],"issued":{"date-parts":[["2022",9,1]]}}}],"schema":"https://github.com/citation-style-language/schema/raw/master/csl-citation.json"} </w:instrText>
      </w:r>
      <w:r w:rsidRPr="43844335">
        <w:rPr>
          <w:rFonts w:ascii="Times New Roman" w:hAnsi="Times New Roman" w:cs="Times New Roman"/>
          <w:sz w:val="24"/>
          <w:szCs w:val="24"/>
        </w:rPr>
        <w:fldChar w:fldCharType="separate"/>
      </w:r>
      <w:r w:rsidRPr="43844335" w:rsidR="000703F4">
        <w:rPr>
          <w:rFonts w:ascii="Times New Roman" w:hAnsi="Times New Roman" w:cs="Times New Roman"/>
          <w:sz w:val="24"/>
          <w:szCs w:val="24"/>
        </w:rPr>
        <w:t>7]</w:t>
      </w:r>
      <w:r w:rsidRPr="43844335">
        <w:rPr>
          <w:rFonts w:ascii="Times New Roman" w:hAnsi="Times New Roman" w:cs="Times New Roman"/>
          <w:sz w:val="24"/>
          <w:szCs w:val="24"/>
        </w:rPr>
        <w:fldChar w:fldCharType="end"/>
      </w:r>
      <w:r w:rsidRPr="43844335" w:rsidR="00356C03">
        <w:rPr>
          <w:rFonts w:ascii="Times New Roman" w:hAnsi="Times New Roman" w:cs="Times New Roman"/>
          <w:sz w:val="24"/>
          <w:szCs w:val="24"/>
        </w:rPr>
        <w:t xml:space="preserve">. </w:t>
      </w:r>
    </w:p>
    <w:p w:rsidRPr="000C01CA" w:rsidR="00773396" w:rsidP="00885ED2" w:rsidRDefault="00773396" w14:paraId="401C76A0" w14:textId="5AFA01C3">
      <w:pPr>
        <w:spacing w:line="360" w:lineRule="auto"/>
        <w:jc w:val="center"/>
        <w:rPr>
          <w:rFonts w:ascii="Times New Roman" w:hAnsi="Times New Roman" w:cs="Times New Roman"/>
          <w:sz w:val="24"/>
          <w:szCs w:val="24"/>
        </w:rPr>
      </w:pPr>
      <w:r w:rsidRPr="000C01CA">
        <w:rPr>
          <w:rFonts w:ascii="Times New Roman" w:hAnsi="Times New Roman" w:cs="Times New Roman"/>
          <w:noProof/>
          <w:sz w:val="24"/>
          <w:szCs w:val="24"/>
          <w:lang w:val="fr-FR" w:eastAsia="fr-FR"/>
        </w:rPr>
        <w:drawing>
          <wp:inline distT="0" distB="0" distL="0" distR="0" wp14:anchorId="413F4EC7" wp14:editId="58322480">
            <wp:extent cx="2959100" cy="2530678"/>
            <wp:effectExtent l="0" t="0" r="0" b="317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emini_Generated_Image_x8lv83x8lv83x8lv.png"/>
                    <pic:cNvPicPr/>
                  </pic:nvPicPr>
                  <pic:blipFill rotWithShape="1">
                    <a:blip r:embed="rId8" cstate="print">
                      <a:extLst>
                        <a:ext uri="{28A0092B-C50C-407E-A947-70E740481C1C}">
                          <a14:useLocalDpi xmlns:a14="http://schemas.microsoft.com/office/drawing/2010/main" val="0"/>
                        </a:ext>
                      </a:extLst>
                    </a:blip>
                    <a:srcRect l="12962" t="19312" r="8466" b="13492"/>
                    <a:stretch/>
                  </pic:blipFill>
                  <pic:spPr bwMode="auto">
                    <a:xfrm>
                      <a:off x="0" y="0"/>
                      <a:ext cx="2978067" cy="2546899"/>
                    </a:xfrm>
                    <a:prstGeom prst="rect">
                      <a:avLst/>
                    </a:prstGeom>
                    <a:ln>
                      <a:noFill/>
                    </a:ln>
                    <a:extLst>
                      <a:ext uri="{53640926-AAD7-44D8-BBD7-CCE9431645EC}">
                        <a14:shadowObscured xmlns:a14="http://schemas.microsoft.com/office/drawing/2010/main"/>
                      </a:ext>
                    </a:extLst>
                  </pic:spPr>
                </pic:pic>
              </a:graphicData>
            </a:graphic>
          </wp:inline>
        </w:drawing>
      </w:r>
    </w:p>
    <w:p w:rsidRPr="000C01CA" w:rsidR="00F14CEB" w:rsidP="00102447" w:rsidRDefault="00773396" w14:paraId="48CE10A9" w14:textId="74A5419F">
      <w:pPr>
        <w:spacing w:line="360" w:lineRule="auto"/>
        <w:jc w:val="both"/>
        <w:rPr>
          <w:rFonts w:ascii="Times New Roman" w:hAnsi="Times New Roman" w:cs="Times New Roman"/>
          <w:sz w:val="24"/>
          <w:szCs w:val="24"/>
        </w:rPr>
      </w:pPr>
      <w:r w:rsidRPr="000C01CA">
        <w:rPr>
          <w:rFonts w:ascii="Times New Roman" w:hAnsi="Times New Roman" w:cs="Times New Roman"/>
          <w:sz w:val="24"/>
          <w:szCs w:val="24"/>
        </w:rPr>
        <w:t xml:space="preserve">Figure </w:t>
      </w:r>
      <w:r w:rsidRPr="000C01CA">
        <w:rPr>
          <w:rFonts w:ascii="Times New Roman" w:hAnsi="Times New Roman" w:cs="Times New Roman"/>
          <w:sz w:val="24"/>
          <w:szCs w:val="24"/>
        </w:rPr>
        <w:fldChar w:fldCharType="begin"/>
      </w:r>
      <w:r w:rsidRPr="000C01CA">
        <w:rPr>
          <w:rFonts w:ascii="Times New Roman" w:hAnsi="Times New Roman" w:cs="Times New Roman"/>
          <w:sz w:val="24"/>
          <w:szCs w:val="24"/>
        </w:rPr>
        <w:instrText xml:space="preserve"> SEQ Figure \* ARABIC </w:instrText>
      </w:r>
      <w:r w:rsidRPr="000C01CA">
        <w:rPr>
          <w:rFonts w:ascii="Times New Roman" w:hAnsi="Times New Roman" w:cs="Times New Roman"/>
          <w:sz w:val="24"/>
          <w:szCs w:val="24"/>
        </w:rPr>
        <w:fldChar w:fldCharType="separate"/>
      </w:r>
      <w:r w:rsidR="002E72EE">
        <w:rPr>
          <w:rFonts w:ascii="Times New Roman" w:hAnsi="Times New Roman" w:cs="Times New Roman"/>
          <w:noProof/>
          <w:sz w:val="24"/>
          <w:szCs w:val="24"/>
        </w:rPr>
        <w:t>1</w:t>
      </w:r>
      <w:r w:rsidRPr="000C01CA">
        <w:rPr>
          <w:rFonts w:ascii="Times New Roman" w:hAnsi="Times New Roman" w:cs="Times New Roman"/>
          <w:sz w:val="24"/>
          <w:szCs w:val="24"/>
        </w:rPr>
        <w:fldChar w:fldCharType="end"/>
      </w:r>
      <w:r w:rsidRPr="000C01CA">
        <w:rPr>
          <w:rFonts w:ascii="Times New Roman" w:hAnsi="Times New Roman" w:cs="Times New Roman"/>
          <w:sz w:val="24"/>
          <w:szCs w:val="24"/>
        </w:rPr>
        <w:t xml:space="preserve"> : Conceptual representation of the water–energy–food nexus in semi-arid regions supported by integrated agrivoltaic and ana</w:t>
      </w:r>
      <w:r w:rsidRPr="000C01CA" w:rsidR="00DD4C94">
        <w:rPr>
          <w:rFonts w:ascii="Times New Roman" w:hAnsi="Times New Roman" w:cs="Times New Roman"/>
          <w:sz w:val="24"/>
          <w:szCs w:val="24"/>
        </w:rPr>
        <w:t>erobic digestion systems</w:t>
      </w:r>
    </w:p>
    <w:p w:rsidRPr="000C01CA" w:rsidR="00CD530B" w:rsidP="00102447" w:rsidRDefault="00B77E2B" w14:paraId="310A4C81" w14:textId="7E6231F3">
      <w:pPr>
        <w:spacing w:line="360" w:lineRule="auto"/>
        <w:jc w:val="both"/>
        <w:rPr>
          <w:rFonts w:ascii="Times New Roman" w:hAnsi="Times New Roman" w:cs="Times New Roman"/>
          <w:sz w:val="24"/>
          <w:szCs w:val="24"/>
        </w:rPr>
      </w:pPr>
      <w:r w:rsidRPr="43844335" w:rsidR="00B77E2B">
        <w:rPr>
          <w:rFonts w:ascii="Times New Roman" w:hAnsi="Times New Roman" w:cs="Times New Roman"/>
          <w:sz w:val="24"/>
          <w:szCs w:val="24"/>
        </w:rPr>
        <w:t xml:space="preserve">At the core of this approach lies the concept of </w:t>
      </w:r>
      <w:r w:rsidRPr="43844335" w:rsidR="646D33DB">
        <w:rPr>
          <w:rFonts w:ascii="Times New Roman" w:hAnsi="Times New Roman" w:cs="Times New Roman"/>
          <w:sz w:val="24"/>
          <w:szCs w:val="24"/>
        </w:rPr>
        <w:t>synergy</w:t>
      </w:r>
      <w:r w:rsidRPr="43844335" w:rsidR="646D33DB">
        <w:rPr>
          <w:rFonts w:ascii="Times New Roman" w:hAnsi="Times New Roman" w:cs="Times New Roman"/>
          <w:sz w:val="24"/>
          <w:szCs w:val="24"/>
        </w:rPr>
        <w:t>:</w:t>
      </w:r>
      <w:r w:rsidRPr="43844335" w:rsidR="00B77E2B">
        <w:rPr>
          <w:rFonts w:ascii="Times New Roman" w:hAnsi="Times New Roman" w:cs="Times New Roman"/>
          <w:sz w:val="24"/>
          <w:szCs w:val="24"/>
        </w:rPr>
        <w:t xml:space="preserve"> instead of allowing energy production to displace agriculture, the </w:t>
      </w:r>
      <w:r w:rsidRPr="43844335" w:rsidR="0FE88582">
        <w:rPr>
          <w:rFonts w:ascii="Times New Roman" w:hAnsi="Times New Roman" w:cs="Times New Roman"/>
          <w:sz w:val="24"/>
          <w:szCs w:val="24"/>
        </w:rPr>
        <w:t>aim</w:t>
      </w:r>
      <w:r w:rsidRPr="43844335" w:rsidR="00B77E2B">
        <w:rPr>
          <w:rFonts w:ascii="Times New Roman" w:hAnsi="Times New Roman" w:cs="Times New Roman"/>
          <w:sz w:val="24"/>
          <w:szCs w:val="24"/>
        </w:rPr>
        <w:t xml:space="preserve"> is to jointly </w:t>
      </w:r>
      <w:r w:rsidRPr="43844335" w:rsidR="1F864E0D">
        <w:rPr>
          <w:rFonts w:ascii="Times New Roman" w:hAnsi="Times New Roman" w:cs="Times New Roman"/>
          <w:sz w:val="24"/>
          <w:szCs w:val="24"/>
        </w:rPr>
        <w:t>refine</w:t>
      </w:r>
      <w:r w:rsidRPr="43844335" w:rsidR="00B77E2B">
        <w:rPr>
          <w:rFonts w:ascii="Times New Roman" w:hAnsi="Times New Roman" w:cs="Times New Roman"/>
          <w:sz w:val="24"/>
          <w:szCs w:val="24"/>
        </w:rPr>
        <w:t xml:space="preserve"> crop productivity and power generation</w:t>
      </w:r>
      <w:r w:rsidRPr="43844335" w:rsidR="000611A8">
        <w:rPr>
          <w:rFonts w:ascii="Times New Roman" w:hAnsi="Times New Roman" w:cs="Times New Roman"/>
          <w:sz w:val="24"/>
          <w:szCs w:val="24"/>
        </w:rPr>
        <w:t xml:space="preserve">. </w:t>
      </w:r>
      <w:r w:rsidRPr="43844335" w:rsidR="00CD530B">
        <w:rPr>
          <w:rFonts w:ascii="Times New Roman" w:hAnsi="Times New Roman" w:cs="Times New Roman"/>
          <w:sz w:val="24"/>
          <w:szCs w:val="24"/>
        </w:rPr>
        <w:t xml:space="preserve">Indicators such as the land equivalence ratio (LER) consistently </w:t>
      </w:r>
      <w:r w:rsidRPr="43844335" w:rsidR="688DF5AC">
        <w:rPr>
          <w:rFonts w:ascii="Times New Roman" w:hAnsi="Times New Roman" w:cs="Times New Roman"/>
          <w:sz w:val="24"/>
          <w:szCs w:val="24"/>
        </w:rPr>
        <w:t>show</w:t>
      </w:r>
      <w:r w:rsidRPr="43844335" w:rsidR="00CD530B">
        <w:rPr>
          <w:rFonts w:ascii="Times New Roman" w:hAnsi="Times New Roman" w:cs="Times New Roman"/>
          <w:sz w:val="24"/>
          <w:szCs w:val="24"/>
        </w:rPr>
        <w:t xml:space="preserve"> the spatial advantage of this approach, with values </w:t>
      </w:r>
      <w:r w:rsidRPr="43844335" w:rsidR="2B92AA2E">
        <w:rPr>
          <w:rFonts w:ascii="Times New Roman" w:hAnsi="Times New Roman" w:cs="Times New Roman"/>
          <w:sz w:val="24"/>
          <w:szCs w:val="24"/>
        </w:rPr>
        <w:t>ranging</w:t>
      </w:r>
      <w:r w:rsidRPr="43844335" w:rsidR="00CD530B">
        <w:rPr>
          <w:rFonts w:ascii="Times New Roman" w:hAnsi="Times New Roman" w:cs="Times New Roman"/>
          <w:sz w:val="24"/>
          <w:szCs w:val="24"/>
        </w:rPr>
        <w:t xml:space="preserve"> between 1.2 and 1.5, with maximums reaching 1.94 for certain crops and architectures </w:t>
      </w:r>
      <w:r w:rsidRPr="43844335">
        <w:rPr>
          <w:rFonts w:ascii="Times New Roman" w:hAnsi="Times New Roman" w:cs="Times New Roman"/>
          <w:sz w:val="24"/>
          <w:szCs w:val="24"/>
        </w:rPr>
        <w:fldChar w:fldCharType="begin"/>
      </w:r>
      <w:r w:rsidRPr="43844335">
        <w:rPr>
          <w:rFonts w:ascii="Times New Roman" w:hAnsi="Times New Roman" w:cs="Times New Roman"/>
          <w:sz w:val="24"/>
          <w:szCs w:val="24"/>
        </w:rPr>
        <w:instrText xml:space="preserve"> ADDIN ZOTERO_ITEM CSL_CITATION {"citationID":"Vei5dKAZ","properties":{"formattedCitation":"[11]","plainCitation":"[11]","dontUpdate":true,"noteIndex":0},"citationItems":[{"id":50,"uris":["http://zotero.org/users/local/NWCAR5we/items/6JDDGFCG"],"itemData":{"id":50,"type":"article-journal","abstract":"Agrivoltaics (AV) is an emerging technology having symbiotic beneﬁts for food-energy-water needs of the growing world population and an inherent resilience against climate vulnerabilities. An AV system needs to balance the sunlight sharing between the solar panels and crops to maintain the desired food-energy yields, subject to appropriate constraints. Given the emerging diversity of monofacial and bifacial farms, the lack of a standardized crop-speciﬁc metric (to evaluate the efﬁcacy of the irradiance sharing) has made it difﬁcult to optimize/assess the performance of AV systems. Here, we introduce a new metric—light productivity factor (LPF)—that evaluates the effectiveness of irradiance sharing for a given crop type and photovoltaic (PV) array design. The metric allows us to identify optimal design parameters including the spatial PV array density, panel orientation, and single axis tracking schemes speciﬁc to the photosynthetically active radiation needs of the crop. By deﬁnition, LPF equals 1 for PV-only or crop-only systems. The AV systems enhances LPF between 1 and 2 depending on the shade sensitivity of the crop, PV array conﬁguration, and the season. While traditional ﬁxed-tilt systems increase LPF signiﬁcantly above 1, we ﬁnd LPF is maximized at 2 for shade-tolerant crops with a solar farm based on single axis sun tracking scheme. Among the ﬁxed tilt systems, east/west faced bifacial vertical solar farms is particularly promising because it produces smallest variability in the seasonal yield for shade sensitive crops, while providing LPF comparable to the standard N/S faced solar farms. Additional beneﬁts include reduced soiling and ease of movement of large-scale combine-harvester and other farming equipment.","container-title":"IEEE Journal of Photovoltaics","DOI":"10.1109/JPHOTOV.2021.3136158","ISSN":"2156-3381, 2156-3403","issue":"2","journalAbbreviation":"IEEE J. Photovoltaics","language":"en","license":"https://ieeexplore.ieee.org/Xplorehelp/downloads/license-information/IEEE.html","page":"572-580","source":"DOI.org (Crossref)","title":"Crop-Specific Optimization of Bifacial PV Arrays for Agrivoltaic Food-Energy Production: The Light-Productivity-Factor Approach","title-short":"Crop-Specific Optimization of Bifacial PV Arrays for Agrivoltaic Food-Energy Production","volume":"12","author":[{"family":"Riaz","given":"Muhammad Hussnain"},{"family":"Imran","given":"Hassan"},{"family":"Alam","given":"Habeel"},{"family":"Alam","given":"Muhammad Ashraful"},{"family":"Butt","given":"Nauman Zafar"}],"issued":{"date-parts":[["2022",3]]}}}],"schema":"https://github.com/citation-style-language/schema/raw/master/csl-citation.json"} </w:instrText>
      </w:r>
      <w:r w:rsidRPr="43844335">
        <w:rPr>
          <w:rFonts w:ascii="Times New Roman" w:hAnsi="Times New Roman" w:cs="Times New Roman"/>
          <w:sz w:val="24"/>
          <w:szCs w:val="24"/>
        </w:rPr>
        <w:fldChar w:fldCharType="separate"/>
      </w:r>
      <w:r w:rsidRPr="43844335" w:rsidR="000703F4">
        <w:rPr>
          <w:rFonts w:ascii="Times New Roman" w:hAnsi="Times New Roman" w:cs="Times New Roman"/>
          <w:sz w:val="24"/>
          <w:szCs w:val="24"/>
        </w:rPr>
        <w:t>[11</w:t>
      </w:r>
      <w:r w:rsidRPr="43844335" w:rsidR="009C0EB2">
        <w:rPr>
          <w:rFonts w:ascii="Times New Roman" w:hAnsi="Times New Roman" w:cs="Times New Roman"/>
          <w:sz w:val="24"/>
          <w:szCs w:val="24"/>
        </w:rPr>
        <w:t>,</w:t>
      </w:r>
      <w:r w:rsidRPr="43844335">
        <w:rPr>
          <w:rFonts w:ascii="Times New Roman" w:hAnsi="Times New Roman" w:cs="Times New Roman"/>
          <w:sz w:val="24"/>
          <w:szCs w:val="24"/>
        </w:rPr>
        <w:fldChar w:fldCharType="end"/>
      </w:r>
      <w:r w:rsidRPr="43844335" w:rsidR="00F63971">
        <w:rPr>
          <w:rFonts w:ascii="Times New Roman" w:hAnsi="Times New Roman" w:cs="Times New Roman"/>
          <w:sz w:val="24"/>
          <w:szCs w:val="24"/>
        </w:rPr>
        <w:t xml:space="preserve"> </w:t>
      </w:r>
      <w:r w:rsidRPr="43844335">
        <w:rPr>
          <w:rFonts w:ascii="Times New Roman" w:hAnsi="Times New Roman" w:cs="Times New Roman"/>
          <w:sz w:val="24"/>
          <w:szCs w:val="24"/>
        </w:rPr>
        <w:fldChar w:fldCharType="begin"/>
      </w:r>
      <w:r w:rsidRPr="43844335">
        <w:rPr>
          <w:rFonts w:ascii="Times New Roman" w:hAnsi="Times New Roman" w:cs="Times New Roman"/>
          <w:sz w:val="24"/>
          <w:szCs w:val="24"/>
        </w:rPr>
        <w:instrText xml:space="preserve"> ADDIN ZOTERO_ITEM CSL_CITATION {"citationID":"9jACg3wn","properties":{"formattedCitation":"[12]","plainCitation":"[12]","dontUpdate":true,"noteIndex":0},"citationItems":[{"id":54,"uris":["http://zotero.org/users/local/NWCAR5we/items/MIQ9CMKM"],"itemData":{"id":54,"type":"article","abstract":"The rapid expansion of photovoltaic (PV) systems is essential for decarbonizing energy systems but raises concerns about competing with agriculture for arable land. Agrivoltaic (APV) systems offer a sustainable solution by integrating PV installations with agriculture on the same land. However, adoption is constrained by a limited understanding of design parameters and their effects on energy and crop productivity. This study presents a simulation framework to evaluate open-field APV systems, focusing on the impacts of ground coverage ratio (GCR), clearance height, and tracking configurations on solar irradiance distribution, crop yield, and solar energy generation. The Land Equivalent Ratio (LER) was employed to assess the combined productivity of agricultural output and solar energy generation. Scenarios are modeled for temperate climates, examining three crops (lettuce, turnip, and maize) alongside bifacial PV systems with fixed and tracking designs. Results showed that design parameters significantly affect shading and light distribution. Higher clearance heights and lower GCRs enhance agricultural productivity, particularly for shade-sensitive crops like maize, though slightly reducing energy yields. LER values ranged from 1.04 to 2.05 for the GCR variable between 0.6 and 0.2, demonstrating that APV systems are more productive than conventional land use. These insights support optimizing APV designs, aiding policymakers and developers in aligning renewable energy goals with agricultural sustainability.","DOI":"10.2139/ssrn.5082169","language":"en","publisher":"SSRN","source":"DOI.org (Crossref)","title":"Optimizing Agrivoltaic Systems: A Comprehensive Analysis of Design, Crop Productivity and Energy Performance in Open-Field Configurations","title-short":"Optimizing Agrivoltaic Systems","URL":"https://www.ssrn.com/abstract=5082169","author":[{"family":"Mazzeo","given":"Domenico"},{"family":"Di Zio","given":"Andrea"},{"family":"Pesenti","given":"Claudio"},{"family":"Leva","given":"Sonia"}],"accessed":{"date-parts":[["2025",12,15]]},"issued":{"date-parts":[["2025"]]}}}],"schema":"https://github.com/citation-style-language/schema/raw/master/csl-citation.json"} </w:instrText>
      </w:r>
      <w:r w:rsidRPr="43844335">
        <w:rPr>
          <w:rFonts w:ascii="Times New Roman" w:hAnsi="Times New Roman" w:cs="Times New Roman"/>
          <w:sz w:val="24"/>
          <w:szCs w:val="24"/>
        </w:rPr>
        <w:fldChar w:fldCharType="separate"/>
      </w:r>
      <w:r w:rsidRPr="43844335" w:rsidR="000703F4">
        <w:rPr>
          <w:rFonts w:ascii="Times New Roman" w:hAnsi="Times New Roman" w:cs="Times New Roman"/>
          <w:sz w:val="24"/>
          <w:szCs w:val="24"/>
        </w:rPr>
        <w:t>12]</w:t>
      </w:r>
      <w:r w:rsidRPr="43844335">
        <w:rPr>
          <w:rFonts w:ascii="Times New Roman" w:hAnsi="Times New Roman" w:cs="Times New Roman"/>
          <w:sz w:val="24"/>
          <w:szCs w:val="24"/>
        </w:rPr>
        <w:fldChar w:fldCharType="end"/>
      </w:r>
      <w:r w:rsidRPr="43844335" w:rsidR="002D2965">
        <w:rPr>
          <w:rFonts w:ascii="Times New Roman" w:hAnsi="Times New Roman" w:cs="Times New Roman"/>
          <w:sz w:val="24"/>
          <w:szCs w:val="24"/>
        </w:rPr>
        <w:t>.</w:t>
      </w:r>
    </w:p>
    <w:p w:rsidRPr="000C01CA" w:rsidR="00773396" w:rsidP="00102447" w:rsidRDefault="00CC678E" w14:paraId="6E863B37" w14:textId="38105793">
      <w:pPr>
        <w:spacing w:line="360" w:lineRule="auto"/>
        <w:jc w:val="both"/>
        <w:rPr>
          <w:rFonts w:ascii="Times New Roman" w:hAnsi="Times New Roman" w:cs="Times New Roman"/>
          <w:sz w:val="24"/>
          <w:szCs w:val="24"/>
        </w:rPr>
      </w:pPr>
      <w:r w:rsidRPr="43844335" w:rsidR="4364D35B">
        <w:rPr>
          <w:rFonts w:ascii="Times New Roman" w:hAnsi="Times New Roman" w:cs="Times New Roman"/>
          <w:sz w:val="24"/>
          <w:szCs w:val="24"/>
        </w:rPr>
        <w:t>These results suggest that a co-located system can outperform the simple sum of its parts.</w:t>
      </w:r>
      <w:r w:rsidRPr="43844335" w:rsidR="00CC678E">
        <w:rPr>
          <w:rFonts w:ascii="Times New Roman" w:hAnsi="Times New Roman" w:cs="Times New Roman"/>
          <w:sz w:val="24"/>
          <w:szCs w:val="24"/>
        </w:rPr>
        <w:t xml:space="preserve"> </w:t>
      </w:r>
      <w:r w:rsidRPr="43844335" w:rsidR="00B77E2B">
        <w:rPr>
          <w:rFonts w:ascii="Times New Roman" w:hAnsi="Times New Roman" w:cs="Times New Roman"/>
          <w:sz w:val="24"/>
          <w:szCs w:val="24"/>
        </w:rPr>
        <w:t xml:space="preserve">Beyond simple land-sharing, coupling agrivoltaic systems with anaerobic digestion (AD) enables the creation of a circular energy framework that strengthens the dual-use concept. </w:t>
      </w:r>
    </w:p>
    <w:p w:rsidRPr="000C01CA" w:rsidR="00773396" w:rsidP="00102447" w:rsidRDefault="00773396" w14:paraId="6EF80522" w14:textId="77777777">
      <w:pPr>
        <w:spacing w:line="360" w:lineRule="auto"/>
        <w:jc w:val="both"/>
        <w:rPr>
          <w:rFonts w:ascii="Times New Roman" w:hAnsi="Times New Roman" w:cs="Times New Roman"/>
          <w:sz w:val="24"/>
          <w:szCs w:val="24"/>
        </w:rPr>
      </w:pPr>
    </w:p>
    <w:p w:rsidRPr="000C01CA" w:rsidR="00773396" w:rsidP="00102447" w:rsidRDefault="00773396" w14:paraId="7B811ADD" w14:textId="77777777">
      <w:pPr>
        <w:spacing w:line="360" w:lineRule="auto"/>
        <w:jc w:val="both"/>
        <w:rPr>
          <w:rFonts w:ascii="Times New Roman" w:hAnsi="Times New Roman" w:cs="Times New Roman"/>
          <w:sz w:val="24"/>
          <w:szCs w:val="24"/>
        </w:rPr>
      </w:pPr>
      <w:r w:rsidRPr="000C01CA">
        <w:rPr>
          <w:rFonts w:ascii="Times New Roman" w:hAnsi="Times New Roman" w:cs="Times New Roman"/>
          <w:noProof/>
          <w:sz w:val="24"/>
          <w:szCs w:val="24"/>
          <w:lang w:val="fr-FR" w:eastAsia="fr-FR"/>
        </w:rPr>
        <w:drawing>
          <wp:inline distT="0" distB="0" distL="0" distR="0" wp14:anchorId="5048BCCA" wp14:editId="42B3C3D8">
            <wp:extent cx="4525163" cy="2204720"/>
            <wp:effectExtent l="0" t="0" r="8890" b="508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emini_Generated_Image_3842v63842v63842.png"/>
                    <pic:cNvPicPr/>
                  </pic:nvPicPr>
                  <pic:blipFill rotWithShape="1">
                    <a:blip r:embed="rId9" cstate="print">
                      <a:extLst>
                        <a:ext uri="{28A0092B-C50C-407E-A947-70E740481C1C}">
                          <a14:useLocalDpi xmlns:a14="http://schemas.microsoft.com/office/drawing/2010/main" val="0"/>
                        </a:ext>
                      </a:extLst>
                    </a:blip>
                    <a:srcRect t="10671"/>
                    <a:stretch/>
                  </pic:blipFill>
                  <pic:spPr bwMode="auto">
                    <a:xfrm>
                      <a:off x="0" y="0"/>
                      <a:ext cx="4538914" cy="2211420"/>
                    </a:xfrm>
                    <a:prstGeom prst="rect">
                      <a:avLst/>
                    </a:prstGeom>
                    <a:ln>
                      <a:noFill/>
                    </a:ln>
                    <a:extLst>
                      <a:ext uri="{53640926-AAD7-44D8-BBD7-CCE9431645EC}">
                        <a14:shadowObscured xmlns:a14="http://schemas.microsoft.com/office/drawing/2010/main"/>
                      </a:ext>
                    </a:extLst>
                  </pic:spPr>
                </pic:pic>
              </a:graphicData>
            </a:graphic>
          </wp:inline>
        </w:drawing>
      </w:r>
    </w:p>
    <w:p w:rsidRPr="000C01CA" w:rsidR="00773396" w:rsidP="00102447" w:rsidRDefault="00773396" w14:paraId="7CA19FA7" w14:textId="4CCD6AEE">
      <w:pPr>
        <w:spacing w:line="360" w:lineRule="auto"/>
        <w:jc w:val="both"/>
        <w:rPr>
          <w:rFonts w:ascii="Times New Roman" w:hAnsi="Times New Roman" w:cs="Times New Roman"/>
          <w:sz w:val="24"/>
          <w:szCs w:val="24"/>
        </w:rPr>
      </w:pPr>
      <w:r w:rsidRPr="000C01CA">
        <w:rPr>
          <w:rFonts w:ascii="Times New Roman" w:hAnsi="Times New Roman" w:cs="Times New Roman"/>
          <w:sz w:val="24"/>
          <w:szCs w:val="24"/>
        </w:rPr>
        <w:t xml:space="preserve">Figure </w:t>
      </w:r>
      <w:r w:rsidRPr="000C01CA">
        <w:rPr>
          <w:rFonts w:ascii="Times New Roman" w:hAnsi="Times New Roman" w:cs="Times New Roman"/>
          <w:sz w:val="24"/>
          <w:szCs w:val="24"/>
        </w:rPr>
        <w:fldChar w:fldCharType="begin"/>
      </w:r>
      <w:r w:rsidRPr="000C01CA">
        <w:rPr>
          <w:rFonts w:ascii="Times New Roman" w:hAnsi="Times New Roman" w:cs="Times New Roman"/>
          <w:sz w:val="24"/>
          <w:szCs w:val="24"/>
        </w:rPr>
        <w:instrText xml:space="preserve"> SEQ Figure \* ARABIC </w:instrText>
      </w:r>
      <w:r w:rsidRPr="000C01CA">
        <w:rPr>
          <w:rFonts w:ascii="Times New Roman" w:hAnsi="Times New Roman" w:cs="Times New Roman"/>
          <w:sz w:val="24"/>
          <w:szCs w:val="24"/>
        </w:rPr>
        <w:fldChar w:fldCharType="separate"/>
      </w:r>
      <w:r w:rsidR="002E72EE">
        <w:rPr>
          <w:rFonts w:ascii="Times New Roman" w:hAnsi="Times New Roman" w:cs="Times New Roman"/>
          <w:noProof/>
          <w:sz w:val="24"/>
          <w:szCs w:val="24"/>
        </w:rPr>
        <w:t>2</w:t>
      </w:r>
      <w:r w:rsidRPr="000C01CA">
        <w:rPr>
          <w:rFonts w:ascii="Times New Roman" w:hAnsi="Times New Roman" w:cs="Times New Roman"/>
          <w:sz w:val="24"/>
          <w:szCs w:val="24"/>
        </w:rPr>
        <w:fldChar w:fldCharType="end"/>
      </w:r>
      <w:r w:rsidRPr="000C01CA">
        <w:rPr>
          <w:rFonts w:ascii="Times New Roman" w:hAnsi="Times New Roman" w:cs="Times New Roman"/>
          <w:sz w:val="24"/>
          <w:szCs w:val="24"/>
        </w:rPr>
        <w:t xml:space="preserve"> : Schematic representation of the integrated agrivoltaic–anaerobic digestion (AV–AD) system operating in a closed-loop configuration. </w:t>
      </w:r>
    </w:p>
    <w:p w:rsidRPr="000C01CA" w:rsidR="00DD4C94" w:rsidP="00102447" w:rsidRDefault="00916B85" w14:paraId="6C7F4CB2" w14:textId="57ADF84C">
      <w:pPr>
        <w:spacing w:line="360" w:lineRule="auto"/>
        <w:jc w:val="both"/>
        <w:rPr>
          <w:rFonts w:ascii="Times New Roman" w:hAnsi="Times New Roman" w:cs="Times New Roman"/>
          <w:sz w:val="24"/>
          <w:szCs w:val="24"/>
        </w:rPr>
      </w:pPr>
      <w:r w:rsidRPr="43844335" w:rsidR="00916B85">
        <w:rPr>
          <w:rFonts w:ascii="Times New Roman" w:hAnsi="Times New Roman" w:cs="Times New Roman"/>
          <w:sz w:val="24"/>
          <w:szCs w:val="24"/>
        </w:rPr>
        <w:t xml:space="preserve">This </w:t>
      </w:r>
      <w:r w:rsidRPr="43844335" w:rsidR="00916B85">
        <w:rPr>
          <w:rFonts w:ascii="Times New Roman" w:hAnsi="Times New Roman" w:cs="Times New Roman"/>
          <w:sz w:val="24"/>
          <w:szCs w:val="24"/>
        </w:rPr>
        <w:t>synergy</w:t>
      </w:r>
      <w:r w:rsidRPr="43844335" w:rsidR="00916B85">
        <w:rPr>
          <w:rFonts w:ascii="Times New Roman" w:hAnsi="Times New Roman" w:cs="Times New Roman"/>
          <w:sz w:val="24"/>
          <w:szCs w:val="24"/>
        </w:rPr>
        <w:t xml:space="preserve"> works thro</w:t>
      </w:r>
      <w:r w:rsidRPr="43844335" w:rsidR="00F35517">
        <w:rPr>
          <w:rFonts w:ascii="Times New Roman" w:hAnsi="Times New Roman" w:cs="Times New Roman"/>
          <w:sz w:val="24"/>
          <w:szCs w:val="24"/>
        </w:rPr>
        <w:t>ugh several mechanisms. T</w:t>
      </w:r>
      <w:r w:rsidRPr="43844335" w:rsidR="00916B85">
        <w:rPr>
          <w:rFonts w:ascii="Times New Roman" w:hAnsi="Times New Roman" w:cs="Times New Roman"/>
          <w:sz w:val="24"/>
          <w:szCs w:val="24"/>
        </w:rPr>
        <w:t xml:space="preserve">he electricity produced by AV installations can be used to power the electrical and thermal needs of AD installations, particularly when they are supported by shallow geothermal </w:t>
      </w:r>
      <w:r w:rsidRPr="43844335" w:rsidR="00B77E2B">
        <w:rPr>
          <w:rFonts w:ascii="Times New Roman" w:hAnsi="Times New Roman" w:cs="Times New Roman"/>
          <w:sz w:val="24"/>
          <w:szCs w:val="24"/>
        </w:rPr>
        <w:t>heat pumps (GWHP</w:t>
      </w:r>
      <w:r w:rsidRPr="43844335" w:rsidR="00B77E2B">
        <w:rPr>
          <w:rFonts w:ascii="Times New Roman" w:hAnsi="Times New Roman" w:cs="Times New Roman"/>
          <w:sz w:val="24"/>
          <w:szCs w:val="24"/>
        </w:rPr>
        <w:t>)</w:t>
      </w:r>
      <w:r w:rsidRPr="43844335">
        <w:rPr>
          <w:rFonts w:ascii="Times New Roman" w:hAnsi="Times New Roman" w:cs="Times New Roman"/>
          <w:sz w:val="24"/>
          <w:szCs w:val="24"/>
        </w:rPr>
        <w:fldChar w:fldCharType="begin"/>
      </w:r>
      <w:r w:rsidRPr="43844335">
        <w:rPr>
          <w:rFonts w:ascii="Times New Roman" w:hAnsi="Times New Roman" w:cs="Times New Roman"/>
          <w:sz w:val="24"/>
          <w:szCs w:val="24"/>
        </w:rPr>
        <w:instrText xml:space="preserve"> ADDIN ZOTERO_ITEM CSL_CITATION {"citationID":"43bOSVzS","properties":{"formattedCitation":"[13]","plainCitation":"[13]","noteIndex":0},"citationItems":[{"id":56,"uris":["http://zotero.org/users/local/NWCAR5we/items/EY8VZSL6"],"itemData":{"id":56,"type":"article-journal","container-title":"Science of The Total Environment","DOI":"10.1016/j.scitotenv.2023.169274","ISSN":"00489697","journalAbbreviation":"Science of The Total Environment","language":"en","page":"169274","source":"DOI.org (Crossref)","title":"Techno-economic and life cycle assessment of agrivoltaic system (AVS) designs","volume":"912","author":[{"family":"Ravilla","given":"Achyuth"},{"family":"Shirkey","given":"Gabriela"},{"family":"Chen","given":"Jiquan"},{"family":"Jarchow","given":"Meghann"},{"family":"Stary","given":"Olyssa"},{"family":"Celik","given":"Ilke"}],"issued":{"date-parts":[["2024",2]]}}}],"schema":"https://github.com/citation-style-language/schema/raw/master/csl-citation.json"} </w:instrText>
      </w:r>
      <w:r w:rsidRPr="43844335">
        <w:rPr>
          <w:rFonts w:ascii="Times New Roman" w:hAnsi="Times New Roman" w:cs="Times New Roman"/>
          <w:sz w:val="24"/>
          <w:szCs w:val="24"/>
        </w:rPr>
        <w:fldChar w:fldCharType="separate"/>
      </w:r>
      <w:r w:rsidRPr="43844335" w:rsidR="009C0EB2">
        <w:rPr>
          <w:rFonts w:ascii="Times New Roman" w:hAnsi="Times New Roman" w:cs="Times New Roman"/>
          <w:sz w:val="24"/>
          <w:szCs w:val="24"/>
        </w:rPr>
        <w:t>[</w:t>
      </w:r>
      <w:r w:rsidRPr="43844335" w:rsidR="009C0EB2">
        <w:rPr>
          <w:rFonts w:ascii="Times New Roman" w:hAnsi="Times New Roman" w:cs="Times New Roman"/>
          <w:sz w:val="24"/>
          <w:szCs w:val="24"/>
        </w:rPr>
        <w:t>13]</w:t>
      </w:r>
      <w:r w:rsidRPr="43844335">
        <w:rPr>
          <w:rFonts w:ascii="Times New Roman" w:hAnsi="Times New Roman" w:cs="Times New Roman"/>
          <w:sz w:val="24"/>
          <w:szCs w:val="24"/>
        </w:rPr>
        <w:fldChar w:fldCharType="end"/>
      </w:r>
      <w:r w:rsidRPr="43844335" w:rsidR="00B77E2B">
        <w:rPr>
          <w:rFonts w:ascii="Times New Roman" w:hAnsi="Times New Roman" w:cs="Times New Roman"/>
          <w:sz w:val="24"/>
          <w:szCs w:val="24"/>
        </w:rPr>
        <w:t xml:space="preserve">. </w:t>
      </w:r>
      <w:r w:rsidRPr="43844335" w:rsidR="00E67266">
        <w:rPr>
          <w:rFonts w:ascii="Times New Roman" w:hAnsi="Times New Roman" w:cs="Times New Roman"/>
          <w:sz w:val="24"/>
          <w:szCs w:val="24"/>
        </w:rPr>
        <w:t xml:space="preserve">Using solar energy to power the </w:t>
      </w:r>
      <w:r w:rsidRPr="43844335" w:rsidR="69FA9236">
        <w:rPr>
          <w:rFonts w:ascii="Times New Roman" w:hAnsi="Times New Roman" w:cs="Times New Roman"/>
          <w:sz w:val="24"/>
          <w:szCs w:val="24"/>
        </w:rPr>
        <w:t>digestion of</w:t>
      </w:r>
      <w:r w:rsidRPr="43844335" w:rsidR="00E67266">
        <w:rPr>
          <w:rFonts w:ascii="Times New Roman" w:hAnsi="Times New Roman" w:cs="Times New Roman"/>
          <w:sz w:val="24"/>
          <w:szCs w:val="24"/>
        </w:rPr>
        <w:t xml:space="preserve"> thermal needs means we can upgrade a larger share of biogas into </w:t>
      </w:r>
      <w:r w:rsidRPr="43844335" w:rsidR="441153DC">
        <w:rPr>
          <w:rFonts w:ascii="Times New Roman" w:hAnsi="Times New Roman" w:cs="Times New Roman"/>
          <w:sz w:val="24"/>
          <w:szCs w:val="24"/>
        </w:rPr>
        <w:t>high value</w:t>
      </w:r>
      <w:r w:rsidRPr="43844335" w:rsidR="00E67266">
        <w:rPr>
          <w:rFonts w:ascii="Times New Roman" w:hAnsi="Times New Roman" w:cs="Times New Roman"/>
          <w:sz w:val="24"/>
          <w:szCs w:val="24"/>
        </w:rPr>
        <w:t xml:space="preserve"> biomethane. </w:t>
      </w:r>
      <w:r w:rsidRPr="43844335" w:rsidR="00A835C4">
        <w:rPr>
          <w:rFonts w:ascii="Times New Roman" w:hAnsi="Times New Roman" w:cs="Times New Roman"/>
          <w:sz w:val="24"/>
          <w:szCs w:val="24"/>
        </w:rPr>
        <w:t xml:space="preserve">This </w:t>
      </w:r>
      <w:r w:rsidRPr="43844335" w:rsidR="00A835C4">
        <w:rPr>
          <w:rFonts w:ascii="Times New Roman" w:hAnsi="Times New Roman" w:cs="Times New Roman"/>
          <w:sz w:val="24"/>
          <w:szCs w:val="24"/>
        </w:rPr>
        <w:t>synergy</w:t>
      </w:r>
      <w:r w:rsidRPr="43844335" w:rsidR="00A835C4">
        <w:rPr>
          <w:rFonts w:ascii="Times New Roman" w:hAnsi="Times New Roman" w:cs="Times New Roman"/>
          <w:sz w:val="24"/>
          <w:szCs w:val="24"/>
        </w:rPr>
        <w:t xml:space="preserve"> closes the </w:t>
      </w:r>
      <w:r w:rsidRPr="43844335" w:rsidR="07537F32">
        <w:rPr>
          <w:rFonts w:ascii="Times New Roman" w:hAnsi="Times New Roman" w:cs="Times New Roman"/>
          <w:sz w:val="24"/>
          <w:szCs w:val="24"/>
        </w:rPr>
        <w:t>loop:</w:t>
      </w:r>
      <w:r w:rsidRPr="43844335" w:rsidR="00A835C4">
        <w:rPr>
          <w:rFonts w:ascii="Times New Roman" w:hAnsi="Times New Roman" w:cs="Times New Roman"/>
          <w:sz w:val="24"/>
          <w:szCs w:val="24"/>
        </w:rPr>
        <w:t xml:space="preserve"> crop residues become feedstock for the digester, and the resulting nutrient-rich digestate is applied back to the soil, completing a circular resource cycle </w:t>
      </w:r>
      <w:r w:rsidRPr="43844335">
        <w:rPr>
          <w:rFonts w:ascii="Times New Roman" w:hAnsi="Times New Roman" w:cs="Times New Roman"/>
          <w:sz w:val="24"/>
          <w:szCs w:val="24"/>
        </w:rPr>
        <w:fldChar w:fldCharType="begin"/>
      </w:r>
      <w:r w:rsidRPr="43844335">
        <w:rPr>
          <w:rFonts w:ascii="Times New Roman" w:hAnsi="Times New Roman" w:cs="Times New Roman"/>
          <w:sz w:val="24"/>
          <w:szCs w:val="24"/>
        </w:rPr>
        <w:instrText xml:space="preserve"> ADDIN ZOTERO_ITEM CSL_CITATION {"citationID":"VWAnq6Kp","properties":{"formattedCitation":"[1]","plainCitation":"[1]","noteIndex":0},"citationItems":[{"id":5,"uris":["http://zotero.org/users/local/NWCAR5we/items/UUW3G8ZP"],"itemData":{"id":5,"type":"article-journal","abstract":"Agrivoltaic systems combine solar photovoltaic energy production with agriculture to improve land-use efﬁciency. We provide an upper-bound reduced-order cost estimate for widespread implementation of Agrivoltaic systems in the United States. We ﬁnd that 20% of the US’ total electricity generation can be met with Agrivoltaic systems if less than 1% of the annual US budget is invested into rural infrastructure. Simultaneously, Agrivoltaic systems align well with existing Green New Deal goals. Widescale installation of Agrivoltaic systems can lead to a carbon dioxide (CO2) emissions reduction equivalent to removing 71,000 cars from the road annually and the creation of over 100,000 jobs in rural communities. Agrivoltaics provide a rare chance for true synergy: more food, more energy, lower water demand, lower carbon emissions, and more prosperous rural communities.","container-title":"Sustainability","DOI":"10.3390/su13010137","ISSN":"2071-1050","issue":"1","journalAbbreviation":"Sustainability","language":"en","page":"137","source":"DOI.org (Crossref)","title":"Agrivoltaics Align with Green New Deal Goals While Supporting Investment in the US’ Rural Economy","volume":"13","author":[{"family":"Proctor","given":"Kyle"},{"family":"Murthy","given":"Ganti"},{"family":"Higgins","given":"Chad"}],"issued":{"date-parts":[["2020",12,25]]}}}],"schema":"https://github.com/citation-style-language/schema/raw/master/csl-citation.json"} </w:instrText>
      </w:r>
      <w:r w:rsidRPr="43844335">
        <w:rPr>
          <w:rFonts w:ascii="Times New Roman" w:hAnsi="Times New Roman" w:cs="Times New Roman"/>
          <w:sz w:val="24"/>
          <w:szCs w:val="24"/>
        </w:rPr>
        <w:fldChar w:fldCharType="separate"/>
      </w:r>
      <w:r w:rsidRPr="43844335" w:rsidR="000703F4">
        <w:rPr>
          <w:rFonts w:ascii="Times New Roman" w:hAnsi="Times New Roman" w:cs="Times New Roman"/>
          <w:sz w:val="24"/>
          <w:szCs w:val="24"/>
        </w:rPr>
        <w:t>[1]</w:t>
      </w:r>
      <w:r w:rsidRPr="43844335">
        <w:rPr>
          <w:rFonts w:ascii="Times New Roman" w:hAnsi="Times New Roman" w:cs="Times New Roman"/>
          <w:sz w:val="24"/>
          <w:szCs w:val="24"/>
        </w:rPr>
        <w:fldChar w:fldCharType="end"/>
      </w:r>
      <w:r w:rsidRPr="43844335" w:rsidR="00356C03">
        <w:rPr>
          <w:rFonts w:ascii="Times New Roman" w:hAnsi="Times New Roman" w:cs="Times New Roman"/>
          <w:sz w:val="24"/>
          <w:szCs w:val="24"/>
        </w:rPr>
        <w:t xml:space="preserve">. </w:t>
      </w:r>
      <w:r w:rsidRPr="43844335" w:rsidR="006806A0">
        <w:rPr>
          <w:rFonts w:ascii="Times New Roman" w:hAnsi="Times New Roman" w:cs="Times New Roman"/>
          <w:sz w:val="24"/>
          <w:szCs w:val="24"/>
        </w:rPr>
        <w:t>In addition to mitigating land-use conflicts, this approach enhances farm resilience and diversifies income sources under changing climatic conditions</w:t>
      </w:r>
      <w:r w:rsidRPr="43844335" w:rsidR="00F35517">
        <w:rPr>
          <w:rFonts w:ascii="Times New Roman" w:hAnsi="Times New Roman" w:cs="Times New Roman"/>
          <w:sz w:val="24"/>
          <w:szCs w:val="24"/>
        </w:rPr>
        <w:t xml:space="preserve">. </w:t>
      </w:r>
      <w:r w:rsidRPr="43844335" w:rsidR="00CC678E">
        <w:rPr>
          <w:rFonts w:ascii="Times New Roman" w:hAnsi="Times New Roman" w:cs="Times New Roman"/>
          <w:sz w:val="24"/>
          <w:szCs w:val="24"/>
        </w:rPr>
        <w:t xml:space="preserve">However, despite the potential, research gaps </w:t>
      </w:r>
      <w:r w:rsidRPr="43844335" w:rsidR="084E4C38">
        <w:rPr>
          <w:rFonts w:ascii="Times New Roman" w:hAnsi="Times New Roman" w:cs="Times New Roman"/>
          <w:sz w:val="24"/>
          <w:szCs w:val="24"/>
        </w:rPr>
        <w:t>are still</w:t>
      </w:r>
      <w:r w:rsidRPr="43844335" w:rsidR="00CC678E">
        <w:rPr>
          <w:rFonts w:ascii="Times New Roman" w:hAnsi="Times New Roman" w:cs="Times New Roman"/>
          <w:sz w:val="24"/>
          <w:szCs w:val="24"/>
        </w:rPr>
        <w:t xml:space="preserve">. Most studies still look at agricultural output or solar performance in isolation, often overlooking these complex, multi-energy configurations </w:t>
      </w:r>
      <w:r w:rsidRPr="43844335">
        <w:rPr>
          <w:rFonts w:ascii="Times New Roman" w:hAnsi="Times New Roman" w:cs="Times New Roman"/>
          <w:sz w:val="24"/>
          <w:szCs w:val="24"/>
        </w:rPr>
        <w:fldChar w:fldCharType="begin"/>
      </w:r>
      <w:r w:rsidRPr="43844335">
        <w:rPr>
          <w:rFonts w:ascii="Times New Roman" w:hAnsi="Times New Roman" w:cs="Times New Roman"/>
          <w:sz w:val="24"/>
          <w:szCs w:val="24"/>
        </w:rPr>
        <w:instrText xml:space="preserve"> ADDIN ZOTERO_ITEM CSL_CITATION {"citationID":"R2Um8nwx","properties":{"formattedCitation":"[14]","plainCitation":"[14]","noteIndex":0},"citationItems":[{"id":29,"uris":["http://zotero.org/users/local/NWCAR5we/items/4Q2GALRV"],"itemData":{"id":29,"type":"article-journal","abstract":"An agrovoltaic system combines agricultural crop production and energy production in the same place, emphasizing the dual use of land. This article provides a bibliometric analysis of agrivoltaic topics based on publications indexed in SCOPUS, in which either economic assessments of agrivoltaics, agrivoltaic systems for crops and livestock animals, photovoltaic greenhouse and agrivoltaics with open ﬁeld are discussed, or its ideas are used to analyze certain locations. A bibliometric analysis was conducted using the SCOPUS database. Multiple bibliometric tools, such as R Studio and Biblioshiny, were applied to analyze data for this study. Finally, 121 relevant articles were obtained and reviewed. The results show that the focus topic is a brand-new research area, with the majority of relevant scientiﬁc publications concentrated in the last three years, and with much ongoing research. This is why AV-specialized scientiﬁc conferences might be the best place to get relevant and up-to-date information, with the highest number being offered in the USA and China. A typical trend in recent years has been researched, focusing on different agricultural aspects. The research results show that scientiﬁc publications in recent years mainly focus on short-term predictions, there is no recognized evaluation standard for various prediction analyses, and it is difﬁcult to evaluate various prediction methods so far.","container-title":"Energies","DOI":"10.3390/en16020611","ISSN":"1996-1073","issue":"2","journalAbbreviation":"Energies","language":"en","page":"611","source":"DOI.org (Crossref)","title":"Worldwide Research Trends in Agrivoltaic Systems—A Bibliometric Review","volume":"16","author":[{"family":"Chalgynbayeva","given":"Aidana"},{"family":"Gabnai","given":"Zoltán"},{"family":"Lengyel","given":"Péter"},{"family":"Pestisha","given":"Albiona"},{"family":"Bai","given":"Attila"}],"issued":{"date-parts":[["2023",1,4]]}}}],"schema":"https://github.com/citation-style-language/schema/raw/master/csl-citation.json"} </w:instrText>
      </w:r>
      <w:r w:rsidRPr="43844335">
        <w:rPr>
          <w:rFonts w:ascii="Times New Roman" w:hAnsi="Times New Roman" w:cs="Times New Roman"/>
          <w:sz w:val="24"/>
          <w:szCs w:val="24"/>
        </w:rPr>
        <w:fldChar w:fldCharType="separate"/>
      </w:r>
      <w:r w:rsidRPr="43844335" w:rsidR="009C0EB2">
        <w:rPr>
          <w:rFonts w:ascii="Times New Roman" w:hAnsi="Times New Roman" w:cs="Times New Roman"/>
          <w:sz w:val="24"/>
          <w:szCs w:val="24"/>
        </w:rPr>
        <w:t>[14]</w:t>
      </w:r>
      <w:r w:rsidRPr="43844335">
        <w:rPr>
          <w:rFonts w:ascii="Times New Roman" w:hAnsi="Times New Roman" w:cs="Times New Roman"/>
          <w:sz w:val="24"/>
          <w:szCs w:val="24"/>
        </w:rPr>
        <w:fldChar w:fldCharType="end"/>
      </w:r>
      <w:r w:rsidRPr="43844335" w:rsidR="00F35517">
        <w:rPr>
          <w:rFonts w:ascii="Times New Roman" w:hAnsi="Times New Roman" w:cs="Times New Roman"/>
          <w:sz w:val="24"/>
          <w:szCs w:val="24"/>
        </w:rPr>
        <w:t>.</w:t>
      </w:r>
    </w:p>
    <w:p w:rsidRPr="000C01CA" w:rsidR="008168C6" w:rsidP="00102447" w:rsidRDefault="00916B85" w14:paraId="0754E150" w14:textId="0358BECD">
      <w:pPr>
        <w:spacing w:line="360" w:lineRule="auto"/>
        <w:jc w:val="both"/>
        <w:rPr>
          <w:rFonts w:ascii="Times New Roman" w:hAnsi="Times New Roman" w:cs="Times New Roman"/>
          <w:sz w:val="24"/>
          <w:szCs w:val="24"/>
        </w:rPr>
      </w:pPr>
      <w:r w:rsidRPr="000C01CA">
        <w:rPr>
          <w:rFonts w:ascii="Times New Roman" w:hAnsi="Times New Roman" w:cs="Times New Roman"/>
          <w:sz w:val="24"/>
          <w:szCs w:val="24"/>
        </w:rPr>
        <w:t xml:space="preserve">Three gaps justify the need for a comprehensive review. First, there is a lack of integrated optimization frameworks capable of jointly evaluating agrivoltaic architectures, particularly </w:t>
      </w:r>
      <w:r w:rsidRPr="000C01CA">
        <w:rPr>
          <w:rFonts w:ascii="Times New Roman" w:hAnsi="Times New Roman" w:cs="Times New Roman"/>
          <w:sz w:val="24"/>
          <w:szCs w:val="24"/>
        </w:rPr>
        <w:t>solar tracking systems, and anaerobic digestion units with the explicit goal of m</w:t>
      </w:r>
      <w:r w:rsidRPr="000C01CA" w:rsidR="00071BCE">
        <w:rPr>
          <w:rFonts w:ascii="Times New Roman" w:hAnsi="Times New Roman" w:cs="Times New Roman"/>
          <w:sz w:val="24"/>
          <w:szCs w:val="24"/>
        </w:rPr>
        <w:t xml:space="preserve">aximizing biomethane production </w:t>
      </w:r>
      <w:r w:rsidRPr="000C01CA" w:rsidR="000703F4">
        <w:rPr>
          <w:rFonts w:ascii="Times New Roman" w:hAnsi="Times New Roman" w:cs="Times New Roman"/>
          <w:sz w:val="24"/>
          <w:szCs w:val="24"/>
        </w:rPr>
        <w:fldChar w:fldCharType="begin"/>
      </w:r>
      <w:r w:rsidRPr="000C01CA" w:rsidR="009C0EB2">
        <w:rPr>
          <w:rFonts w:ascii="Times New Roman" w:hAnsi="Times New Roman" w:cs="Times New Roman"/>
          <w:sz w:val="24"/>
          <w:szCs w:val="24"/>
        </w:rPr>
        <w:instrText xml:space="preserve"> ADDIN ZOTERO_ITEM CSL_CITATION {"citationID":"MBLO2ku2","properties":{"formattedCitation":"[13]","plainCitation":"[13]","noteIndex":0},"citationItems":[{"id":56,"uris":["http://zotero.org/users/local/NWCAR5we/items/EY8VZSL6"],"itemData":{"id":56,"type":"article-journal","container-title":"Science of The Total Environment","DOI":"10.1016/j.scitotenv.2023.169274","ISSN":"00489697","journalAbbreviation":"Science of The Total Environment","language":"en","page":"169274","source":"DOI.org (Crossref)","title":"Techno-economic and life cycle assessment of agrivoltaic system (AVS) designs","volume":"912","author":[{"family":"Ravilla","given":"Achyuth"},{"family":"Shirkey","given":"Gabriela"},{"family":"Chen","given":"Jiquan"},{"family":"Jarchow","given":"Meghann"},{"family":"Stary","given":"Olyssa"},{"family":"Celik","given":"Ilke"}],"issued":{"date-parts":[["2024",2]]}}}],"schema":"https://github.com/citation-style-language/schema/raw/master/csl-citation.json"} </w:instrText>
      </w:r>
      <w:r w:rsidRPr="000C01CA" w:rsidR="000703F4">
        <w:rPr>
          <w:rFonts w:ascii="Times New Roman" w:hAnsi="Times New Roman" w:cs="Times New Roman"/>
          <w:sz w:val="24"/>
          <w:szCs w:val="24"/>
        </w:rPr>
        <w:fldChar w:fldCharType="separate"/>
      </w:r>
      <w:r w:rsidRPr="000C01CA" w:rsidR="009C0EB2">
        <w:rPr>
          <w:rFonts w:ascii="Times New Roman" w:hAnsi="Times New Roman" w:cs="Times New Roman"/>
          <w:sz w:val="24"/>
        </w:rPr>
        <w:t>[13]</w:t>
      </w:r>
      <w:r w:rsidRPr="000C01CA" w:rsidR="000703F4">
        <w:rPr>
          <w:rFonts w:ascii="Times New Roman" w:hAnsi="Times New Roman" w:cs="Times New Roman"/>
          <w:sz w:val="24"/>
          <w:szCs w:val="24"/>
        </w:rPr>
        <w:fldChar w:fldCharType="end"/>
      </w:r>
      <w:r w:rsidRPr="000C01CA">
        <w:rPr>
          <w:rFonts w:ascii="Times New Roman" w:hAnsi="Times New Roman" w:cs="Times New Roman"/>
          <w:sz w:val="24"/>
          <w:szCs w:val="24"/>
        </w:rPr>
        <w:t xml:space="preserve">. Second, although dynamic AV systems (single- or dual-axis tracking) are particularly relevant in semi-arid climates due to their ability to modulate shading, preserve soil moisture, </w:t>
      </w:r>
      <w:r w:rsidRPr="000C01CA" w:rsidR="00703A25">
        <w:rPr>
          <w:rFonts w:ascii="Times New Roman" w:hAnsi="Times New Roman" w:cs="Times New Roman"/>
          <w:sz w:val="24"/>
          <w:szCs w:val="24"/>
        </w:rPr>
        <w:t>and mitigate photoinhibition [2,</w:t>
      </w:r>
      <w:r w:rsidRPr="000C01CA" w:rsidR="00AA4489">
        <w:rPr>
          <w:rFonts w:ascii="Times New Roman" w:hAnsi="Times New Roman" w:cs="Times New Roman"/>
          <w:sz w:val="24"/>
          <w:szCs w:val="24"/>
        </w:rPr>
        <w:t xml:space="preserve"> </w:t>
      </w:r>
      <w:r w:rsidRPr="000C01CA" w:rsidR="000703F4">
        <w:rPr>
          <w:rFonts w:ascii="Times New Roman" w:hAnsi="Times New Roman" w:cs="Times New Roman"/>
          <w:sz w:val="24"/>
          <w:szCs w:val="24"/>
        </w:rPr>
        <w:fldChar w:fldCharType="begin"/>
      </w:r>
      <w:r w:rsidRPr="000C01CA" w:rsidR="00703A25">
        <w:rPr>
          <w:rFonts w:ascii="Times New Roman" w:hAnsi="Times New Roman" w:cs="Times New Roman"/>
          <w:sz w:val="24"/>
          <w:szCs w:val="24"/>
        </w:rPr>
        <w:instrText xml:space="preserve"> ADDIN ZOTERO_ITEM CSL_CITATION {"citationID":"GDe2a58Q","properties":{"formattedCitation":"[7]","plainCitation":"[7]","dontUpdate":true,"noteIndex":0},"citationItems":[{"id":20,"uris":["http://zotero.org/users/local/NWCAR5we/items/NHYQ9YAR"],"itemData":{"id":20,"type":"article-journal","abstract":"As more nations move towards net-zero emission goals by 2050, research into the coupling of photovoltaics (PV) and agriculture has increased into a new sector of agrivoltaics (AV). Measurement of the Land Equivalent Ratio (LER) has allowed researchers to develop methods for optimizing the agrivoltaic system. Studies on innovative engineering technologies related to photovoltaic tracking along with new generation PV cells were reviewed to determine the factors that inﬂuence optimization. This review also considered AV farm layouts and how different spacing, height, and density impact the shading under the panels. As panels block the light from hitting the plants, the photosynthetically active radiation (PAR) changes and alters plant growth. The shading, however, also creates micro-climates that have beneﬁcial qualities in terms of water usage and PV efﬁciency. The overall review investigated the research of the last ﬁve years into AV optimization and the implications for future AV developments.","container-title":"Challenges","DOI":"10.3390/challe13020043","ISSN":"2078-1547","issue":"2","journalAbbreviation":"Challenges","language":"en","page":"43","source":"DOI.org (Crossref)","title":"Agrivoltaic Engineering and Layout Optimization Approaches in the Transition to Renewable Energy Technologies: A Review","title-short":"Agrivoltaic Engineering and Layout Optimization Approaches in the Transition to Renewable Energy Technologies","volume":"13","author":[{"family":"Reasoner","given":"Meagan"},{"family":"Ghosh","given":"Aritra"}],"issued":{"date-parts":[["2022",9,1]]}}}],"schema":"https://github.com/citation-style-language/schema/raw/master/csl-citation.json"} </w:instrText>
      </w:r>
      <w:r w:rsidRPr="000C01CA" w:rsidR="000703F4">
        <w:rPr>
          <w:rFonts w:ascii="Times New Roman" w:hAnsi="Times New Roman" w:cs="Times New Roman"/>
          <w:sz w:val="24"/>
          <w:szCs w:val="24"/>
        </w:rPr>
        <w:fldChar w:fldCharType="separate"/>
      </w:r>
      <w:r w:rsidRPr="000C01CA" w:rsidR="000703F4">
        <w:rPr>
          <w:rFonts w:ascii="Times New Roman" w:hAnsi="Times New Roman" w:cs="Times New Roman"/>
          <w:sz w:val="24"/>
        </w:rPr>
        <w:t>7</w:t>
      </w:r>
      <w:r w:rsidRPr="000C01CA" w:rsidR="000703F4">
        <w:rPr>
          <w:rFonts w:ascii="Times New Roman" w:hAnsi="Times New Roman" w:cs="Times New Roman"/>
          <w:sz w:val="24"/>
          <w:szCs w:val="24"/>
        </w:rPr>
        <w:fldChar w:fldCharType="end"/>
      </w:r>
      <w:r w:rsidRPr="000C01CA" w:rsidR="00703A25">
        <w:rPr>
          <w:rFonts w:ascii="Times New Roman" w:hAnsi="Times New Roman" w:cs="Times New Roman"/>
          <w:sz w:val="24"/>
          <w:szCs w:val="24"/>
        </w:rPr>
        <w:t>,</w:t>
      </w:r>
      <w:r w:rsidRPr="000C01CA" w:rsidR="00AD4370">
        <w:rPr>
          <w:rFonts w:ascii="Times New Roman" w:hAnsi="Times New Roman" w:cs="Times New Roman"/>
          <w:sz w:val="24"/>
          <w:szCs w:val="24"/>
        </w:rPr>
        <w:t xml:space="preserve"> </w:t>
      </w:r>
      <w:r w:rsidRPr="000C01CA" w:rsidR="000703F4">
        <w:rPr>
          <w:rFonts w:ascii="Times New Roman" w:hAnsi="Times New Roman" w:cs="Times New Roman"/>
          <w:sz w:val="24"/>
          <w:szCs w:val="24"/>
        </w:rPr>
        <w:fldChar w:fldCharType="begin"/>
      </w:r>
      <w:r w:rsidRPr="000C01CA" w:rsidR="00703A25">
        <w:rPr>
          <w:rFonts w:ascii="Times New Roman" w:hAnsi="Times New Roman" w:cs="Times New Roman"/>
          <w:sz w:val="24"/>
          <w:szCs w:val="24"/>
        </w:rPr>
        <w:instrText xml:space="preserve"> ADDIN ZOTERO_ITEM CSL_CITATION {"citationID":"EAP1Vexv","properties":{"formattedCitation":"[11]","plainCitation":"[11]","dontUpdate":true,"noteIndex":0},"citationItems":[{"id":50,"uris":["http://zotero.org/users/local/NWCAR5we/items/6JDDGFCG"],"itemData":{"id":50,"type":"article-journal","abstract":"Agrivoltaics (AV) is an emerging technology having symbiotic beneﬁts for food-energy-water needs of the growing world population and an inherent resilience against climate vulnerabilities. An AV system needs to balance the sunlight sharing between the solar panels and crops to maintain the desired food-energy yields, subject to appropriate constraints. Given the emerging diversity of monofacial and bifacial farms, the lack of a standardized crop-speciﬁc metric (to evaluate the efﬁcacy of the irradiance sharing) has made it difﬁcult to optimize/assess the performance of AV systems. Here, we introduce a new metric—light productivity factor (LPF)—that evaluates the effectiveness of irradiance sharing for a given crop type and photovoltaic (PV) array design. The metric allows us to identify optimal design parameters including the spatial PV array density, panel orientation, and single axis tracking schemes speciﬁc to the photosynthetically active radiation needs of the crop. By deﬁnition, LPF equals 1 for PV-only or crop-only systems. The AV systems enhances LPF between 1 and 2 depending on the shade sensitivity of the crop, PV array conﬁguration, and the season. While traditional ﬁxed-tilt systems increase LPF signiﬁcantly above 1, we ﬁnd LPF is maximized at 2 for shade-tolerant crops with a solar farm based on single axis sun tracking scheme. Among the ﬁxed tilt systems, east/west faced bifacial vertical solar farms is particularly promising because it produces smallest variability in the seasonal yield for shade sensitive crops, while providing LPF comparable to the standard N/S faced solar farms. Additional beneﬁts include reduced soiling and ease of movement of large-scale combine-harvester and other farming equipment.","container-title":"IEEE Journal of Photovoltaics","DOI":"10.1109/JPHOTOV.2021.3136158","ISSN":"2156-3381, 2156-3403","issue":"2","journalAbbreviation":"IEEE J. Photovoltaics","language":"en","license":"https://ieeexplore.ieee.org/Xplorehelp/downloads/license-information/IEEE.html","page":"572-580","source":"DOI.org (Crossref)","title":"Crop-Specific Optimization of Bifacial PV Arrays for Agrivoltaic Food-Energy Production: The Light-Productivity-Factor Approach","title-short":"Crop-Specific Optimization of Bifacial PV Arrays for Agrivoltaic Food-Energy Production","volume":"12","author":[{"family":"Riaz","given":"Muhammad Hussnain"},{"family":"Imran","given":"Hassan"},{"family":"Alam","given":"Habeel"},{"family":"Alam","given":"Muhammad Ashraful"},{"family":"Butt","given":"Nauman Zafar"}],"issued":{"date-parts":[["2022",3]]}}}],"schema":"https://github.com/citation-style-language/schema/raw/master/csl-citation.json"} </w:instrText>
      </w:r>
      <w:r w:rsidRPr="000C01CA" w:rsidR="000703F4">
        <w:rPr>
          <w:rFonts w:ascii="Times New Roman" w:hAnsi="Times New Roman" w:cs="Times New Roman"/>
          <w:sz w:val="24"/>
          <w:szCs w:val="24"/>
        </w:rPr>
        <w:fldChar w:fldCharType="separate"/>
      </w:r>
      <w:r w:rsidRPr="000C01CA" w:rsidR="000703F4">
        <w:rPr>
          <w:rFonts w:ascii="Times New Roman" w:hAnsi="Times New Roman" w:cs="Times New Roman"/>
          <w:sz w:val="24"/>
        </w:rPr>
        <w:t>11]</w:t>
      </w:r>
      <w:r w:rsidRPr="000C01CA" w:rsidR="000703F4">
        <w:rPr>
          <w:rFonts w:ascii="Times New Roman" w:hAnsi="Times New Roman" w:cs="Times New Roman"/>
          <w:sz w:val="24"/>
          <w:szCs w:val="24"/>
        </w:rPr>
        <w:fldChar w:fldCharType="end"/>
      </w:r>
      <w:r w:rsidRPr="000C01CA" w:rsidR="00356C03">
        <w:rPr>
          <w:rFonts w:ascii="Times New Roman" w:hAnsi="Times New Roman" w:cs="Times New Roman"/>
          <w:sz w:val="24"/>
          <w:szCs w:val="24"/>
        </w:rPr>
        <w:t xml:space="preserve">, </w:t>
      </w:r>
      <w:r w:rsidRPr="000C01CA">
        <w:rPr>
          <w:rFonts w:ascii="Times New Roman" w:hAnsi="Times New Roman" w:cs="Times New Roman"/>
          <w:sz w:val="24"/>
          <w:szCs w:val="24"/>
        </w:rPr>
        <w:t>systematic evaluations of their performance in semi-arid conditions remain scarce [1</w:t>
      </w:r>
      <w:r w:rsidRPr="000C01CA" w:rsidR="009C0EB2">
        <w:rPr>
          <w:rFonts w:ascii="Times New Roman" w:hAnsi="Times New Roman" w:cs="Times New Roman"/>
          <w:sz w:val="24"/>
          <w:szCs w:val="24"/>
        </w:rPr>
        <w:t>,</w:t>
      </w:r>
      <w:r w:rsidRPr="000C01CA" w:rsidR="005D2FDE">
        <w:rPr>
          <w:rFonts w:ascii="Times New Roman" w:hAnsi="Times New Roman" w:cs="Times New Roman"/>
          <w:sz w:val="24"/>
          <w:szCs w:val="24"/>
        </w:rPr>
        <w:t xml:space="preserve"> </w:t>
      </w:r>
      <w:r w:rsidRPr="000C01CA" w:rsidR="000703F4">
        <w:rPr>
          <w:rFonts w:ascii="Times New Roman" w:hAnsi="Times New Roman" w:cs="Times New Roman"/>
          <w:sz w:val="24"/>
          <w:szCs w:val="24"/>
        </w:rPr>
        <w:fldChar w:fldCharType="begin"/>
      </w:r>
      <w:r w:rsidRPr="000C01CA" w:rsidR="009C0EB2">
        <w:rPr>
          <w:rFonts w:ascii="Times New Roman" w:hAnsi="Times New Roman" w:cs="Times New Roman"/>
          <w:sz w:val="24"/>
          <w:szCs w:val="24"/>
        </w:rPr>
        <w:instrText xml:space="preserve"> ADDIN ZOTERO_ITEM CSL_CITATION {"citationID":"qC2mvsEi","properties":{"formattedCitation":"[3]","plainCitation":"[3]","dontUpdate":true,"noteIndex":0},"citationItems":[{"id":17,"uris":["http://zotero.org/users/local/NWCAR5we/items/ZEN6CQHW"],"itemData":{"id":17,"type":"article-journal","abstract":"Agrivoltaic systems, which consist of the combination of energy production by means of photovoltaic systems and agricultural production in the same area, have emerged as a promising solution to the constraints related to the reduction in cultivated areas due to solar panels used in agricultural production systems. They also enable optimization of land use and reduction in conﬂicts over land access, in order to meet the increasing demand for agricultural products and energy resulting from rapid population growth. However, the selected installation conﬁgurations, such as elevation, spacing, tilt, and choice of panel technology used, can have a negative impact on agricultural and/or energy production. Thus, this paper addresses the need for a review that provides a clear explanation of agrivoltaics, including the factors that impact agricultural and energy production in agrivoltaic systems, types of panel conﬁgurations and technologies to optimize these systems, and a synthesis of modelling studies which have already been conducted in this area. Several studies have been carried out in this ﬁeld to ﬁnd the appropriate mounting height and spacing of the solar panels that optimize crop yields, as this later can be reduced by the shade created with the solar panels on the plants. It was reported that yields have been reduced by 62% to 3% for more than 80% of the tested crops. To this end, an optimization model can be developed to determine the optimal elevation, spacing, and tilt angle of the solar panels. This model would take into account factors that inﬂuence crop growth and yield, as well as factors that affect the performance of the photovoltaic system, with the goal of maximizing both crop yield and energy production.","container-title":"Processes","DOI":"10.3390/pr11030948","ISSN":"2227-9717","issue":"3","journalAbbreviation":"Processes","language":"en","page":"948","source":"DOI.org (Crossref)","title":"Agrivoltaic, a Synergistic Co-Location of Agricultural and Energy Production in Perpetual Mutation: A Comprehensive Review","title-short":"Agrivoltaic, a Synergistic Co-Location of Agricultural and Energy Production in Perpetual Mutation","volume":"11","author":[{"family":"Sarr","given":"Aminata"},{"family":"Soro","given":"Y. M."},{"family":"Tossa","given":"Alain K."},{"family":"Diop","given":"Lamine"}],"issued":{"date-parts":[["2023",3,20]]}}}],"schema":"https://github.com/citation-style-language/schema/raw/master/csl-citation.json"} </w:instrText>
      </w:r>
      <w:r w:rsidRPr="000C01CA" w:rsidR="000703F4">
        <w:rPr>
          <w:rFonts w:ascii="Times New Roman" w:hAnsi="Times New Roman" w:cs="Times New Roman"/>
          <w:sz w:val="24"/>
          <w:szCs w:val="24"/>
        </w:rPr>
        <w:fldChar w:fldCharType="separate"/>
      </w:r>
      <w:r w:rsidRPr="000C01CA" w:rsidR="000703F4">
        <w:rPr>
          <w:rFonts w:ascii="Times New Roman" w:hAnsi="Times New Roman" w:cs="Times New Roman"/>
          <w:sz w:val="24"/>
        </w:rPr>
        <w:t>3</w:t>
      </w:r>
      <w:r w:rsidRPr="000C01CA" w:rsidR="009C0EB2">
        <w:rPr>
          <w:rFonts w:ascii="Times New Roman" w:hAnsi="Times New Roman" w:cs="Times New Roman"/>
          <w:sz w:val="24"/>
        </w:rPr>
        <w:t>,</w:t>
      </w:r>
      <w:r w:rsidRPr="000C01CA" w:rsidR="000703F4">
        <w:rPr>
          <w:rFonts w:ascii="Times New Roman" w:hAnsi="Times New Roman" w:cs="Times New Roman"/>
          <w:sz w:val="24"/>
          <w:szCs w:val="24"/>
        </w:rPr>
        <w:fldChar w:fldCharType="end"/>
      </w:r>
      <w:r w:rsidRPr="000C01CA" w:rsidR="00AA4489">
        <w:rPr>
          <w:rFonts w:ascii="Times New Roman" w:hAnsi="Times New Roman" w:cs="Times New Roman"/>
          <w:sz w:val="24"/>
          <w:szCs w:val="24"/>
        </w:rPr>
        <w:t xml:space="preserve"> </w:t>
      </w:r>
      <w:r w:rsidRPr="000C01CA" w:rsidR="000703F4">
        <w:rPr>
          <w:rFonts w:ascii="Times New Roman" w:hAnsi="Times New Roman" w:cs="Times New Roman"/>
          <w:sz w:val="24"/>
          <w:szCs w:val="24"/>
        </w:rPr>
        <w:fldChar w:fldCharType="begin"/>
      </w:r>
      <w:r w:rsidRPr="000C01CA" w:rsidR="009C0EB2">
        <w:rPr>
          <w:rFonts w:ascii="Times New Roman" w:hAnsi="Times New Roman" w:cs="Times New Roman"/>
          <w:sz w:val="24"/>
          <w:szCs w:val="24"/>
        </w:rPr>
        <w:instrText xml:space="preserve"> ADDIN ZOTERO_ITEM CSL_CITATION {"citationID":"u35Q7t43","properties":{"formattedCitation":"[7]","plainCitation":"[7]","dontUpdate":true,"noteIndex":0},"citationItems":[{"id":20,"uris":["http://zotero.org/users/local/NWCAR5we/items/NHYQ9YAR"],"itemData":{"id":20,"type":"article-journal","abstract":"As more nations move towards net-zero emission goals by 2050, research into the coupling of photovoltaics (PV) and agriculture has increased into a new sector of agrivoltaics (AV). Measurement of the Land Equivalent Ratio (LER) has allowed researchers to develop methods for optimizing the agrivoltaic system. Studies on innovative engineering technologies related to photovoltaic tracking along with new generation PV cells were reviewed to determine the factors that inﬂuence optimization. This review also considered AV farm layouts and how different spacing, height, and density impact the shading under the panels. As panels block the light from hitting the plants, the photosynthetically active radiation (PAR) changes and alters plant growth. The shading, however, also creates micro-climates that have beneﬁcial qualities in terms of water usage and PV efﬁciency. The overall review investigated the research of the last ﬁve years into AV optimization and the implications for future AV developments.","container-title":"Challenges","DOI":"10.3390/challe13020043","ISSN":"2078-1547","issue":"2","journalAbbreviation":"Challenges","language":"en","page":"43","source":"DOI.org (Crossref)","title":"Agrivoltaic Engineering and Layout Optimization Approaches in the Transition to Renewable Energy Technologies: A Review","title-short":"Agrivoltaic Engineering and Layout Optimization Approaches in the Transition to Renewable Energy Technologies","volume":"13","author":[{"family":"Reasoner","given":"Meagan"},{"family":"Ghosh","given":"Aritra"}],"issued":{"date-parts":[["2022",9,1]]}}}],"schema":"https://github.com/citation-style-language/schema/raw/master/csl-citation.json"} </w:instrText>
      </w:r>
      <w:r w:rsidRPr="000C01CA" w:rsidR="000703F4">
        <w:rPr>
          <w:rFonts w:ascii="Times New Roman" w:hAnsi="Times New Roman" w:cs="Times New Roman"/>
          <w:sz w:val="24"/>
          <w:szCs w:val="24"/>
        </w:rPr>
        <w:fldChar w:fldCharType="separate"/>
      </w:r>
      <w:r w:rsidRPr="000C01CA" w:rsidR="000703F4">
        <w:rPr>
          <w:rFonts w:ascii="Times New Roman" w:hAnsi="Times New Roman" w:cs="Times New Roman"/>
          <w:sz w:val="24"/>
        </w:rPr>
        <w:t>7]</w:t>
      </w:r>
      <w:r w:rsidRPr="000C01CA" w:rsidR="000703F4">
        <w:rPr>
          <w:rFonts w:ascii="Times New Roman" w:hAnsi="Times New Roman" w:cs="Times New Roman"/>
          <w:sz w:val="24"/>
          <w:szCs w:val="24"/>
        </w:rPr>
        <w:fldChar w:fldCharType="end"/>
      </w:r>
      <w:r w:rsidRPr="000C01CA" w:rsidR="00356C03">
        <w:rPr>
          <w:rFonts w:ascii="Times New Roman" w:hAnsi="Times New Roman" w:cs="Times New Roman"/>
          <w:sz w:val="24"/>
          <w:szCs w:val="24"/>
        </w:rPr>
        <w:t xml:space="preserve">. </w:t>
      </w:r>
      <w:r w:rsidRPr="000C01CA">
        <w:rPr>
          <w:rFonts w:ascii="Times New Roman" w:hAnsi="Times New Roman" w:cs="Times New Roman"/>
          <w:sz w:val="24"/>
          <w:szCs w:val="24"/>
        </w:rPr>
        <w:t>Third, preliminary techno-economic studies suggest that using electricity generated by AVs to power the thermal load of the digester can increase the net present value (NPV) by up to a factor of 8.7 compared to conventional systems</w:t>
      </w:r>
      <w:r w:rsidRPr="000C01CA" w:rsidR="00BF63DA">
        <w:rPr>
          <w:rFonts w:ascii="Times New Roman" w:hAnsi="Times New Roman" w:cs="Times New Roman"/>
          <w:sz w:val="24"/>
          <w:szCs w:val="24"/>
        </w:rPr>
        <w:t xml:space="preserve"> </w:t>
      </w:r>
      <w:r w:rsidRPr="000C01CA" w:rsidR="000703F4">
        <w:rPr>
          <w:rFonts w:ascii="Times New Roman" w:hAnsi="Times New Roman" w:cs="Times New Roman"/>
          <w:sz w:val="24"/>
          <w:szCs w:val="24"/>
        </w:rPr>
        <w:fldChar w:fldCharType="begin"/>
      </w:r>
      <w:r w:rsidRPr="000C01CA" w:rsidR="000703F4">
        <w:rPr>
          <w:rFonts w:ascii="Times New Roman" w:hAnsi="Times New Roman" w:cs="Times New Roman"/>
          <w:sz w:val="24"/>
          <w:szCs w:val="24"/>
        </w:rPr>
        <w:instrText xml:space="preserve"> ADDIN ZOTERO_ITEM CSL_CITATION {"citationID":"2GNpHgkd","properties":{"formattedCitation":"[15]","plainCitation":"[15]","noteIndex":0},"citationItems":[{"id":42,"uris":["http://zotero.org/users/local/NWCAR5we/items/NETHYINB"],"itemData":{"id":42,"type":"article-journal","abstract":"This study addresses the issue of fluctuating output in cow dung-based biogas (BG) production due to temperature dependence. A thermal model is proposed and implemented in an area with abandoned BG resources, utilizing typical meteorological year (TMY) data. The model aims for constant BG output by maintaining digester temperature at 39 ◦C throughout the year. It is found that integrating heating with a 3100 CUM cow dung-based biogas digester (BD) increase the energy production capacity from 2.25 GWh/year to 3 GWh/year. Subsequently, three different cases are studied: standalone PV, PV-BG system, and PV-BG system with the heating arrangement, and they are scheduled using the area’s TMY data, according to a strategy that can fulfil highly dynamic load curves with 690 kW peak and 264 kW average demand, as reported by the Government of India, with zero loss of power supply probability (LPSP). In the proposed case, the integration of heating reduced the PV and energy storage system (ESS) sizes by 65 % and 52 %, respectively. The current system imposes a COE of INR 2.1/kWh, which is 70 % cheap than grid electricity in the surrounding areas, with the help of proper resource estimation utilizing TMY data, integration of heating, and compressed biogas (CBG) production with energy.","container-title":"Energy","DOI":"10.1016/j.energy.2023.129671","ISSN":"03605442","journalAbbreviation":"Energy","language":"en","page":"129671","source":"DOI.org (Crossref)","title":"Design and techno-economic analysis of an off-grid integrated PV-biogas system with a constant temperature digester for a cost-effective rural application","volume":"287","author":[{"family":"Pal","given":"Ankit"},{"family":"Ilango","given":"G. Saravana"}],"issued":{"date-parts":[["2024",1]]}}}],"schema":"https://github.com/citation-style-language/schema/raw/master/csl-citation.json"} </w:instrText>
      </w:r>
      <w:r w:rsidRPr="000C01CA" w:rsidR="000703F4">
        <w:rPr>
          <w:rFonts w:ascii="Times New Roman" w:hAnsi="Times New Roman" w:cs="Times New Roman"/>
          <w:sz w:val="24"/>
          <w:szCs w:val="24"/>
        </w:rPr>
        <w:fldChar w:fldCharType="separate"/>
      </w:r>
      <w:r w:rsidRPr="000C01CA" w:rsidR="000703F4">
        <w:rPr>
          <w:rFonts w:ascii="Times New Roman" w:hAnsi="Times New Roman" w:cs="Times New Roman"/>
          <w:sz w:val="24"/>
        </w:rPr>
        <w:t>[15]</w:t>
      </w:r>
      <w:r w:rsidRPr="000C01CA" w:rsidR="000703F4">
        <w:rPr>
          <w:rFonts w:ascii="Times New Roman" w:hAnsi="Times New Roman" w:cs="Times New Roman"/>
          <w:sz w:val="24"/>
          <w:szCs w:val="24"/>
        </w:rPr>
        <w:fldChar w:fldCharType="end"/>
      </w:r>
      <w:r w:rsidRPr="000C01CA" w:rsidR="006207A8">
        <w:rPr>
          <w:rFonts w:ascii="Times New Roman" w:hAnsi="Times New Roman" w:cs="Times New Roman"/>
          <w:sz w:val="24"/>
          <w:szCs w:val="24"/>
        </w:rPr>
        <w:t xml:space="preserve">, </w:t>
      </w:r>
      <w:r w:rsidRPr="000C01CA">
        <w:rPr>
          <w:rFonts w:ascii="Times New Roman" w:hAnsi="Times New Roman" w:cs="Times New Roman"/>
          <w:sz w:val="24"/>
          <w:szCs w:val="24"/>
        </w:rPr>
        <w:t xml:space="preserve">but rigorous comparative analyses are still lacking. Beyond the literature on AVs, broader studies highlight the strategic importance of integrating AVs and AD into a unified agro-energy platform. </w:t>
      </w:r>
    </w:p>
    <w:p w:rsidRPr="000C01CA" w:rsidR="00916B85" w:rsidP="00102447" w:rsidRDefault="00916B85" w14:paraId="5E547C86" w14:textId="77777777">
      <w:pPr>
        <w:spacing w:line="360" w:lineRule="auto"/>
        <w:jc w:val="both"/>
        <w:rPr>
          <w:rFonts w:ascii="Times New Roman" w:hAnsi="Times New Roman" w:cs="Times New Roman"/>
          <w:b/>
          <w:sz w:val="24"/>
          <w:szCs w:val="24"/>
        </w:rPr>
      </w:pPr>
      <w:r w:rsidRPr="000C01CA">
        <w:rPr>
          <w:rFonts w:ascii="Times New Roman" w:hAnsi="Times New Roman" w:cs="Times New Roman"/>
          <w:b/>
          <w:sz w:val="24"/>
          <w:szCs w:val="24"/>
        </w:rPr>
        <w:t xml:space="preserve">II. Agrivoltaics (AV): </w:t>
      </w:r>
      <w:r w:rsidRPr="000C01CA" w:rsidR="000611A8">
        <w:rPr>
          <w:rFonts w:ascii="Times New Roman" w:hAnsi="Times New Roman" w:cs="Times New Roman"/>
          <w:b/>
          <w:sz w:val="24"/>
          <w:szCs w:val="24"/>
        </w:rPr>
        <w:t xml:space="preserve">A </w:t>
      </w:r>
      <w:r w:rsidRPr="000C01CA">
        <w:rPr>
          <w:rFonts w:ascii="Times New Roman" w:hAnsi="Times New Roman" w:cs="Times New Roman"/>
          <w:b/>
          <w:sz w:val="24"/>
          <w:szCs w:val="24"/>
        </w:rPr>
        <w:t>Response to Climate Stress</w:t>
      </w:r>
    </w:p>
    <w:p w:rsidRPr="000C01CA" w:rsidR="006806A0" w:rsidP="00102447" w:rsidRDefault="006806A0" w14:paraId="6A39FEF0" w14:textId="77777777">
      <w:pPr>
        <w:spacing w:line="360" w:lineRule="auto"/>
        <w:ind w:firstLine="720"/>
        <w:jc w:val="both"/>
        <w:rPr>
          <w:rFonts w:ascii="Times New Roman" w:hAnsi="Times New Roman" w:cs="Times New Roman"/>
          <w:sz w:val="24"/>
          <w:szCs w:val="24"/>
        </w:rPr>
      </w:pPr>
      <w:r w:rsidRPr="000C01CA">
        <w:rPr>
          <w:rFonts w:ascii="Times New Roman" w:hAnsi="Times New Roman" w:cs="Times New Roman"/>
          <w:sz w:val="24"/>
          <w:szCs w:val="24"/>
        </w:rPr>
        <w:t>Agrivoltaics, defined as the co-location of photovoltaic systems and agricultural activities, extends beyond electricity generation to serve as an effective strategy for climate adaptation.</w:t>
      </w:r>
    </w:p>
    <w:p w:rsidRPr="000C01CA" w:rsidR="00916B85" w:rsidP="00102447" w:rsidRDefault="00916B85" w14:paraId="4DF62A5C" w14:textId="77777777">
      <w:pPr>
        <w:spacing w:line="360" w:lineRule="auto"/>
        <w:jc w:val="both"/>
        <w:rPr>
          <w:rFonts w:ascii="Times New Roman" w:hAnsi="Times New Roman" w:cs="Times New Roman"/>
          <w:b/>
          <w:sz w:val="24"/>
          <w:szCs w:val="24"/>
        </w:rPr>
      </w:pPr>
      <w:r w:rsidRPr="000C01CA">
        <w:rPr>
          <w:rFonts w:ascii="Times New Roman" w:hAnsi="Times New Roman" w:cs="Times New Roman"/>
          <w:b/>
          <w:sz w:val="24"/>
          <w:szCs w:val="24"/>
        </w:rPr>
        <w:t>II.1. Agrivoltaic architectures and design principles</w:t>
      </w:r>
    </w:p>
    <w:p w:rsidRPr="000C01CA" w:rsidR="00916B85" w:rsidP="00102447" w:rsidRDefault="00916B85" w14:paraId="77C3D7D8" w14:textId="5B40B820">
      <w:pPr>
        <w:spacing w:line="360" w:lineRule="auto"/>
        <w:ind w:firstLine="720"/>
        <w:jc w:val="both"/>
        <w:rPr>
          <w:rFonts w:ascii="Times New Roman" w:hAnsi="Times New Roman" w:cs="Times New Roman"/>
          <w:sz w:val="24"/>
          <w:szCs w:val="24"/>
        </w:rPr>
      </w:pPr>
      <w:r w:rsidRPr="43844335" w:rsidR="00916B85">
        <w:rPr>
          <w:rFonts w:ascii="Times New Roman" w:hAnsi="Times New Roman" w:cs="Times New Roman"/>
          <w:sz w:val="24"/>
          <w:szCs w:val="24"/>
        </w:rPr>
        <w:t xml:space="preserve">Agrivoltaic (AV) systems are based on the spatial integration of photovoltaic modules and agricultural crops on the same plot of land </w:t>
      </w:r>
      <w:r w:rsidRPr="43844335" w:rsidR="35B74D78">
        <w:rPr>
          <w:rFonts w:ascii="Times New Roman" w:hAnsi="Times New Roman" w:cs="Times New Roman"/>
          <w:sz w:val="24"/>
          <w:szCs w:val="24"/>
        </w:rPr>
        <w:t>to</w:t>
      </w:r>
      <w:r w:rsidRPr="43844335" w:rsidR="00916B85">
        <w:rPr>
          <w:rFonts w:ascii="Times New Roman" w:hAnsi="Times New Roman" w:cs="Times New Roman"/>
          <w:sz w:val="24"/>
          <w:szCs w:val="24"/>
        </w:rPr>
        <w:t xml:space="preserve"> simultaneously </w:t>
      </w:r>
      <w:r w:rsidRPr="43844335" w:rsidR="00916B85">
        <w:rPr>
          <w:rFonts w:ascii="Times New Roman" w:hAnsi="Times New Roman" w:cs="Times New Roman"/>
          <w:sz w:val="24"/>
          <w:szCs w:val="24"/>
        </w:rPr>
        <w:t>optimize</w:t>
      </w:r>
      <w:r w:rsidRPr="43844335" w:rsidR="00916B85">
        <w:rPr>
          <w:rFonts w:ascii="Times New Roman" w:hAnsi="Times New Roman" w:cs="Times New Roman"/>
          <w:sz w:val="24"/>
          <w:szCs w:val="24"/>
        </w:rPr>
        <w:t xml:space="preserve"> energy production and agricultural productivity [1</w:t>
      </w:r>
      <w:r w:rsidRPr="43844335" w:rsidR="009C0EB2">
        <w:rPr>
          <w:rFonts w:ascii="Times New Roman" w:hAnsi="Times New Roman" w:cs="Times New Roman"/>
          <w:sz w:val="24"/>
          <w:szCs w:val="24"/>
        </w:rPr>
        <w:t>,</w:t>
      </w:r>
      <w:r w:rsidRPr="43844335" w:rsidR="00680540">
        <w:rPr>
          <w:rFonts w:ascii="Times New Roman" w:hAnsi="Times New Roman" w:cs="Times New Roman"/>
          <w:sz w:val="24"/>
          <w:szCs w:val="24"/>
        </w:rPr>
        <w:t xml:space="preserve"> </w:t>
      </w:r>
      <w:r w:rsidRPr="43844335">
        <w:rPr>
          <w:rFonts w:ascii="Times New Roman" w:hAnsi="Times New Roman" w:cs="Times New Roman"/>
          <w:sz w:val="24"/>
          <w:szCs w:val="24"/>
        </w:rPr>
        <w:fldChar w:fldCharType="begin"/>
      </w:r>
      <w:r w:rsidRPr="43844335">
        <w:rPr>
          <w:rFonts w:ascii="Times New Roman" w:hAnsi="Times New Roman" w:cs="Times New Roman"/>
          <w:sz w:val="24"/>
          <w:szCs w:val="24"/>
        </w:rPr>
        <w:instrText xml:space="preserve"> ADDIN ZOTERO_ITEM CSL_CITATION {"citationID":"O1a5egbX","properties":{"formattedCitation":"[4]","plainCitation":"[4]","dontUpdate":true,"noteIndex":0},"citationItems":[{"id":8,"uris":["http://zotero.org/users/local/NWCAR5we/items/5V5LMZDP"],"itemData":{"id":8,"type":"article-journal","abstract":"The world population and consequently the global need for food continue to grow. At the same time, areas will be used to generate clean electricity to cope with climate change and global warming. The combination of crop production and solar photovoltaics in the form of “agrivoltaic technology” offers advantages for both sides that provide an adequate, resource-efficient solution to the persistent problem of competition for arable lands. The implementation of agrivoltaic systems has been exponentially increased in recent years and reached the global installed capacity of 2.8 GW in 2020 from the initial capacity of 5 MW in 2012. The agrivoltaic systems installed worldwide mostly employ conventional opaque photovoltaic (PV) modules, causing a change in the microclimate under the panels that become critical when shading ratios are high. Semi-transparent PV (STPV) modules have been recently employed to mitigate this issue which is profoundly studied in this research by considering the use of semi-transparent technologies based on crystalline silicon (c-Si), thin-film photovoltaics, organic PVs (OPVs), dye-sensitized solar cells (DSSCs), concentrating PVs (CPVs), and luminescent solar concentrators (LSCs) in open (arable farming lands) and closed (cultivation greenhouses) agrivoltaic systems. The results indicated that c-Si STPV modules have the highest share of employment in agrivoltaic systems due to their extreme benefits of low costs, high stability, and high efficiency in comparison with other technologies, while in contrast, the use of thinfilm STPV modules have been rarely reported in the literature. Additionally, STPV modules using OPVs and DSSCs offer the capability to achieve wavelength-selective transparency, causing the photosynthetic active radiation to pass through while the remained spectrum is utilized to generate electricity. Other potential solutions come from CPVs and LSCs, in which, diffuse light is available for the growth of cultivated plants, while direct concentrated sunlight can generate electricity. Although STPV modules are proven as a feasible solution for use in agrivoltaic systems, still more developments are required in terms of the modules’ efficiency enhancement and costs reduction, while more detailed research is required to observe the response of cultivated plants to make this technology a viable sustainable solution in the future.","container-title":"Renewable and Sustainable Energy Reviews","DOI":"10.1016/j.rser.2022.112126","ISSN":"13640321","journalAbbreviation":"Renewable and Sustainable Energy Reviews","language":"en","page":"112126","source":"DOI.org (Crossref)","title":"Progress and challenges of crop production and electricity generation in agrivoltaic systems using semi-transparent photovoltaic technology","volume":"158","author":[{"family":"Gorjian","given":"Shiva"},{"family":"Bousi","given":"Erion"},{"family":"Özdemir","given":"Özal Emre"},{"family":"Trommsdorff","given":"Max"},{"family":"Kumar","given":"Nallapaneni Manoj"},{"family":"Anand","given":"Abhishek"},{"family":"Kant","given":"Karunesh"},{"family":"Chopra","given":"Shauhrat S."}],"issued":{"date-parts":[["2022",4]]}}}],"schema":"https://github.com/citation-style-language/schema/raw/master/csl-citation.json"} </w:instrText>
      </w:r>
      <w:r w:rsidRPr="43844335">
        <w:rPr>
          <w:rFonts w:ascii="Times New Roman" w:hAnsi="Times New Roman" w:cs="Times New Roman"/>
          <w:sz w:val="24"/>
          <w:szCs w:val="24"/>
        </w:rPr>
        <w:fldChar w:fldCharType="separate"/>
      </w:r>
      <w:r w:rsidRPr="43844335" w:rsidR="000703F4">
        <w:rPr>
          <w:rFonts w:ascii="Times New Roman" w:hAnsi="Times New Roman" w:cs="Times New Roman"/>
          <w:sz w:val="24"/>
          <w:szCs w:val="24"/>
        </w:rPr>
        <w:t>4</w:t>
      </w:r>
      <w:r w:rsidRPr="43844335" w:rsidR="009C0EB2">
        <w:rPr>
          <w:rFonts w:ascii="Times New Roman" w:hAnsi="Times New Roman" w:cs="Times New Roman"/>
          <w:sz w:val="24"/>
          <w:szCs w:val="24"/>
        </w:rPr>
        <w:t>,</w:t>
      </w:r>
      <w:r w:rsidRPr="43844335">
        <w:rPr>
          <w:rFonts w:ascii="Times New Roman" w:hAnsi="Times New Roman" w:cs="Times New Roman"/>
          <w:sz w:val="24"/>
          <w:szCs w:val="24"/>
        </w:rPr>
        <w:fldChar w:fldCharType="end"/>
      </w:r>
      <w:r w:rsidRPr="43844335" w:rsidR="00916B85">
        <w:rPr>
          <w:rFonts w:ascii="Times New Roman" w:hAnsi="Times New Roman" w:cs="Times New Roman"/>
          <w:sz w:val="24"/>
          <w:szCs w:val="24"/>
        </w:rPr>
        <w:t xml:space="preserve"> </w:t>
      </w:r>
      <w:r w:rsidRPr="43844335">
        <w:rPr>
          <w:rFonts w:ascii="Times New Roman" w:hAnsi="Times New Roman" w:cs="Times New Roman"/>
          <w:sz w:val="24"/>
          <w:szCs w:val="24"/>
        </w:rPr>
        <w:fldChar w:fldCharType="begin"/>
      </w:r>
      <w:r w:rsidRPr="43844335">
        <w:rPr>
          <w:rFonts w:ascii="Times New Roman" w:hAnsi="Times New Roman" w:cs="Times New Roman"/>
          <w:sz w:val="24"/>
          <w:szCs w:val="24"/>
        </w:rPr>
        <w:instrText xml:space="preserve"> ADDIN ZOTERO_ITEM CSL_CITATION {"citationID":"otxxEEDE","properties":{"formattedCitation":"[7]","plainCitation":"[7]","dontUpdate":true,"noteIndex":0},"citationItems":[{"id":20,"uris":["http://zotero.org/users/local/NWCAR5we/items/NHYQ9YAR"],"itemData":{"id":20,"type":"article-journal","abstract":"As more nations move towards net-zero emission goals by 2050, research into the coupling of photovoltaics (PV) and agriculture has increased into a new sector of agrivoltaics (AV). Measurement of the Land Equivalent Ratio (LER) has allowed researchers to develop methods for optimizing the agrivoltaic system. Studies on innovative engineering technologies related to photovoltaic tracking along with new generation PV cells were reviewed to determine the factors that inﬂuence optimization. This review also considered AV farm layouts and how different spacing, height, and density impact the shading under the panels. As panels block the light from hitting the plants, the photosynthetically active radiation (PAR) changes and alters plant growth. The shading, however, also creates micro-climates that have beneﬁcial qualities in terms of water usage and PV efﬁciency. The overall review investigated the research of the last ﬁve years into AV optimization and the implications for future AV developments.","container-title":"Challenges","DOI":"10.3390/challe13020043","ISSN":"2078-1547","issue":"2","journalAbbreviation":"Challenges","language":"en","page":"43","source":"DOI.org (Crossref)","title":"Agrivoltaic Engineering and Layout Optimization Approaches in the Transition to Renewable Energy Technologies: A Review","title-short":"Agrivoltaic Engineering and Layout Optimization Approaches in the Transition to Renewable Energy Technologies","volume":"13","author":[{"family":"Reasoner","given":"Meagan"},{"family":"Ghosh","given":"Aritra"}],"issued":{"date-parts":[["2022",9,1]]}}}],"schema":"https://github.com/citation-style-language/schema/raw/master/csl-citation.json"} </w:instrText>
      </w:r>
      <w:r w:rsidRPr="43844335">
        <w:rPr>
          <w:rFonts w:ascii="Times New Roman" w:hAnsi="Times New Roman" w:cs="Times New Roman"/>
          <w:sz w:val="24"/>
          <w:szCs w:val="24"/>
        </w:rPr>
        <w:fldChar w:fldCharType="separate"/>
      </w:r>
      <w:r w:rsidRPr="43844335" w:rsidR="000703F4">
        <w:rPr>
          <w:rFonts w:ascii="Times New Roman" w:hAnsi="Times New Roman" w:cs="Times New Roman"/>
          <w:sz w:val="24"/>
          <w:szCs w:val="24"/>
        </w:rPr>
        <w:t>7]</w:t>
      </w:r>
      <w:r w:rsidRPr="43844335">
        <w:rPr>
          <w:rFonts w:ascii="Times New Roman" w:hAnsi="Times New Roman" w:cs="Times New Roman"/>
          <w:sz w:val="24"/>
          <w:szCs w:val="24"/>
        </w:rPr>
        <w:fldChar w:fldCharType="end"/>
      </w:r>
      <w:r w:rsidRPr="43844335" w:rsidR="00916B85">
        <w:rPr>
          <w:rFonts w:ascii="Times New Roman" w:hAnsi="Times New Roman" w:cs="Times New Roman"/>
          <w:sz w:val="24"/>
          <w:szCs w:val="24"/>
        </w:rPr>
        <w:t xml:space="preserve">. Three structural dimensions </w:t>
      </w:r>
      <w:r w:rsidRPr="43844335" w:rsidR="00916B85">
        <w:rPr>
          <w:rFonts w:ascii="Times New Roman" w:hAnsi="Times New Roman" w:cs="Times New Roman"/>
          <w:sz w:val="24"/>
          <w:szCs w:val="24"/>
        </w:rPr>
        <w:t>determine</w:t>
      </w:r>
      <w:r w:rsidRPr="43844335" w:rsidR="00916B85">
        <w:rPr>
          <w:rFonts w:ascii="Times New Roman" w:hAnsi="Times New Roman" w:cs="Times New Roman"/>
          <w:sz w:val="24"/>
          <w:szCs w:val="24"/>
        </w:rPr>
        <w:t xml:space="preserve"> their configuration: </w:t>
      </w:r>
    </w:p>
    <w:p w:rsidRPr="000C01CA" w:rsidR="00916B85" w:rsidP="00102447" w:rsidRDefault="00916B85" w14:paraId="2F3C842A" w14:textId="77777777">
      <w:pPr>
        <w:spacing w:line="360" w:lineRule="auto"/>
        <w:jc w:val="both"/>
        <w:rPr>
          <w:rFonts w:ascii="Times New Roman" w:hAnsi="Times New Roman" w:cs="Times New Roman"/>
          <w:sz w:val="24"/>
          <w:szCs w:val="24"/>
        </w:rPr>
      </w:pPr>
      <w:r w:rsidRPr="000C01CA">
        <w:rPr>
          <w:rFonts w:ascii="Times New Roman" w:hAnsi="Times New Roman" w:cs="Times New Roman"/>
          <w:sz w:val="24"/>
          <w:szCs w:val="24"/>
        </w:rPr>
        <w:t>(</w:t>
      </w:r>
      <w:proofErr w:type="spellStart"/>
      <w:r w:rsidRPr="000C01CA">
        <w:rPr>
          <w:rFonts w:ascii="Times New Roman" w:hAnsi="Times New Roman" w:cs="Times New Roman"/>
          <w:sz w:val="24"/>
          <w:szCs w:val="24"/>
        </w:rPr>
        <w:t>i</w:t>
      </w:r>
      <w:proofErr w:type="spellEnd"/>
      <w:r w:rsidRPr="000C01CA">
        <w:rPr>
          <w:rFonts w:ascii="Times New Roman" w:hAnsi="Times New Roman" w:cs="Times New Roman"/>
          <w:sz w:val="24"/>
          <w:szCs w:val="24"/>
        </w:rPr>
        <w:t xml:space="preserve">) the installation structure (inter-row, overhead systems, photovoltaic greenhouses), </w:t>
      </w:r>
    </w:p>
    <w:p w:rsidRPr="000C01CA" w:rsidR="00916B85" w:rsidP="00102447" w:rsidRDefault="00916B85" w14:paraId="3FA6FB20" w14:textId="35AEF4D6">
      <w:pPr>
        <w:spacing w:line="360" w:lineRule="auto"/>
        <w:jc w:val="both"/>
        <w:rPr>
          <w:rFonts w:ascii="Times New Roman" w:hAnsi="Times New Roman" w:cs="Times New Roman"/>
          <w:sz w:val="24"/>
          <w:szCs w:val="24"/>
        </w:rPr>
      </w:pPr>
      <w:r w:rsidRPr="43844335" w:rsidR="00916B85">
        <w:rPr>
          <w:rFonts w:ascii="Times New Roman" w:hAnsi="Times New Roman" w:cs="Times New Roman"/>
          <w:sz w:val="24"/>
          <w:szCs w:val="24"/>
        </w:rPr>
        <w:t>(ii) the mobility of the modules (fixed structures, single-</w:t>
      </w:r>
      <w:r w:rsidRPr="43844335" w:rsidR="212F3A6B">
        <w:rPr>
          <w:rFonts w:ascii="Times New Roman" w:hAnsi="Times New Roman" w:cs="Times New Roman"/>
          <w:sz w:val="24"/>
          <w:szCs w:val="24"/>
        </w:rPr>
        <w:t>axis,</w:t>
      </w:r>
      <w:r w:rsidRPr="43844335" w:rsidR="00916B85">
        <w:rPr>
          <w:rFonts w:ascii="Times New Roman" w:hAnsi="Times New Roman" w:cs="Times New Roman"/>
          <w:sz w:val="24"/>
          <w:szCs w:val="24"/>
        </w:rPr>
        <w:t xml:space="preserve"> or dual-axis trackers), </w:t>
      </w:r>
    </w:p>
    <w:p w:rsidRPr="000C01CA" w:rsidR="00916B85" w:rsidP="00102447" w:rsidRDefault="00916B85" w14:paraId="03FCD97D" w14:textId="7A371EEA">
      <w:pPr>
        <w:spacing w:line="360" w:lineRule="auto"/>
        <w:jc w:val="both"/>
        <w:rPr>
          <w:rFonts w:ascii="Times New Roman" w:hAnsi="Times New Roman" w:cs="Times New Roman"/>
          <w:sz w:val="24"/>
          <w:szCs w:val="24"/>
        </w:rPr>
      </w:pPr>
      <w:r w:rsidRPr="43844335" w:rsidR="00916B85">
        <w:rPr>
          <w:rFonts w:ascii="Times New Roman" w:hAnsi="Times New Roman" w:cs="Times New Roman"/>
          <w:sz w:val="24"/>
          <w:szCs w:val="24"/>
        </w:rPr>
        <w:t>(iii) the photovoltaic technology used (opaque,</w:t>
      </w:r>
      <w:r w:rsidRPr="43844335" w:rsidR="00680540">
        <w:rPr>
          <w:rFonts w:ascii="Times New Roman" w:hAnsi="Times New Roman" w:cs="Times New Roman"/>
          <w:sz w:val="24"/>
          <w:szCs w:val="24"/>
        </w:rPr>
        <w:t xml:space="preserve"> bifacial, semi-transparent)</w:t>
      </w:r>
      <w:r w:rsidRPr="43844335" w:rsidR="005D2FDE">
        <w:rPr>
          <w:rFonts w:ascii="Times New Roman" w:hAnsi="Times New Roman" w:cs="Times New Roman"/>
          <w:sz w:val="24"/>
          <w:szCs w:val="24"/>
        </w:rPr>
        <w:t xml:space="preserve"> </w:t>
      </w:r>
      <w:r w:rsidRPr="43844335">
        <w:rPr>
          <w:rFonts w:ascii="Times New Roman" w:hAnsi="Times New Roman" w:cs="Times New Roman"/>
          <w:sz w:val="24"/>
          <w:szCs w:val="24"/>
        </w:rPr>
        <w:fldChar w:fldCharType="begin"/>
      </w:r>
      <w:r w:rsidRPr="43844335">
        <w:rPr>
          <w:rFonts w:ascii="Times New Roman" w:hAnsi="Times New Roman" w:cs="Times New Roman"/>
          <w:sz w:val="24"/>
          <w:szCs w:val="24"/>
        </w:rPr>
        <w:instrText xml:space="preserve"> ADDIN ZOTERO_ITEM CSL_CITATION {"citationID":"rIkELj3Z","properties":{"formattedCitation":"[4]","plainCitation":"[4]","noteIndex":0},"citationItems":[{"id":8,"uris":["http://zotero.org/users/local/NWCAR5we/items/5V5LMZDP"],"itemData":{"id":8,"type":"article-journal","abstract":"The world population and consequently the global need for food continue to grow. At the same time, areas will be used to generate clean electricity to cope with climate change and global warming. The combination of crop production and solar photovoltaics in the form of “agrivoltaic technology” offers advantages for both sides that provide an adequate, resource-efficient solution to the persistent problem of competition for arable lands. The implementation of agrivoltaic systems has been exponentially increased in recent years and reached the global installed capacity of 2.8 GW in 2020 from the initial capacity of 5 MW in 2012. The agrivoltaic systems installed worldwide mostly employ conventional opaque photovoltaic (PV) modules, causing a change in the microclimate under the panels that become critical when shading ratios are high. Semi-transparent PV (STPV) modules have been recently employed to mitigate this issue which is profoundly studied in this research by considering the use of semi-transparent technologies based on crystalline silicon (c-Si), thin-film photovoltaics, organic PVs (OPVs), dye-sensitized solar cells (DSSCs), concentrating PVs (CPVs), and luminescent solar concentrators (LSCs) in open (arable farming lands) and closed (cultivation greenhouses) agrivoltaic systems. The results indicated that c-Si STPV modules have the highest share of employment in agrivoltaic systems due to their extreme benefits of low costs, high stability, and high efficiency in comparison with other technologies, while in contrast, the use of thinfilm STPV modules have been rarely reported in the literature. Additionally, STPV modules using OPVs and DSSCs offer the capability to achieve wavelength-selective transparency, causing the photosynthetic active radiation to pass through while the remained spectrum is utilized to generate electricity. Other potential solutions come from CPVs and LSCs, in which, diffuse light is available for the growth of cultivated plants, while direct concentrated sunlight can generate electricity. Although STPV modules are proven as a feasible solution for use in agrivoltaic systems, still more developments are required in terms of the modules’ efficiency enhancement and costs reduction, while more detailed research is required to observe the response of cultivated plants to make this technology a viable sustainable solution in the future.","container-title":"Renewable and Sustainable Energy Reviews","DOI":"10.1016/j.rser.2022.112126","ISSN":"13640321","journalAbbreviation":"Renewable and Sustainable Energy Reviews","language":"en","page":"112126","source":"DOI.org (Crossref)","title":"Progress and challenges of crop production and electricity generation in agrivoltaic systems using semi-transparent photovoltaic technology","volume":"158","author":[{"family":"Gorjian","given":"Shiva"},{"family":"Bousi","given":"Erion"},{"family":"Özdemir","given":"Özal Emre"},{"family":"Trommsdorff","given":"Max"},{"family":"Kumar","given":"Nallapaneni Manoj"},{"family":"Anand","given":"Abhishek"},{"family":"Kant","given":"Karunesh"},{"family":"Chopra","given":"Shauhrat S."}],"issued":{"date-parts":[["2022",4]]}}}],"schema":"https://github.com/citation-style-language/schema/raw/master/csl-citation.json"} </w:instrText>
      </w:r>
      <w:r w:rsidRPr="43844335">
        <w:rPr>
          <w:rFonts w:ascii="Times New Roman" w:hAnsi="Times New Roman" w:cs="Times New Roman"/>
          <w:sz w:val="24"/>
          <w:szCs w:val="24"/>
        </w:rPr>
        <w:fldChar w:fldCharType="separate"/>
      </w:r>
      <w:r w:rsidRPr="43844335" w:rsidR="000703F4">
        <w:rPr>
          <w:rFonts w:ascii="Times New Roman" w:hAnsi="Times New Roman" w:cs="Times New Roman"/>
          <w:sz w:val="24"/>
          <w:szCs w:val="24"/>
        </w:rPr>
        <w:t>[4</w:t>
      </w:r>
      <w:r w:rsidRPr="43844335" w:rsidR="000703F4">
        <w:rPr>
          <w:rFonts w:ascii="Times New Roman" w:hAnsi="Times New Roman" w:cs="Times New Roman"/>
          <w:sz w:val="24"/>
          <w:szCs w:val="24"/>
        </w:rPr>
        <w:t>]</w:t>
      </w:r>
      <w:r w:rsidRPr="43844335">
        <w:rPr>
          <w:rFonts w:ascii="Times New Roman" w:hAnsi="Times New Roman" w:cs="Times New Roman"/>
          <w:sz w:val="24"/>
          <w:szCs w:val="24"/>
        </w:rPr>
        <w:fldChar w:fldCharType="end"/>
      </w:r>
      <w:r w:rsidRPr="43844335" w:rsidR="00916B85">
        <w:rPr>
          <w:rFonts w:ascii="Times New Roman" w:hAnsi="Times New Roman" w:cs="Times New Roman"/>
          <w:sz w:val="24"/>
          <w:szCs w:val="24"/>
        </w:rPr>
        <w:t>.</w:t>
      </w:r>
    </w:p>
    <w:p w:rsidRPr="000C01CA" w:rsidR="00F35517" w:rsidP="00102447" w:rsidRDefault="006A2435" w14:paraId="1630423E" w14:textId="12CDFE5C">
      <w:pPr>
        <w:spacing w:line="360" w:lineRule="auto"/>
        <w:jc w:val="both"/>
        <w:rPr>
          <w:rFonts w:ascii="Times New Roman" w:hAnsi="Times New Roman" w:cs="Times New Roman"/>
          <w:sz w:val="24"/>
          <w:szCs w:val="24"/>
        </w:rPr>
      </w:pPr>
      <w:r w:rsidRPr="43844335" w:rsidR="006A2435">
        <w:rPr>
          <w:rFonts w:ascii="Times New Roman" w:hAnsi="Times New Roman" w:cs="Times New Roman"/>
          <w:sz w:val="24"/>
          <w:szCs w:val="24"/>
        </w:rPr>
        <w:t xml:space="preserve">Despite the availability of advanced PV technologies, the simplicity and lower upfront cost of fixed-tilt systems still drive their widespread adoption. </w:t>
      </w:r>
      <w:r w:rsidRPr="43844335" w:rsidR="00CC678E">
        <w:rPr>
          <w:rFonts w:ascii="Times New Roman" w:hAnsi="Times New Roman" w:cs="Times New Roman"/>
          <w:sz w:val="24"/>
          <w:szCs w:val="24"/>
        </w:rPr>
        <w:t>That said, solar trackers offer much higher potential; by tilting to follow the sun, they maximize power output while allowing for "active" shade management</w:t>
      </w:r>
      <w:r w:rsidRPr="43844335" w:rsidR="002D3FDD">
        <w:rPr>
          <w:rFonts w:ascii="Times New Roman" w:hAnsi="Times New Roman" w:cs="Times New Roman"/>
          <w:sz w:val="24"/>
          <w:szCs w:val="24"/>
        </w:rPr>
        <w:t xml:space="preserve"> </w:t>
      </w:r>
      <w:r w:rsidRPr="43844335">
        <w:rPr>
          <w:rFonts w:ascii="Times New Roman" w:hAnsi="Times New Roman" w:cs="Times New Roman"/>
          <w:sz w:val="24"/>
          <w:szCs w:val="24"/>
        </w:rPr>
        <w:fldChar w:fldCharType="begin"/>
      </w:r>
      <w:r w:rsidRPr="43844335">
        <w:rPr>
          <w:rFonts w:ascii="Times New Roman" w:hAnsi="Times New Roman" w:cs="Times New Roman"/>
          <w:sz w:val="24"/>
          <w:szCs w:val="24"/>
        </w:rPr>
        <w:instrText xml:space="preserve"> ADDIN ZOTERO_ITEM CSL_CITATION {"citationID":"7w1xFmV4","properties":{"formattedCitation":"[2]","plainCitation":"[2]","dontUpdate":true,"noteIndex":0},"citationItems":[{"id":4,"uris":["http://zotero.org/users/local/NWCAR5we/items/3QU7AW53"],"itemData":{"id":4,"type":"paper-conference","abstract":"Agrivoltaics is an emerging technology of collocating solar photovoltaics with agriculture that has many potential synergetic food-energy-water beneﬁts. The design of agrivoltaic systems demands a careful balance for sharing sunlight between solar panels and crops to ensure an optimal food-energy productivity. We explore the optimal single-axis tracking schemes for agrivoltaics that can provide the precise balance of sunlight between PV and crops. The single-axis tracking schemes are applied to bifacial panel arrays in two different PV orientations, i.e., East/West vs. North/South faced. By modeling the temporal variations of drop shadows on crops and the known requirements of photosynthetically active radiation (PAR) by the crop, we propose customized solar tracking schemes that vary between standard sun tracking and reverse sun tracking during the day according to the crop requirement. During the early daytime after sunrise and closer to the sunset, PAR is lower than the saturated PAR for the plants. Closer to noon, available PAR can exceed the crop needs. An optimal algorithm ensures that the PAR available to the crops remains closer to its required PAR so that the excess sunlight could be harvested by the PV arrays. The seasonal variation in customized tracking schemes is explored for the two PV orientations.","container-title":"2020 47th IEEE Photovoltaic Specialists Conference (PVSC)","DOI":"10.1109/PVSC45281.2020.9300682","event-place":"Calgary, AB, Canada","event-title":"2020 IEEE 47th Photovoltaic Specialists Conference (PVSC)","ISBN":"978-1-7281-6115-0","language":"en","license":"https://ieeexplore.ieee.org/Xplorehelp/downloads/license-information/IEEE.html","page":"1353-1356","publisher":"IEEE","publisher-place":"Calgary, AB, Canada","source":"DOI.org (Crossref)","title":"Optimization of Single-Axis Tracking of Photovoltaic Modules for Agrivoltaic Systems","URL":"https://ieeexplore.ieee.org/document/9300682/","author":[{"family":"Imran","given":"Hassan"},{"family":"Riaz","given":"Muhammad Hussnain"},{"family":"Butt","given":"Nauman Zafar"}],"accessed":{"date-parts":[["2025",12,15]]},"issued":{"date-parts":[["2020",6,14]]}}}],"schema":"https://github.com/citation-style-language/schema/raw/master/csl-citation.json"} </w:instrText>
      </w:r>
      <w:r w:rsidRPr="43844335">
        <w:rPr>
          <w:rFonts w:ascii="Times New Roman" w:hAnsi="Times New Roman" w:cs="Times New Roman"/>
          <w:sz w:val="24"/>
          <w:szCs w:val="24"/>
        </w:rPr>
        <w:fldChar w:fldCharType="separate"/>
      </w:r>
      <w:r w:rsidRPr="43844335" w:rsidR="000703F4">
        <w:rPr>
          <w:rFonts w:ascii="Times New Roman" w:hAnsi="Times New Roman" w:cs="Times New Roman"/>
          <w:sz w:val="24"/>
          <w:szCs w:val="24"/>
        </w:rPr>
        <w:t>[2</w:t>
      </w:r>
      <w:r w:rsidRPr="43844335" w:rsidR="009C0EB2">
        <w:rPr>
          <w:rFonts w:ascii="Times New Roman" w:hAnsi="Times New Roman" w:cs="Times New Roman"/>
          <w:sz w:val="24"/>
          <w:szCs w:val="24"/>
        </w:rPr>
        <w:t>,</w:t>
      </w:r>
      <w:r w:rsidRPr="43844335">
        <w:rPr>
          <w:rFonts w:ascii="Times New Roman" w:hAnsi="Times New Roman" w:cs="Times New Roman"/>
          <w:sz w:val="24"/>
          <w:szCs w:val="24"/>
        </w:rPr>
        <w:fldChar w:fldCharType="end"/>
      </w:r>
      <w:r w:rsidRPr="43844335" w:rsidR="00AA4489">
        <w:rPr>
          <w:rFonts w:ascii="Times New Roman" w:hAnsi="Times New Roman" w:cs="Times New Roman"/>
          <w:sz w:val="24"/>
          <w:szCs w:val="24"/>
        </w:rPr>
        <w:t xml:space="preserve"> </w:t>
      </w:r>
      <w:r w:rsidRPr="43844335">
        <w:rPr>
          <w:rFonts w:ascii="Times New Roman" w:hAnsi="Times New Roman" w:cs="Times New Roman"/>
          <w:sz w:val="24"/>
          <w:szCs w:val="24"/>
        </w:rPr>
        <w:fldChar w:fldCharType="begin"/>
      </w:r>
      <w:r w:rsidRPr="43844335">
        <w:rPr>
          <w:rFonts w:ascii="Times New Roman" w:hAnsi="Times New Roman" w:cs="Times New Roman"/>
          <w:sz w:val="24"/>
          <w:szCs w:val="24"/>
        </w:rPr>
        <w:instrText xml:space="preserve"> ADDIN ZOTERO_ITEM CSL_CITATION {"citationID":"8IihFcSV","properties":{"formattedCitation":"[7]","plainCitation":"[7]","dontUpdate":true,"noteIndex":0},"citationItems":[{"id":20,"uris":["http://zotero.org/users/local/NWCAR5we/items/NHYQ9YAR"],"itemData":{"id":20,"type":"article-journal","abstract":"As more nations move towards net-zero emission goals by 2050, research into the coupling of photovoltaics (PV) and agriculture has increased into a new sector of agrivoltaics (AV). Measurement of the Land Equivalent Ratio (LER) has allowed researchers to develop methods for optimizing the agrivoltaic system. Studies on innovative engineering technologies related to photovoltaic tracking along with new generation PV cells were reviewed to determine the factors that inﬂuence optimization. This review also considered AV farm layouts and how different spacing, height, and density impact the shading under the panels. As panels block the light from hitting the plants, the photosynthetically active radiation (PAR) changes and alters plant growth. The shading, however, also creates micro-climates that have beneﬁcial qualities in terms of water usage and PV efﬁciency. The overall review investigated the research of the last ﬁve years into AV optimization and the implications for future AV developments.","container-title":"Challenges","DOI":"10.3390/challe13020043","ISSN":"2078-1547","issue":"2","journalAbbreviation":"Challenges","language":"en","page":"43","source":"DOI.org (Crossref)","title":"Agrivoltaic Engineering and Layout Optimization Approaches in the Transition to Renewable Energy Technologies: A Review","title-short":"Agrivoltaic Engineering and Layout Optimization Approaches in the Transition to Renewable Energy Technologies","volume":"13","author":[{"family":"Reasoner","given":"Meagan"},{"family":"Ghosh","given":"Aritra"}],"issued":{"date-parts":[["2022",9,1]]}}}],"schema":"https://github.com/citation-style-language/schema/raw/master/csl-citation.json"} </w:instrText>
      </w:r>
      <w:r w:rsidRPr="43844335">
        <w:rPr>
          <w:rFonts w:ascii="Times New Roman" w:hAnsi="Times New Roman" w:cs="Times New Roman"/>
          <w:sz w:val="24"/>
          <w:szCs w:val="24"/>
        </w:rPr>
        <w:fldChar w:fldCharType="separate"/>
      </w:r>
      <w:r w:rsidRPr="43844335" w:rsidR="000703F4">
        <w:rPr>
          <w:rFonts w:ascii="Times New Roman" w:hAnsi="Times New Roman" w:cs="Times New Roman"/>
          <w:sz w:val="24"/>
          <w:szCs w:val="24"/>
        </w:rPr>
        <w:t>7</w:t>
      </w:r>
      <w:r w:rsidRPr="43844335" w:rsidR="009C0EB2">
        <w:rPr>
          <w:rFonts w:ascii="Times New Roman" w:hAnsi="Times New Roman" w:cs="Times New Roman"/>
          <w:sz w:val="24"/>
          <w:szCs w:val="24"/>
        </w:rPr>
        <w:t>,</w:t>
      </w:r>
      <w:r w:rsidRPr="43844335">
        <w:rPr>
          <w:rFonts w:ascii="Times New Roman" w:hAnsi="Times New Roman" w:cs="Times New Roman"/>
          <w:sz w:val="24"/>
          <w:szCs w:val="24"/>
        </w:rPr>
        <w:fldChar w:fldCharType="end"/>
      </w:r>
      <w:r w:rsidRPr="43844335" w:rsidR="00896439">
        <w:rPr>
          <w:rFonts w:ascii="Times New Roman" w:hAnsi="Times New Roman" w:cs="Times New Roman"/>
          <w:sz w:val="24"/>
          <w:szCs w:val="24"/>
        </w:rPr>
        <w:t xml:space="preserve"> </w:t>
      </w:r>
      <w:r w:rsidRPr="43844335">
        <w:rPr>
          <w:rFonts w:ascii="Times New Roman" w:hAnsi="Times New Roman" w:cs="Times New Roman"/>
          <w:sz w:val="24"/>
          <w:szCs w:val="24"/>
        </w:rPr>
        <w:fldChar w:fldCharType="begin"/>
      </w:r>
      <w:r w:rsidRPr="43844335">
        <w:rPr>
          <w:rFonts w:ascii="Times New Roman" w:hAnsi="Times New Roman" w:cs="Times New Roman"/>
          <w:sz w:val="24"/>
          <w:szCs w:val="24"/>
        </w:rPr>
        <w:instrText xml:space="preserve"> ADDIN ZOTERO_ITEM CSL_CITATION {"citationID":"6zfQdZfO","properties":{"formattedCitation":"[11]","plainCitation":"[11]","dontUpdate":true,"noteIndex":0},"citationItems":[{"id":50,"uris":["http://zotero.org/users/local/NWCAR5we/items/6JDDGFCG"],"itemData":{"id":50,"type":"article-journal","abstract":"Agrivoltaics (AV) is an emerging technology having symbiotic beneﬁts for food-energy-water needs of the growing world population and an inherent resilience against climate vulnerabilities. An AV system needs to balance the sunlight sharing between the solar panels and crops to maintain the desired food-energy yields, subject to appropriate constraints. Given the emerging diversity of monofacial and bifacial farms, the lack of a standardized crop-speciﬁc metric (to evaluate the efﬁcacy of the irradiance sharing) has made it difﬁcult to optimize/assess the performance of AV systems. Here, we introduce a new metric—light productivity factor (LPF)—that evaluates the effectiveness of irradiance sharing for a given crop type and photovoltaic (PV) array design. The metric allows us to identify optimal design parameters including the spatial PV array density, panel orientation, and single axis tracking schemes speciﬁc to the photosynthetically active radiation needs of the crop. By deﬁnition, LPF equals 1 for PV-only or crop-only systems. The AV systems enhances LPF between 1 and 2 depending on the shade sensitivity of the crop, PV array conﬁguration, and the season. While traditional ﬁxed-tilt systems increase LPF signiﬁcantly above 1, we ﬁnd LPF is maximized at 2 for shade-tolerant crops with a solar farm based on single axis sun tracking scheme. Among the ﬁxed tilt systems, east/west faced bifacial vertical solar farms is particularly promising because it produces smallest variability in the seasonal yield for shade sensitive crops, while providing LPF comparable to the standard N/S faced solar farms. Additional beneﬁts include reduced soiling and ease of movement of large-scale combine-harvester and other farming equipment.","container-title":"IEEE Journal of Photovoltaics","DOI":"10.1109/JPHOTOV.2021.3136158","ISSN":"2156-3381, 2156-3403","issue":"2","journalAbbreviation":"IEEE J. Photovoltaics","language":"en","license":"https://ieeexplore.ieee.org/Xplorehelp/downloads/license-information/IEEE.html","page":"572-580","source":"DOI.org (Crossref)","title":"Crop-Specific Optimization of Bifacial PV Arrays for Agrivoltaic Food-Energy Production: The Light-Productivity-Factor Approach","title-short":"Crop-Specific Optimization of Bifacial PV Arrays for Agrivoltaic Food-Energy Production","volume":"12","author":[{"family":"Riaz","given":"Muhammad Hussnain"},{"family":"Imran","given":"Hassan"},{"family":"Alam","given":"Habeel"},{"family":"Alam","given":"Muhammad Ashraful"},{"family":"Butt","given":"Nauman Zafar"}],"issued":{"date-parts":[["2022",3]]}}}],"schema":"https://github.com/citation-style-language/schema/raw/master/csl-citation.json"} </w:instrText>
      </w:r>
      <w:r w:rsidRPr="43844335">
        <w:rPr>
          <w:rFonts w:ascii="Times New Roman" w:hAnsi="Times New Roman" w:cs="Times New Roman"/>
          <w:sz w:val="24"/>
          <w:szCs w:val="24"/>
        </w:rPr>
        <w:fldChar w:fldCharType="separate"/>
      </w:r>
      <w:r w:rsidRPr="43844335" w:rsidR="000703F4">
        <w:rPr>
          <w:rFonts w:ascii="Times New Roman" w:hAnsi="Times New Roman" w:cs="Times New Roman"/>
          <w:sz w:val="24"/>
          <w:szCs w:val="24"/>
        </w:rPr>
        <w:t>11</w:t>
      </w:r>
      <w:r w:rsidRPr="43844335" w:rsidR="009C0EB2">
        <w:rPr>
          <w:rFonts w:ascii="Times New Roman" w:hAnsi="Times New Roman" w:cs="Times New Roman"/>
          <w:sz w:val="24"/>
          <w:szCs w:val="24"/>
        </w:rPr>
        <w:t>,</w:t>
      </w:r>
      <w:r w:rsidRPr="43844335">
        <w:rPr>
          <w:rFonts w:ascii="Times New Roman" w:hAnsi="Times New Roman" w:cs="Times New Roman"/>
          <w:sz w:val="24"/>
          <w:szCs w:val="24"/>
        </w:rPr>
        <w:fldChar w:fldCharType="end"/>
      </w:r>
      <w:r w:rsidRPr="43844335" w:rsidR="00F63971">
        <w:rPr>
          <w:rFonts w:ascii="Times New Roman" w:hAnsi="Times New Roman" w:cs="Times New Roman"/>
          <w:sz w:val="24"/>
          <w:szCs w:val="24"/>
        </w:rPr>
        <w:t xml:space="preserve"> </w:t>
      </w:r>
      <w:r w:rsidRPr="43844335">
        <w:rPr>
          <w:rFonts w:ascii="Times New Roman" w:hAnsi="Times New Roman" w:cs="Times New Roman"/>
          <w:sz w:val="24"/>
          <w:szCs w:val="24"/>
        </w:rPr>
        <w:fldChar w:fldCharType="begin"/>
      </w:r>
      <w:r w:rsidRPr="43844335">
        <w:rPr>
          <w:rFonts w:ascii="Times New Roman" w:hAnsi="Times New Roman" w:cs="Times New Roman"/>
          <w:sz w:val="24"/>
          <w:szCs w:val="24"/>
        </w:rPr>
        <w:instrText xml:space="preserve"> ADDIN ZOTERO_ITEM CSL_CITATION {"citationID":"asiyOdpy","properties":{"formattedCitation":"[13]","plainCitation":"[13]","dontUpdate":true,"noteIndex":0},"citationItems":[{"id":56,"uris":["http://zotero.org/users/local/NWCAR5we/items/EY8VZSL6"],"itemData":{"id":56,"type":"article-journal","container-title":"Science of The Total Environment","DOI":"10.1016/j.scitotenv.2023.169274","ISSN":"00489697","journalAbbreviation":"Science of The Total Environment","language":"en","page":"169274","source":"DOI.org (Crossref)","title":"Techno-economic and life cycle assessment of agrivoltaic system (AVS) designs","volume":"912","author":[{"family":"Ravilla","given":"Achyuth"},{"family":"Shirkey","given":"Gabriela"},{"family":"Chen","given":"Jiquan"},{"family":"Jarchow","given":"Meghann"},{"family":"Stary","given":"Olyssa"},{"family":"Celik","given":"Ilke"}],"issued":{"date-parts":[["2024",2]]}}}],"schema":"https://github.com/citation-style-language/schema/raw/master/csl-citation.json"} </w:instrText>
      </w:r>
      <w:r w:rsidRPr="43844335">
        <w:rPr>
          <w:rFonts w:ascii="Times New Roman" w:hAnsi="Times New Roman" w:cs="Times New Roman"/>
          <w:sz w:val="24"/>
          <w:szCs w:val="24"/>
        </w:rPr>
        <w:fldChar w:fldCharType="separate"/>
      </w:r>
      <w:r w:rsidRPr="43844335" w:rsidR="009C0EB2">
        <w:rPr>
          <w:rFonts w:ascii="Times New Roman" w:hAnsi="Times New Roman" w:cs="Times New Roman"/>
          <w:sz w:val="24"/>
          <w:szCs w:val="24"/>
        </w:rPr>
        <w:t>13]</w:t>
      </w:r>
      <w:r w:rsidRPr="43844335">
        <w:rPr>
          <w:rFonts w:ascii="Times New Roman" w:hAnsi="Times New Roman" w:cs="Times New Roman"/>
          <w:sz w:val="24"/>
          <w:szCs w:val="24"/>
        </w:rPr>
        <w:fldChar w:fldCharType="end"/>
      </w:r>
      <w:r w:rsidRPr="43844335" w:rsidR="00F35517">
        <w:rPr>
          <w:rFonts w:ascii="Times New Roman" w:hAnsi="Times New Roman" w:cs="Times New Roman"/>
          <w:sz w:val="24"/>
          <w:szCs w:val="24"/>
        </w:rPr>
        <w:t xml:space="preserve">. </w:t>
      </w:r>
      <w:r w:rsidRPr="43844335" w:rsidR="00CC678E">
        <w:rPr>
          <w:rFonts w:ascii="Times New Roman" w:hAnsi="Times New Roman" w:cs="Times New Roman"/>
          <w:sz w:val="24"/>
          <w:szCs w:val="24"/>
        </w:rPr>
        <w:t>While single-axis trackers offer a solid middle ground, dual-axis v</w:t>
      </w:r>
      <w:r w:rsidRPr="43844335" w:rsidR="00BF63DA">
        <w:rPr>
          <w:rFonts w:ascii="Times New Roman" w:hAnsi="Times New Roman" w:cs="Times New Roman"/>
          <w:sz w:val="24"/>
          <w:szCs w:val="24"/>
        </w:rPr>
        <w:t>ersions capture the most energy-</w:t>
      </w:r>
      <w:r w:rsidRPr="43844335" w:rsidR="00CC678E">
        <w:rPr>
          <w:rFonts w:ascii="Times New Roman" w:hAnsi="Times New Roman" w:cs="Times New Roman"/>
          <w:sz w:val="24"/>
          <w:szCs w:val="24"/>
        </w:rPr>
        <w:t xml:space="preserve">though they come with higher mechanical costs. </w:t>
      </w:r>
      <w:r w:rsidRPr="43844335" w:rsidR="00543AF2">
        <w:rPr>
          <w:rFonts w:ascii="Times New Roman" w:hAnsi="Times New Roman" w:cs="Times New Roman"/>
          <w:sz w:val="24"/>
          <w:szCs w:val="24"/>
        </w:rPr>
        <w:t xml:space="preserve">There is also the potential of bifacial modules, which capture light bouncing off the ground, an approach that can hike up energy yields by as much as 25% </w:t>
      </w:r>
      <w:r w:rsidRPr="43844335" w:rsidR="00260DBA">
        <w:rPr>
          <w:rFonts w:ascii="Times New Roman" w:hAnsi="Times New Roman" w:cs="Times New Roman"/>
          <w:sz w:val="24"/>
          <w:szCs w:val="24"/>
        </w:rPr>
        <w:t xml:space="preserve">depending on the surface albedo </w:t>
      </w:r>
      <w:r w:rsidRPr="43844335">
        <w:rPr>
          <w:rFonts w:ascii="Times New Roman" w:hAnsi="Times New Roman" w:cs="Times New Roman"/>
          <w:sz w:val="24"/>
          <w:szCs w:val="24"/>
        </w:rPr>
        <w:fldChar w:fldCharType="begin"/>
      </w:r>
      <w:r w:rsidRPr="43844335">
        <w:rPr>
          <w:rFonts w:ascii="Times New Roman" w:hAnsi="Times New Roman" w:cs="Times New Roman"/>
          <w:sz w:val="24"/>
          <w:szCs w:val="24"/>
        </w:rPr>
        <w:instrText xml:space="preserve"> ADDIN ZOTERO_ITEM CSL_CITATION {"citationID":"y2CbtRyn","properties":{"formattedCitation":"[3]","plainCitation":"[3]","dontUpdate":true,"noteIndex":0},"citationItems":[{"id":17,"uris":["http://zotero.org/users/local/NWCAR5we/items/ZEN6CQHW"],"itemData":{"id":17,"type":"article-journal","abstract":"Agrivoltaic systems, which consist of the combination of energy production by means of photovoltaic systems and agricultural production in the same area, have emerged as a promising solution to the constraints related to the reduction in cultivated areas due to solar panels used in agricultural production systems. They also enable optimization of land use and reduction in conﬂicts over land access, in order to meet the increasing demand for agricultural products and energy resulting from rapid population growth. However, the selected installation conﬁgurations, such as elevation, spacing, tilt, and choice of panel technology used, can have a negative impact on agricultural and/or energy production. Thus, this paper addresses the need for a review that provides a clear explanation of agrivoltaics, including the factors that impact agricultural and energy production in agrivoltaic systems, types of panel conﬁgurations and technologies to optimize these systems, and a synthesis of modelling studies which have already been conducted in this area. Several studies have been carried out in this ﬁeld to ﬁnd the appropriate mounting height and spacing of the solar panels that optimize crop yields, as this later can be reduced by the shade created with the solar panels on the plants. It was reported that yields have been reduced by 62% to 3% for more than 80% of the tested crops. To this end, an optimization model can be developed to determine the optimal elevation, spacing, and tilt angle of the solar panels. This model would take into account factors that inﬂuence crop growth and yield, as well as factors that affect the performance of the photovoltaic system, with the goal of maximizing both crop yield and energy production.","container-title":"Processes","DOI":"10.3390/pr11030948","ISSN":"2227-9717","issue":"3","journalAbbreviation":"Processes","language":"en","page":"948","source":"DOI.org (Crossref)","title":"Agrivoltaic, a Synergistic Co-Location of Agricultural and Energy Production in Perpetual Mutation: A Comprehensive Review","title-short":"Agrivoltaic, a Synergistic Co-Location of Agricultural and Energy Production in Perpetual Mutation","volume":"11","author":[{"family":"Sarr","given":"Aminata"},{"family":"Soro","given":"Y. M."},{"family":"Tossa","given":"Alain K."},{"family":"Diop","given":"Lamine"}],"issued":{"date-parts":[["2023",3,20]]}}}],"schema":"https://github.com/citation-style-language/schema/raw/master/csl-citation.json"} </w:instrText>
      </w:r>
      <w:r w:rsidRPr="43844335">
        <w:rPr>
          <w:rFonts w:ascii="Times New Roman" w:hAnsi="Times New Roman" w:cs="Times New Roman"/>
          <w:sz w:val="24"/>
          <w:szCs w:val="24"/>
        </w:rPr>
        <w:fldChar w:fldCharType="separate"/>
      </w:r>
      <w:r w:rsidRPr="43844335" w:rsidR="000703F4">
        <w:rPr>
          <w:rFonts w:ascii="Times New Roman" w:hAnsi="Times New Roman" w:cs="Times New Roman"/>
          <w:sz w:val="24"/>
          <w:szCs w:val="24"/>
        </w:rPr>
        <w:t>[3</w:t>
      </w:r>
      <w:r w:rsidRPr="43844335" w:rsidR="009C0EB2">
        <w:rPr>
          <w:rFonts w:ascii="Times New Roman" w:hAnsi="Times New Roman" w:cs="Times New Roman"/>
          <w:sz w:val="24"/>
          <w:szCs w:val="24"/>
        </w:rPr>
        <w:t>,</w:t>
      </w:r>
      <w:r w:rsidRPr="43844335">
        <w:rPr>
          <w:rFonts w:ascii="Times New Roman" w:hAnsi="Times New Roman" w:cs="Times New Roman"/>
          <w:sz w:val="24"/>
          <w:szCs w:val="24"/>
        </w:rPr>
        <w:fldChar w:fldCharType="end"/>
      </w:r>
      <w:r w:rsidRPr="43844335" w:rsidR="00760351">
        <w:rPr>
          <w:rFonts w:ascii="Times New Roman" w:hAnsi="Times New Roman" w:cs="Times New Roman"/>
          <w:sz w:val="24"/>
          <w:szCs w:val="24"/>
        </w:rPr>
        <w:t xml:space="preserve"> </w:t>
      </w:r>
      <w:r w:rsidRPr="43844335">
        <w:rPr>
          <w:rFonts w:ascii="Times New Roman" w:hAnsi="Times New Roman" w:cs="Times New Roman"/>
          <w:sz w:val="24"/>
          <w:szCs w:val="24"/>
        </w:rPr>
        <w:fldChar w:fldCharType="begin"/>
      </w:r>
      <w:r w:rsidRPr="43844335">
        <w:rPr>
          <w:rFonts w:ascii="Times New Roman" w:hAnsi="Times New Roman" w:cs="Times New Roman"/>
          <w:sz w:val="24"/>
          <w:szCs w:val="24"/>
        </w:rPr>
        <w:instrText xml:space="preserve"> ADDIN ZOTERO_ITEM CSL_CITATION {"citationID":"4FZWG80o","properties":{"formattedCitation":"[4]","plainCitation":"[4]","dontUpdate":true,"noteIndex":0},"citationItems":[{"id":8,"uris":["http://zotero.org/users/local/NWCAR5we/items/5V5LMZDP"],"itemData":{"id":8,"type":"article-journal","abstract":"The world population and consequently the global need for food continue to grow. At the same time, areas will be used to generate clean electricity to cope with climate change and global warming. The combination of crop production and solar photovoltaics in the form of “agrivoltaic technology” offers advantages for both sides that provide an adequate, resource-efficient solution to the persistent problem of competition for arable lands. The implementation of agrivoltaic systems has been exponentially increased in recent years and reached the global installed capacity of 2.8 GW in 2020 from the initial capacity of 5 MW in 2012. The agrivoltaic systems installed worldwide mostly employ conventional opaque photovoltaic (PV) modules, causing a change in the microclimate under the panels that become critical when shading ratios are high. Semi-transparent PV (STPV) modules have been recently employed to mitigate this issue which is profoundly studied in this research by considering the use of semi-transparent technologies based on crystalline silicon (c-Si), thin-film photovoltaics, organic PVs (OPVs), dye-sensitized solar cells (DSSCs), concentrating PVs (CPVs), and luminescent solar concentrators (LSCs) in open (arable farming lands) and closed (cultivation greenhouses) agrivoltaic systems. The results indicated that c-Si STPV modules have the highest share of employment in agrivoltaic systems due to their extreme benefits of low costs, high stability, and high efficiency in comparison with other technologies, while in contrast, the use of thinfilm STPV modules have been rarely reported in the literature. Additionally, STPV modules using OPVs and DSSCs offer the capability to achieve wavelength-selective transparency, causing the photosynthetic active radiation to pass through while the remained spectrum is utilized to generate electricity. Other potential solutions come from CPVs and LSCs, in which, diffuse light is available for the growth of cultivated plants, while direct concentrated sunlight can generate electricity. Although STPV modules are proven as a feasible solution for use in agrivoltaic systems, still more developments are required in terms of the modules’ efficiency enhancement and costs reduction, while more detailed research is required to observe the response of cultivated plants to make this technology a viable sustainable solution in the future.","container-title":"Renewable and Sustainable Energy Reviews","DOI":"10.1016/j.rser.2022.112126","ISSN":"13640321","journalAbbreviation":"Renewable and Sustainable Energy Reviews","language":"en","page":"112126","source":"DOI.org (Crossref)","title":"Progress and challenges of crop production and electricity generation in agrivoltaic systems using semi-transparent photovoltaic technology","volume":"158","author":[{"family":"Gorjian","given":"Shiva"},{"family":"Bousi","given":"Erion"},{"family":"Özdemir","given":"Özal Emre"},{"family":"Trommsdorff","given":"Max"},{"family":"Kumar","given":"Nallapaneni Manoj"},{"family":"Anand","given":"Abhishek"},{"family":"Kant","given":"Karunesh"},{"family":"Chopra","given":"Shauhrat S."}],"issued":{"date-parts":[["2022",4]]}}}],"schema":"https://github.com/citation-style-language/schema/raw/master/csl-citation.json"} </w:instrText>
      </w:r>
      <w:r w:rsidRPr="43844335">
        <w:rPr>
          <w:rFonts w:ascii="Times New Roman" w:hAnsi="Times New Roman" w:cs="Times New Roman"/>
          <w:sz w:val="24"/>
          <w:szCs w:val="24"/>
        </w:rPr>
        <w:fldChar w:fldCharType="separate"/>
      </w:r>
      <w:r w:rsidRPr="43844335" w:rsidR="000703F4">
        <w:rPr>
          <w:rFonts w:ascii="Times New Roman" w:hAnsi="Times New Roman" w:cs="Times New Roman"/>
          <w:sz w:val="24"/>
          <w:szCs w:val="24"/>
        </w:rPr>
        <w:t>4]</w:t>
      </w:r>
      <w:r w:rsidRPr="43844335">
        <w:rPr>
          <w:rFonts w:ascii="Times New Roman" w:hAnsi="Times New Roman" w:cs="Times New Roman"/>
          <w:sz w:val="24"/>
          <w:szCs w:val="24"/>
        </w:rPr>
        <w:fldChar w:fldCharType="end"/>
      </w:r>
      <w:r w:rsidRPr="43844335" w:rsidR="00F35517">
        <w:rPr>
          <w:rFonts w:ascii="Times New Roman" w:hAnsi="Times New Roman" w:cs="Times New Roman"/>
          <w:sz w:val="24"/>
          <w:szCs w:val="24"/>
        </w:rPr>
        <w:t xml:space="preserve">. </w:t>
      </w:r>
      <w:r w:rsidRPr="43844335" w:rsidR="00CC678E">
        <w:rPr>
          <w:rFonts w:ascii="Times New Roman" w:hAnsi="Times New Roman" w:cs="Times New Roman"/>
          <w:sz w:val="24"/>
          <w:szCs w:val="24"/>
        </w:rPr>
        <w:t xml:space="preserve">Transparent solar photovoltaic (STPV) modules add another layer of </w:t>
      </w:r>
      <w:r w:rsidRPr="43844335" w:rsidR="00CC678E">
        <w:rPr>
          <w:rFonts w:ascii="Times New Roman" w:hAnsi="Times New Roman" w:cs="Times New Roman"/>
          <w:sz w:val="24"/>
          <w:szCs w:val="24"/>
        </w:rPr>
        <w:t>synergy</w:t>
      </w:r>
      <w:r w:rsidRPr="43844335" w:rsidR="00CC678E">
        <w:rPr>
          <w:rFonts w:ascii="Times New Roman" w:hAnsi="Times New Roman" w:cs="Times New Roman"/>
          <w:sz w:val="24"/>
          <w:szCs w:val="24"/>
        </w:rPr>
        <w:t xml:space="preserve">, </w:t>
      </w:r>
      <w:r w:rsidRPr="43844335" w:rsidR="00CC678E">
        <w:rPr>
          <w:rFonts w:ascii="Times New Roman" w:hAnsi="Times New Roman" w:cs="Times New Roman"/>
          <w:sz w:val="24"/>
          <w:szCs w:val="24"/>
        </w:rPr>
        <w:t xml:space="preserve">letting through the light needed for photosynthesis (PAR) while converting the rest into </w:t>
      </w:r>
      <w:r w:rsidRPr="43844335" w:rsidR="00CC678E">
        <w:rPr>
          <w:rFonts w:ascii="Times New Roman" w:hAnsi="Times New Roman" w:cs="Times New Roman"/>
          <w:sz w:val="24"/>
          <w:szCs w:val="24"/>
        </w:rPr>
        <w:t>electricity</w:t>
      </w:r>
      <w:r w:rsidRPr="43844335" w:rsidR="2F2DC911">
        <w:rPr>
          <w:rFonts w:ascii="Times New Roman" w:hAnsi="Times New Roman" w:cs="Times New Roman"/>
          <w:sz w:val="24"/>
          <w:szCs w:val="24"/>
        </w:rPr>
        <w:t xml:space="preserve"> </w:t>
      </w:r>
      <w:r w:rsidRPr="43844335">
        <w:rPr>
          <w:rFonts w:ascii="Times New Roman" w:hAnsi="Times New Roman" w:cs="Times New Roman"/>
          <w:sz w:val="24"/>
          <w:szCs w:val="24"/>
        </w:rPr>
        <w:fldChar w:fldCharType="begin"/>
      </w:r>
      <w:r w:rsidRPr="43844335">
        <w:rPr>
          <w:rFonts w:ascii="Times New Roman" w:hAnsi="Times New Roman" w:cs="Times New Roman"/>
          <w:sz w:val="24"/>
          <w:szCs w:val="24"/>
        </w:rPr>
        <w:instrText xml:space="preserve"> ADDIN ZOTERO_ITEM CSL_CITATION {"citationID":"mO6j79im","properties":{"formattedCitation":"[4]","plainCitation":"[4]","noteIndex":0},"citationItems":[{"id":8,"uris":["http://zotero.org/users/local/NWCAR5we/items/5V5LMZDP"],"itemData":{"id":8,"type":"article-journal","abstract":"The world population and consequently the global need for food continue to grow. At the same time, areas will be used to generate clean electricity to cope with climate change and global warming. The combination of crop production and solar photovoltaics in the form of “agrivoltaic technology” offers advantages for both sides that provide an adequate, resource-efficient solution to the persistent problem of competition for arable lands. The implementation of agrivoltaic systems has been exponentially increased in recent years and reached the global installed capacity of 2.8 GW in 2020 from the initial capacity of 5 MW in 2012. The agrivoltaic systems installed worldwide mostly employ conventional opaque photovoltaic (PV) modules, causing a change in the microclimate under the panels that become critical when shading ratios are high. Semi-transparent PV (STPV) modules have been recently employed to mitigate this issue which is profoundly studied in this research by considering the use of semi-transparent technologies based on crystalline silicon (c-Si), thin-film photovoltaics, organic PVs (OPVs), dye-sensitized solar cells (DSSCs), concentrating PVs (CPVs), and luminescent solar concentrators (LSCs) in open (arable farming lands) and closed (cultivation greenhouses) agrivoltaic systems. The results indicated that c-Si STPV modules have the highest share of employment in agrivoltaic systems due to their extreme benefits of low costs, high stability, and high efficiency in comparison with other technologies, while in contrast, the use of thinfilm STPV modules have been rarely reported in the literature. Additionally, STPV modules using OPVs and DSSCs offer the capability to achieve wavelength-selective transparency, causing the photosynthetic active radiation to pass through while the remained spectrum is utilized to generate electricity. Other potential solutions come from CPVs and LSCs, in which, diffuse light is available for the growth of cultivated plants, while direct concentrated sunlight can generate electricity. Although STPV modules are proven as a feasible solution for use in agrivoltaic systems, still more developments are required in terms of the modules’ efficiency enhancement and costs reduction, while more detailed research is required to observe the response of cultivated plants to make this technology a viable sustainable solution in the future.","container-title":"Renewable and Sustainable Energy Reviews","DOI":"10.1016/j.rser.2022.112126","ISSN":"13640321","journalAbbreviation":"Renewable and Sustainable Energy Reviews","language":"en","page":"112126","source":"DOI.org (Crossref)","title":"Progress and challenges of crop production and electricity generation in agrivoltaic systems using semi-transparent photovoltaic technology","volume":"158","author":[{"family":"Gorjian","given":"Shiva"},{"family":"Bousi","given":"Erion"},{"family":"Özdemir","given":"Özal Emre"},{"family":"Trommsdorff","given":"Max"},{"family":"Kumar","given":"Nallapaneni Manoj"},{"family":"Anand","given":"Abhishek"},{"family":"Kant","given":"Karunesh"},{"family":"Chopra","given":"Shauhrat S."}],"issued":{"date-parts":[["2022",4]]}}}],"schema":"https://github.com/citation-style-language/schema/raw/master/csl-citation.json"} </w:instrText>
      </w:r>
      <w:r w:rsidRPr="43844335">
        <w:rPr>
          <w:rFonts w:ascii="Times New Roman" w:hAnsi="Times New Roman" w:cs="Times New Roman"/>
          <w:sz w:val="24"/>
          <w:szCs w:val="24"/>
        </w:rPr>
        <w:fldChar w:fldCharType="separate"/>
      </w:r>
      <w:r w:rsidRPr="43844335" w:rsidR="000703F4">
        <w:rPr>
          <w:rFonts w:ascii="Times New Roman" w:hAnsi="Times New Roman" w:cs="Times New Roman"/>
          <w:sz w:val="24"/>
          <w:szCs w:val="24"/>
        </w:rPr>
        <w:t>[</w:t>
      </w:r>
      <w:r w:rsidRPr="43844335" w:rsidR="000703F4">
        <w:rPr>
          <w:rFonts w:ascii="Times New Roman" w:hAnsi="Times New Roman" w:cs="Times New Roman"/>
          <w:sz w:val="24"/>
          <w:szCs w:val="24"/>
        </w:rPr>
        <w:t>4]</w:t>
      </w:r>
      <w:r w:rsidRPr="43844335">
        <w:rPr>
          <w:rFonts w:ascii="Times New Roman" w:hAnsi="Times New Roman" w:cs="Times New Roman"/>
          <w:sz w:val="24"/>
          <w:szCs w:val="24"/>
        </w:rPr>
        <w:fldChar w:fldCharType="end"/>
      </w:r>
      <w:r w:rsidRPr="43844335" w:rsidR="00F35517">
        <w:rPr>
          <w:rFonts w:ascii="Times New Roman" w:hAnsi="Times New Roman" w:cs="Times New Roman"/>
          <w:sz w:val="24"/>
          <w:szCs w:val="24"/>
        </w:rPr>
        <w:t>.</w:t>
      </w:r>
    </w:p>
    <w:p w:rsidRPr="000C01CA" w:rsidR="00916B85" w:rsidP="00102447" w:rsidRDefault="00916B85" w14:paraId="5469EFFB" w14:textId="77777777">
      <w:pPr>
        <w:spacing w:line="360" w:lineRule="auto"/>
        <w:jc w:val="both"/>
        <w:rPr>
          <w:rFonts w:ascii="Times New Roman" w:hAnsi="Times New Roman" w:cs="Times New Roman"/>
          <w:b/>
          <w:sz w:val="24"/>
          <w:szCs w:val="24"/>
        </w:rPr>
      </w:pPr>
      <w:r w:rsidRPr="000C01CA">
        <w:rPr>
          <w:rFonts w:ascii="Times New Roman" w:hAnsi="Times New Roman" w:cs="Times New Roman"/>
          <w:b/>
          <w:sz w:val="24"/>
          <w:szCs w:val="24"/>
        </w:rPr>
        <w:t>II.2. Shading, microclimate, and agronomic performance</w:t>
      </w:r>
    </w:p>
    <w:p w:rsidRPr="000C01CA" w:rsidR="00F35517" w:rsidP="00102447" w:rsidRDefault="00916B85" w14:paraId="7F285782" w14:textId="73D648BD">
      <w:pPr>
        <w:spacing w:line="360" w:lineRule="auto"/>
        <w:ind w:firstLine="720"/>
        <w:jc w:val="both"/>
        <w:rPr>
          <w:rFonts w:ascii="Times New Roman" w:hAnsi="Times New Roman" w:cs="Times New Roman"/>
          <w:sz w:val="24"/>
          <w:szCs w:val="24"/>
        </w:rPr>
      </w:pPr>
      <w:r w:rsidRPr="43844335" w:rsidR="00916B85">
        <w:rPr>
          <w:rFonts w:ascii="Times New Roman" w:hAnsi="Times New Roman" w:cs="Times New Roman"/>
          <w:sz w:val="24"/>
          <w:szCs w:val="24"/>
        </w:rPr>
        <w:t>Shading is the main mechanism of interaction between the photovoltaic system and crops, directly influencing the distribution of PAR radiation and m</w:t>
      </w:r>
      <w:r w:rsidRPr="43844335" w:rsidR="00A74C4F">
        <w:rPr>
          <w:rFonts w:ascii="Times New Roman" w:hAnsi="Times New Roman" w:cs="Times New Roman"/>
          <w:sz w:val="24"/>
          <w:szCs w:val="24"/>
        </w:rPr>
        <w:t xml:space="preserve">icroclimatic dynamics </w:t>
      </w:r>
      <w:r w:rsidRPr="43844335">
        <w:rPr>
          <w:rFonts w:ascii="Times New Roman" w:hAnsi="Times New Roman" w:cs="Times New Roman"/>
          <w:sz w:val="24"/>
          <w:szCs w:val="24"/>
        </w:rPr>
        <w:fldChar w:fldCharType="begin"/>
      </w:r>
      <w:r w:rsidRPr="43844335">
        <w:rPr>
          <w:rFonts w:ascii="Times New Roman" w:hAnsi="Times New Roman" w:cs="Times New Roman"/>
          <w:sz w:val="24"/>
          <w:szCs w:val="24"/>
        </w:rPr>
        <w:instrText xml:space="preserve"> ADDIN ZOTERO_ITEM CSL_CITATION {"citationID":"2N4pSyNr","properties":{"formattedCitation":"[7]","plainCitation":"[7]","dontUpdate":true,"noteIndex":0},"citationItems":[{"id":20,"uris":["http://zotero.org/users/local/NWCAR5we/items/NHYQ9YAR"],"itemData":{"id":20,"type":"article-journal","abstract":"As more nations move towards net-zero emission goals by 2050, research into the coupling of photovoltaics (PV) and agriculture has increased into a new sector of agrivoltaics (AV). Measurement of the Land Equivalent Ratio (LER) has allowed researchers to develop methods for optimizing the agrivoltaic system. Studies on innovative engineering technologies related to photovoltaic tracking along with new generation PV cells were reviewed to determine the factors that inﬂuence optimization. This review also considered AV farm layouts and how different spacing, height, and density impact the shading under the panels. As panels block the light from hitting the plants, the photosynthetically active radiation (PAR) changes and alters plant growth. The shading, however, also creates micro-climates that have beneﬁcial qualities in terms of water usage and PV efﬁciency. The overall review investigated the research of the last ﬁve years into AV optimization and the implications for future AV developments.","container-title":"Challenges","DOI":"10.3390/challe13020043","ISSN":"2078-1547","issue":"2","journalAbbreviation":"Challenges","language":"en","page":"43","source":"DOI.org (Crossref)","title":"Agrivoltaic Engineering and Layout Optimization Approaches in the Transition to Renewable Energy Technologies: A Review","title-short":"Agrivoltaic Engineering and Layout Optimization Approaches in the Transition to Renewable Energy Technologies","volume":"13","author":[{"family":"Reasoner","given":"Meagan"},{"family":"Ghosh","given":"Aritra"}],"issued":{"date-parts":[["2022",9,1]]}}}],"schema":"https://github.com/citation-style-language/schema/raw/master/csl-citation.json"} </w:instrText>
      </w:r>
      <w:r w:rsidRPr="43844335">
        <w:rPr>
          <w:rFonts w:ascii="Times New Roman" w:hAnsi="Times New Roman" w:cs="Times New Roman"/>
          <w:sz w:val="24"/>
          <w:szCs w:val="24"/>
        </w:rPr>
        <w:fldChar w:fldCharType="separate"/>
      </w:r>
      <w:r w:rsidRPr="43844335" w:rsidR="000703F4">
        <w:rPr>
          <w:rFonts w:ascii="Times New Roman" w:hAnsi="Times New Roman" w:cs="Times New Roman"/>
          <w:sz w:val="24"/>
          <w:szCs w:val="24"/>
        </w:rPr>
        <w:t>[7</w:t>
      </w:r>
      <w:r w:rsidRPr="43844335" w:rsidR="009C0EB2">
        <w:rPr>
          <w:rFonts w:ascii="Times New Roman" w:hAnsi="Times New Roman" w:cs="Times New Roman"/>
          <w:sz w:val="24"/>
          <w:szCs w:val="24"/>
        </w:rPr>
        <w:t>,</w:t>
      </w:r>
      <w:r w:rsidRPr="43844335">
        <w:rPr>
          <w:rFonts w:ascii="Times New Roman" w:hAnsi="Times New Roman" w:cs="Times New Roman"/>
          <w:sz w:val="24"/>
          <w:szCs w:val="24"/>
        </w:rPr>
        <w:fldChar w:fldCharType="end"/>
      </w:r>
      <w:r w:rsidRPr="43844335" w:rsidR="00066D86">
        <w:rPr>
          <w:rFonts w:ascii="Times New Roman" w:hAnsi="Times New Roman" w:cs="Times New Roman"/>
          <w:sz w:val="24"/>
          <w:szCs w:val="24"/>
        </w:rPr>
        <w:t xml:space="preserve"> </w:t>
      </w:r>
      <w:r w:rsidRPr="43844335">
        <w:rPr>
          <w:rFonts w:ascii="Times New Roman" w:hAnsi="Times New Roman" w:cs="Times New Roman"/>
          <w:sz w:val="24"/>
          <w:szCs w:val="24"/>
        </w:rPr>
        <w:fldChar w:fldCharType="begin"/>
      </w:r>
      <w:r w:rsidRPr="43844335">
        <w:rPr>
          <w:rFonts w:ascii="Times New Roman" w:hAnsi="Times New Roman" w:cs="Times New Roman"/>
          <w:sz w:val="24"/>
          <w:szCs w:val="24"/>
        </w:rPr>
        <w:instrText xml:space="preserve"> ADDIN ZOTERO_ITEM CSL_CITATION {"citationID":"kZuUMpyf","properties":{"formattedCitation":"[8]","plainCitation":"[8]","dontUpdate":true,"noteIndex":0},"citationItems":[{"id":22,"uris":["http://zotero.org/users/local/NWCAR5we/items/RNLZ3A56"],"itemData":{"id":22,"type":"article-journal","abstract":"Agrivoltaics, a system combining the production of agricultural crops and solar energy on the same land area, offers a potential solution to land use competition between different sectors. However, concerns have been raised regarding the impact of shade on plant growth under Agrivoltaic Systems (AVSs). Numerous studies have explored the effects of AVSs shading on agricultural crops. However, most of these studies focused on shade-tolerant crops, leaving a gap in the understanding of how these systems affect shade-intolerant crops. To this end, this study was conducted in Bari, southern Italy, using two types of AVSs: conventional (Con) and semi-transparent (ST) panels. The objective was to assess the impacts of the different levels of shading on the tomato yield and fruit quality. Tomato cultivation occurred between May and August under various conditions: Con panels, ST panels, and Open Field. The results revealed that soil temperature decreased under both AVSs compared to in the open ﬁeld conditions. However, the signiﬁcant reduction in photosynthetically active radiation (PAR), up to 43% in ST and 67% in Con, led to yield reductions ranging between 28% and 58% in ST and Con, respectively. Nonetheless, AVSs demonstrated their potential to reduce irrigation water demand by over 15% in ST and more than 20% in Con. Interestingly, the AVSs reduced fruit size but improved certain fruit quality attributes, such as titratable acidity, which is closely correlated with fruit ﬂavour. These ﬁndings highlight the challenges of cultivating shadeintolerant crops under AVSs in a Mediterranean climate, while temperate, dry conditions may offer more favourable prospects for agricultural production.","container-title":"Processes","DOI":"10.3390/pr11123370","ISSN":"2227-9717","issue":"12","journalAbbreviation":"Processes","language":"en","page":"3370","source":"DOI.org (Crossref)","title":"The Impact of Agrivoltaic Systems on Tomato Crop: A Case Study in Southern Italy","title-short":"The Impact of Agrivoltaic Systems on Tomato Crop","volume":"11","author":[{"family":"Mohammedi","given":"Serine"},{"family":"Dragonetti","given":"Giovanna"},{"family":"Admane","given":"Naouel"},{"family":"Fouial","given":"Abdelouahid"}],"issued":{"date-parts":[["2023",12,4]]}}}],"schema":"https://github.com/citation-style-language/schema/raw/master/csl-citation.json"} </w:instrText>
      </w:r>
      <w:r w:rsidRPr="43844335">
        <w:rPr>
          <w:rFonts w:ascii="Times New Roman" w:hAnsi="Times New Roman" w:cs="Times New Roman"/>
          <w:sz w:val="24"/>
          <w:szCs w:val="24"/>
        </w:rPr>
        <w:fldChar w:fldCharType="separate"/>
      </w:r>
      <w:r w:rsidRPr="43844335" w:rsidR="000703F4">
        <w:rPr>
          <w:rFonts w:ascii="Times New Roman" w:hAnsi="Times New Roman" w:cs="Times New Roman"/>
          <w:sz w:val="24"/>
          <w:szCs w:val="24"/>
        </w:rPr>
        <w:t>8]</w:t>
      </w:r>
      <w:r w:rsidRPr="43844335">
        <w:rPr>
          <w:rFonts w:ascii="Times New Roman" w:hAnsi="Times New Roman" w:cs="Times New Roman"/>
          <w:sz w:val="24"/>
          <w:szCs w:val="24"/>
        </w:rPr>
        <w:fldChar w:fldCharType="end"/>
      </w:r>
      <w:r w:rsidRPr="43844335" w:rsidR="00A74C4F">
        <w:rPr>
          <w:rFonts w:ascii="Times New Roman" w:hAnsi="Times New Roman" w:cs="Times New Roman"/>
          <w:sz w:val="24"/>
          <w:szCs w:val="24"/>
        </w:rPr>
        <w:t xml:space="preserve">. </w:t>
      </w:r>
      <w:r w:rsidRPr="43844335" w:rsidR="00543AF2">
        <w:rPr>
          <w:rFonts w:ascii="Times New Roman" w:hAnsi="Times New Roman" w:cs="Times New Roman"/>
          <w:sz w:val="24"/>
          <w:szCs w:val="24"/>
        </w:rPr>
        <w:t xml:space="preserve">The actual drop in PAR </w:t>
      </w:r>
      <w:r w:rsidRPr="43844335" w:rsidR="1C3609FB">
        <w:rPr>
          <w:rFonts w:ascii="Times New Roman" w:hAnsi="Times New Roman" w:cs="Times New Roman"/>
          <w:sz w:val="24"/>
          <w:szCs w:val="24"/>
        </w:rPr>
        <w:t>is not</w:t>
      </w:r>
      <w:r w:rsidRPr="43844335" w:rsidR="00543AF2">
        <w:rPr>
          <w:rFonts w:ascii="Times New Roman" w:hAnsi="Times New Roman" w:cs="Times New Roman"/>
          <w:sz w:val="24"/>
          <w:szCs w:val="24"/>
        </w:rPr>
        <w:t xml:space="preserve"> fixed; it varies significantly based on how the system is laid out-from the specific geometry of the modules to their installation height and overall array density.</w:t>
      </w:r>
      <w:r w:rsidRPr="43844335" w:rsidR="00CC678E">
        <w:rPr>
          <w:rFonts w:ascii="Times New Roman" w:hAnsi="Times New Roman" w:cs="Times New Roman"/>
          <w:sz w:val="24"/>
          <w:szCs w:val="24"/>
        </w:rPr>
        <w:t xml:space="preserve"> Because of these variables, reported light reduction varies wildly, from a negl</w:t>
      </w:r>
      <w:r w:rsidRPr="43844335" w:rsidR="00260DBA">
        <w:rPr>
          <w:rFonts w:ascii="Times New Roman" w:hAnsi="Times New Roman" w:cs="Times New Roman"/>
          <w:sz w:val="24"/>
          <w:szCs w:val="24"/>
        </w:rPr>
        <w:t xml:space="preserve">igible 11% to a significant 95% </w:t>
      </w:r>
      <w:r w:rsidRPr="43844335">
        <w:rPr>
          <w:rFonts w:ascii="Times New Roman" w:hAnsi="Times New Roman" w:cs="Times New Roman"/>
          <w:sz w:val="24"/>
          <w:szCs w:val="24"/>
        </w:rPr>
        <w:fldChar w:fldCharType="begin"/>
      </w:r>
      <w:r w:rsidRPr="43844335">
        <w:rPr>
          <w:rFonts w:ascii="Times New Roman" w:hAnsi="Times New Roman" w:cs="Times New Roman"/>
          <w:sz w:val="24"/>
          <w:szCs w:val="24"/>
        </w:rPr>
        <w:instrText xml:space="preserve"> ADDIN ZOTERO_ITEM CSL_CITATION {"citationID":"5m1xzBrs","properties":{"formattedCitation":"[15], [16]","plainCitation":"[15], [16]","dontUpdate":true,"noteIndex":0},"citationItems":[{"id":"vtkp83Qn/z5zyo0CG","uris":["http://zotero.org/users/local/NWCAR5we/items/KC6XL34F"],"itemData":{"id":11,"type":"document","title":"6"}},{"id":52,"uris":["http://zotero.org/users/local/NWCAR5we/items/TK4BZ9V6"],"itemData":{"id":52,"type":"article-journal","abstract":"Agrivoltaic systems are becoming increasingly popular as a crucial technology for attaining multiple sustainable development goals, such as affordable and clean energy, zero hunger, clean water and sanitation, and climate action. However, a comprehensive understanding of the shading effects on crops is essential for choosing an optimal agrivoltaic system, as an incorrect choice can result in significant crop yield reductions. In this study, fixed vertical, one-axis tracking, and two-axis tracking photovoltaic arrays were developed for agrivoltaic applications to analyse the shading conditions on the ground used for crop production. The models demonstrated remarkable accuracy in comparison to commercial software such as PVsyst® and SketchUp®. These models will help to reduce crop yield uncertainty under agrivoltaic systems by providing accurate photosynthetically active radiation distribution at the crop level. The photosynthetically active radiation distribution was further analysed using a light homogeneity index, and the results showed that homogeneity and photosynthetically active radiation reduction varied significantly depending on the agrivoltaic system design, ranging from 86% to 95%, and 11% to 22%, respectively. Studying the effect of shading with distribution analysis is crucial for identifying the most suitable agrivoltaic system layout for specific crops and geographical locations.","container-title":"Applied Energy","DOI":"10.1016/j.apenergy.2023.120981","ISSN":"03062619","journalAbbreviation":"Applied Energy","language":"en","page":"120981","source":"DOI.org (Crossref)","title":"Direct and diffuse shading factors modelling for the most representative agrivoltaic system layouts","volume":"339","author":[{"family":"Zainali","given":"Sebastian"},{"family":"Ma Lu","given":"Silvia"},{"family":"Stridh","given":"Bengt"},{"family":"Avelin","given":"Anders"},{"family":"Amaducci","given":"Stefano"},{"family":"Colauzzi","given":"Michele"},{"family":"Campana","given":"Pietro Elia"}],"issued":{"date-parts":[["2023",6]]}}}],"schema":"https://github.com/citation-style-language/schema/raw/master/csl-citation.json"} </w:instrText>
      </w:r>
      <w:r w:rsidRPr="43844335">
        <w:rPr>
          <w:rFonts w:ascii="Times New Roman" w:hAnsi="Times New Roman" w:cs="Times New Roman"/>
          <w:sz w:val="24"/>
          <w:szCs w:val="24"/>
        </w:rPr>
        <w:fldChar w:fldCharType="separate"/>
      </w:r>
      <w:r w:rsidRPr="43844335" w:rsidR="00F02BF1">
        <w:rPr>
          <w:rFonts w:ascii="Times New Roman" w:hAnsi="Times New Roman" w:cs="Times New Roman"/>
          <w:sz w:val="24"/>
          <w:szCs w:val="24"/>
        </w:rPr>
        <w:t>[16]</w:t>
      </w:r>
      <w:r w:rsidRPr="43844335">
        <w:rPr>
          <w:rFonts w:ascii="Times New Roman" w:hAnsi="Times New Roman" w:cs="Times New Roman"/>
          <w:sz w:val="24"/>
          <w:szCs w:val="24"/>
        </w:rPr>
        <w:fldChar w:fldCharType="end"/>
      </w:r>
      <w:r w:rsidRPr="43844335" w:rsidR="00F35517">
        <w:rPr>
          <w:rFonts w:ascii="Times New Roman" w:hAnsi="Times New Roman" w:cs="Times New Roman"/>
          <w:sz w:val="24"/>
          <w:szCs w:val="24"/>
        </w:rPr>
        <w:t>.</w:t>
      </w:r>
    </w:p>
    <w:p w:rsidRPr="000C01CA" w:rsidR="00916B85" w:rsidP="00102447" w:rsidRDefault="00916B85" w14:paraId="49B20293" w14:textId="37FC023A">
      <w:pPr>
        <w:spacing w:line="360" w:lineRule="auto"/>
        <w:jc w:val="both"/>
        <w:rPr>
          <w:rFonts w:ascii="Times New Roman" w:hAnsi="Times New Roman" w:cs="Times New Roman"/>
          <w:sz w:val="24"/>
          <w:szCs w:val="24"/>
        </w:rPr>
      </w:pPr>
      <w:r w:rsidRPr="43844335" w:rsidR="00916B85">
        <w:rPr>
          <w:rFonts w:ascii="Times New Roman" w:hAnsi="Times New Roman" w:cs="Times New Roman"/>
          <w:sz w:val="24"/>
          <w:szCs w:val="24"/>
        </w:rPr>
        <w:t>Dynamic solar monitoring systems allow shading to be modulated by adjusting the angle of incidence of light to meet the physiological needs of crops throughout the day or seasons [2</w:t>
      </w:r>
      <w:r w:rsidRPr="43844335" w:rsidR="009C0EB2">
        <w:rPr>
          <w:rFonts w:ascii="Times New Roman" w:hAnsi="Times New Roman" w:cs="Times New Roman"/>
          <w:sz w:val="24"/>
          <w:szCs w:val="24"/>
        </w:rPr>
        <w:t xml:space="preserve">, </w:t>
      </w:r>
      <w:r w:rsidRPr="43844335">
        <w:rPr>
          <w:rFonts w:ascii="Times New Roman" w:hAnsi="Times New Roman" w:cs="Times New Roman"/>
          <w:sz w:val="24"/>
          <w:szCs w:val="24"/>
        </w:rPr>
        <w:fldChar w:fldCharType="begin"/>
      </w:r>
      <w:r w:rsidRPr="43844335">
        <w:rPr>
          <w:rFonts w:ascii="Times New Roman" w:hAnsi="Times New Roman" w:cs="Times New Roman"/>
          <w:sz w:val="24"/>
          <w:szCs w:val="24"/>
        </w:rPr>
        <w:instrText xml:space="preserve"> ADDIN ZOTERO_ITEM CSL_CITATION {"citationID":"povijFIL","properties":{"formattedCitation":"[7], [10]","plainCitation":"[7], [10]","dontUpdate":true,"noteIndex":0},"citationItems":[{"id":20,"uris":["http://zotero.org/users/local/NWCAR5we/items/NHYQ9YAR"],"itemData":{"id":20,"type":"article-journal","abstract":"As more nations move towards net-zero emission goals by 2050, research into the coupling of photovoltaics (PV) and agriculture has increased into a new sector of agrivoltaics (AV). Measurement of the Land Equivalent Ratio (LER) has allowed researchers to develop methods for optimizing the agrivoltaic system. Studies on innovative engineering technologies related to photovoltaic tracking along with new generation PV cells were reviewed to determine the factors that inﬂuence optimization. This review also considered AV farm layouts and how different spacing, height, and density impact the shading under the panels. As panels block the light from hitting the plants, the photosynthetically active radiation (PAR) changes and alters plant growth. The shading, however, also creates micro-climates that have beneﬁcial qualities in terms of water usage and PV efﬁciency. The overall review investigated the research of the last ﬁve years into AV optimization and the implications for future AV developments.","container-title":"Challenges","DOI":"10.3390/challe13020043","ISSN":"2078-1547","issue":"2","journalAbbreviation":"Challenges","language":"en","page":"43","source":"DOI.org (Crossref)","title":"Agrivoltaic Engineering and Layout Optimization Approaches in the Transition to Renewable Energy Technologies: A Review","title-short":"Agrivoltaic Engineering and Layout Optimization Approaches in the Transition to Renewable Energy Technologies","volume":"13","author":[{"family":"Reasoner","given":"Meagan"},{"family":"Ghosh","given":"Aritra"}],"issued":{"date-parts":[["2022",9,1]]}}},{"id":"vtkp83Qn/pMlXGsmW","uris":["http://zotero.org/users/local/NWCAR5we/items/P8AZTFE7"],"itemData":{"id":18,"type":"document","title":"28"}}],"schema":"https://github.com/citation-style-language/schema/raw/master/csl-citation.json"} </w:instrText>
      </w:r>
      <w:r w:rsidRPr="43844335">
        <w:rPr>
          <w:rFonts w:ascii="Times New Roman" w:hAnsi="Times New Roman" w:cs="Times New Roman"/>
          <w:sz w:val="24"/>
          <w:szCs w:val="24"/>
        </w:rPr>
        <w:fldChar w:fldCharType="separate"/>
      </w:r>
      <w:r w:rsidRPr="43844335" w:rsidR="00066D86">
        <w:rPr>
          <w:rFonts w:ascii="Times New Roman" w:hAnsi="Times New Roman" w:cs="Times New Roman"/>
          <w:sz w:val="24"/>
          <w:szCs w:val="24"/>
        </w:rPr>
        <w:t>7</w:t>
      </w:r>
      <w:r w:rsidRPr="43844335" w:rsidR="009C0EB2">
        <w:rPr>
          <w:rFonts w:ascii="Times New Roman" w:hAnsi="Times New Roman" w:cs="Times New Roman"/>
          <w:sz w:val="24"/>
          <w:szCs w:val="24"/>
        </w:rPr>
        <w:t xml:space="preserve">, </w:t>
      </w:r>
      <w:r w:rsidRPr="43844335" w:rsidR="00066D86">
        <w:rPr>
          <w:rFonts w:ascii="Times New Roman" w:hAnsi="Times New Roman" w:cs="Times New Roman"/>
          <w:sz w:val="24"/>
          <w:szCs w:val="24"/>
        </w:rPr>
        <w:t>10]</w:t>
      </w:r>
      <w:r w:rsidRPr="43844335">
        <w:rPr>
          <w:rFonts w:ascii="Times New Roman" w:hAnsi="Times New Roman" w:cs="Times New Roman"/>
          <w:sz w:val="24"/>
          <w:szCs w:val="24"/>
        </w:rPr>
        <w:fldChar w:fldCharType="end"/>
      </w:r>
      <w:r w:rsidRPr="43844335" w:rsidR="00356C03">
        <w:rPr>
          <w:rFonts w:ascii="Times New Roman" w:hAnsi="Times New Roman" w:cs="Times New Roman"/>
          <w:sz w:val="24"/>
          <w:szCs w:val="24"/>
        </w:rPr>
        <w:t xml:space="preserve">. </w:t>
      </w:r>
      <w:r w:rsidRPr="43844335" w:rsidR="00916B85">
        <w:rPr>
          <w:rFonts w:ascii="Times New Roman" w:hAnsi="Times New Roman" w:cs="Times New Roman"/>
          <w:sz w:val="24"/>
          <w:szCs w:val="24"/>
        </w:rPr>
        <w:t xml:space="preserve">In addition to light control, AV systems also </w:t>
      </w:r>
      <w:r w:rsidRPr="43844335" w:rsidR="114E3C1A">
        <w:rPr>
          <w:rFonts w:ascii="Times New Roman" w:hAnsi="Times New Roman" w:cs="Times New Roman"/>
          <w:sz w:val="24"/>
          <w:szCs w:val="24"/>
        </w:rPr>
        <w:t>change</w:t>
      </w:r>
      <w:r w:rsidRPr="43844335" w:rsidR="00916B85">
        <w:rPr>
          <w:rFonts w:ascii="Times New Roman" w:hAnsi="Times New Roman" w:cs="Times New Roman"/>
          <w:sz w:val="24"/>
          <w:szCs w:val="24"/>
        </w:rPr>
        <w:t xml:space="preserve"> microclimatic conditions: </w:t>
      </w:r>
    </w:p>
    <w:p w:rsidRPr="000C01CA" w:rsidR="00F14CEB" w:rsidP="00102447" w:rsidRDefault="00916B85" w14:paraId="7D2B825E" w14:textId="77777777">
      <w:pPr>
        <w:pStyle w:val="ListParagraph"/>
        <w:numPr>
          <w:ilvl w:val="0"/>
          <w:numId w:val="19"/>
        </w:numPr>
        <w:spacing w:line="360" w:lineRule="auto"/>
        <w:jc w:val="both"/>
        <w:rPr>
          <w:rFonts w:ascii="Times New Roman" w:hAnsi="Times New Roman" w:cs="Times New Roman"/>
          <w:sz w:val="24"/>
          <w:szCs w:val="24"/>
        </w:rPr>
      </w:pPr>
      <w:r w:rsidRPr="000C01CA">
        <w:rPr>
          <w:rFonts w:ascii="Times New Roman" w:hAnsi="Times New Roman" w:cs="Times New Roman"/>
          <w:sz w:val="24"/>
          <w:szCs w:val="24"/>
        </w:rPr>
        <w:t xml:space="preserve">Decrease in soil temperature from -1.3°C to -2.3°C, </w:t>
      </w:r>
    </w:p>
    <w:p w:rsidRPr="000C01CA" w:rsidR="00F14CEB" w:rsidP="00102447" w:rsidRDefault="00916B85" w14:paraId="5AFFFBA4" w14:textId="77777777">
      <w:pPr>
        <w:pStyle w:val="ListParagraph"/>
        <w:numPr>
          <w:ilvl w:val="0"/>
          <w:numId w:val="19"/>
        </w:numPr>
        <w:spacing w:line="360" w:lineRule="auto"/>
        <w:jc w:val="both"/>
        <w:rPr>
          <w:rFonts w:ascii="Times New Roman" w:hAnsi="Times New Roman" w:cs="Times New Roman"/>
          <w:sz w:val="24"/>
          <w:szCs w:val="24"/>
        </w:rPr>
      </w:pPr>
      <w:r w:rsidRPr="000C01CA">
        <w:rPr>
          <w:rFonts w:ascii="Times New Roman" w:hAnsi="Times New Roman" w:cs="Times New Roman"/>
          <w:sz w:val="24"/>
          <w:szCs w:val="24"/>
        </w:rPr>
        <w:t xml:space="preserve">Slight increase in relative humidity (approximately +2%), </w:t>
      </w:r>
    </w:p>
    <w:p w:rsidRPr="000C01CA" w:rsidR="00A74C4F" w:rsidP="00102447" w:rsidRDefault="00916B85" w14:paraId="7F6569CB" w14:textId="34AE44E7">
      <w:pPr>
        <w:pStyle w:val="ListParagraph"/>
        <w:numPr>
          <w:ilvl w:val="0"/>
          <w:numId w:val="19"/>
        </w:numPr>
        <w:spacing w:line="360" w:lineRule="auto"/>
        <w:jc w:val="both"/>
        <w:rPr>
          <w:rFonts w:ascii="Times New Roman" w:hAnsi="Times New Roman" w:cs="Times New Roman"/>
          <w:sz w:val="24"/>
          <w:szCs w:val="24"/>
        </w:rPr>
      </w:pPr>
      <w:r w:rsidRPr="000C01CA">
        <w:rPr>
          <w:rFonts w:ascii="Times New Roman" w:hAnsi="Times New Roman" w:cs="Times New Roman"/>
          <w:sz w:val="24"/>
          <w:szCs w:val="24"/>
        </w:rPr>
        <w:t>Substantial reduction in irrigation requirements (16% to 21% depending on the study)</w:t>
      </w:r>
      <w:r w:rsidRPr="000C01CA" w:rsidR="00066D86">
        <w:rPr>
          <w:rFonts w:ascii="Times New Roman" w:hAnsi="Times New Roman" w:cs="Times New Roman"/>
          <w:sz w:val="24"/>
          <w:szCs w:val="24"/>
        </w:rPr>
        <w:t xml:space="preserve"> </w:t>
      </w:r>
      <w:r w:rsidRPr="000C01CA" w:rsidR="000703F4">
        <w:rPr>
          <w:rFonts w:ascii="Times New Roman" w:hAnsi="Times New Roman" w:cs="Times New Roman"/>
          <w:sz w:val="24"/>
          <w:szCs w:val="24"/>
        </w:rPr>
        <w:fldChar w:fldCharType="begin"/>
      </w:r>
      <w:r w:rsidRPr="000C01CA" w:rsidR="009C0EB2">
        <w:rPr>
          <w:rFonts w:ascii="Times New Roman" w:hAnsi="Times New Roman" w:cs="Times New Roman"/>
          <w:sz w:val="24"/>
          <w:szCs w:val="24"/>
        </w:rPr>
        <w:instrText xml:space="preserve"> ADDIN ZOTERO_ITEM CSL_CITATION {"citationID":"2u5OGEBK","properties":{"formattedCitation":"[8]","plainCitation":"[8]","dontUpdate":true,"noteIndex":0},"citationItems":[{"id":22,"uris":["http://zotero.org/users/local/NWCAR5we/items/RNLZ3A56"],"itemData":{"id":22,"type":"article-journal","abstract":"Agrivoltaics, a system combining the production of agricultural crops and solar energy on the same land area, offers a potential solution to land use competition between different sectors. However, concerns have been raised regarding the impact of shade on plant growth under Agrivoltaic Systems (AVSs). Numerous studies have explored the effects of AVSs shading on agricultural crops. However, most of these studies focused on shade-tolerant crops, leaving a gap in the understanding of how these systems affect shade-intolerant crops. To this end, this study was conducted in Bari, southern Italy, using two types of AVSs: conventional (Con) and semi-transparent (ST) panels. The objective was to assess the impacts of the different levels of shading on the tomato yield and fruit quality. Tomato cultivation occurred between May and August under various conditions: Con panels, ST panels, and Open Field. The results revealed that soil temperature decreased under both AVSs compared to in the open ﬁeld conditions. However, the signiﬁcant reduction in photosynthetically active radiation (PAR), up to 43% in ST and 67% in Con, led to yield reductions ranging between 28% and 58% in ST and Con, respectively. Nonetheless, AVSs demonstrated their potential to reduce irrigation water demand by over 15% in ST and more than 20% in Con. Interestingly, the AVSs reduced fruit size but improved certain fruit quality attributes, such as titratable acidity, which is closely correlated with fruit ﬂavour. These ﬁndings highlight the challenges of cultivating shadeintolerant crops under AVSs in a Mediterranean climate, while temperate, dry conditions may offer more favourable prospects for agricultural production.","container-title":"Processes","DOI":"10.3390/pr11123370","ISSN":"2227-9717","issue":"12","journalAbbreviation":"Processes","language":"en","page":"3370","source":"DOI.org (Crossref)","title":"The Impact of Agrivoltaic Systems on Tomato Crop: A Case Study in Southern Italy","title-short":"The Impact of Agrivoltaic Systems on Tomato Crop","volume":"11","author":[{"family":"Mohammedi","given":"Serine"},{"family":"Dragonetti","given":"Giovanna"},{"family":"Admane","given":"Naouel"},{"family":"Fouial","given":"Abdelouahid"}],"issued":{"date-parts":[["2023",12,4]]}}}],"schema":"https://github.com/citation-style-language/schema/raw/master/csl-citation.json"} </w:instrText>
      </w:r>
      <w:r w:rsidRPr="000C01CA" w:rsidR="000703F4">
        <w:rPr>
          <w:rFonts w:ascii="Times New Roman" w:hAnsi="Times New Roman" w:cs="Times New Roman"/>
          <w:sz w:val="24"/>
          <w:szCs w:val="24"/>
        </w:rPr>
        <w:fldChar w:fldCharType="separate"/>
      </w:r>
      <w:r w:rsidRPr="000C01CA" w:rsidR="000703F4">
        <w:rPr>
          <w:rFonts w:ascii="Times New Roman" w:hAnsi="Times New Roman" w:cs="Times New Roman"/>
          <w:sz w:val="24"/>
        </w:rPr>
        <w:t>[8</w:t>
      </w:r>
      <w:r w:rsidRPr="000C01CA" w:rsidR="009C0EB2">
        <w:rPr>
          <w:rFonts w:ascii="Times New Roman" w:hAnsi="Times New Roman" w:cs="Times New Roman"/>
          <w:sz w:val="24"/>
        </w:rPr>
        <w:t>,</w:t>
      </w:r>
      <w:r w:rsidRPr="000C01CA" w:rsidR="000703F4">
        <w:rPr>
          <w:rFonts w:ascii="Times New Roman" w:hAnsi="Times New Roman" w:cs="Times New Roman"/>
          <w:sz w:val="24"/>
          <w:szCs w:val="24"/>
        </w:rPr>
        <w:fldChar w:fldCharType="end"/>
      </w:r>
      <w:r w:rsidRPr="000C01CA" w:rsidR="00760351">
        <w:rPr>
          <w:rFonts w:ascii="Times New Roman" w:hAnsi="Times New Roman" w:cs="Times New Roman"/>
          <w:sz w:val="24"/>
          <w:szCs w:val="24"/>
        </w:rPr>
        <w:t xml:space="preserve"> </w:t>
      </w:r>
      <w:r w:rsidRPr="000C01CA" w:rsidR="000703F4">
        <w:rPr>
          <w:rFonts w:ascii="Times New Roman" w:hAnsi="Times New Roman" w:cs="Times New Roman"/>
          <w:sz w:val="24"/>
          <w:szCs w:val="24"/>
        </w:rPr>
        <w:fldChar w:fldCharType="begin"/>
      </w:r>
      <w:r w:rsidRPr="000C01CA" w:rsidR="009C0EB2">
        <w:rPr>
          <w:rFonts w:ascii="Times New Roman" w:hAnsi="Times New Roman" w:cs="Times New Roman"/>
          <w:sz w:val="24"/>
          <w:szCs w:val="24"/>
        </w:rPr>
        <w:instrText xml:space="preserve"> ADDIN ZOTERO_ITEM CSL_CITATION {"citationID":"kWGjvKY2","properties":{"formattedCitation":"[11]","plainCitation":"[11]","dontUpdate":true,"noteIndex":0},"citationItems":[{"id":50,"uris":["http://zotero.org/users/local/NWCAR5we/items/6JDDGFCG"],"itemData":{"id":50,"type":"article-journal","abstract":"Agrivoltaics (AV) is an emerging technology having symbiotic beneﬁts for food-energy-water needs of the growing world population and an inherent resilience against climate vulnerabilities. An AV system needs to balance the sunlight sharing between the solar panels and crops to maintain the desired food-energy yields, subject to appropriate constraints. Given the emerging diversity of monofacial and bifacial farms, the lack of a standardized crop-speciﬁc metric (to evaluate the efﬁcacy of the irradiance sharing) has made it difﬁcult to optimize/assess the performance of AV systems. Here, we introduce a new metric—light productivity factor (LPF)—that evaluates the effectiveness of irradiance sharing for a given crop type and photovoltaic (PV) array design. The metric allows us to identify optimal design parameters including the spatial PV array density, panel orientation, and single axis tracking schemes speciﬁc to the photosynthetically active radiation needs of the crop. By deﬁnition, LPF equals 1 for PV-only or crop-only systems. The AV systems enhances LPF between 1 and 2 depending on the shade sensitivity of the crop, PV array conﬁguration, and the season. While traditional ﬁxed-tilt systems increase LPF signiﬁcantly above 1, we ﬁnd LPF is maximized at 2 for shade-tolerant crops with a solar farm based on single axis sun tracking scheme. Among the ﬁxed tilt systems, east/west faced bifacial vertical solar farms is particularly promising because it produces smallest variability in the seasonal yield for shade sensitive crops, while providing LPF comparable to the standard N/S faced solar farms. Additional beneﬁts include reduced soiling and ease of movement of large-scale combine-harvester and other farming equipment.","container-title":"IEEE Journal of Photovoltaics","DOI":"10.1109/JPHOTOV.2021.3136158","ISSN":"2156-3381, 2156-3403","issue":"2","journalAbbreviation":"IEEE J. Photovoltaics","language":"en","license":"https://ieeexplore.ieee.org/Xplorehelp/downloads/license-information/IEEE.html","page":"572-580","source":"DOI.org (Crossref)","title":"Crop-Specific Optimization of Bifacial PV Arrays for Agrivoltaic Food-Energy Production: The Light-Productivity-Factor Approach","title-short":"Crop-Specific Optimization of Bifacial PV Arrays for Agrivoltaic Food-Energy Production","volume":"12","author":[{"family":"Riaz","given":"Muhammad Hussnain"},{"family":"Imran","given":"Hassan"},{"family":"Alam","given":"Habeel"},{"family":"Alam","given":"Muhammad Ashraful"},{"family":"Butt","given":"Nauman Zafar"}],"issued":{"date-parts":[["2022",3]]}}}],"schema":"https://github.com/citation-style-language/schema/raw/master/csl-citation.json"} </w:instrText>
      </w:r>
      <w:r w:rsidRPr="000C01CA" w:rsidR="000703F4">
        <w:rPr>
          <w:rFonts w:ascii="Times New Roman" w:hAnsi="Times New Roman" w:cs="Times New Roman"/>
          <w:sz w:val="24"/>
          <w:szCs w:val="24"/>
        </w:rPr>
        <w:fldChar w:fldCharType="separate"/>
      </w:r>
      <w:r w:rsidRPr="000C01CA" w:rsidR="000703F4">
        <w:rPr>
          <w:rFonts w:ascii="Times New Roman" w:hAnsi="Times New Roman" w:cs="Times New Roman"/>
          <w:sz w:val="24"/>
        </w:rPr>
        <w:t>11</w:t>
      </w:r>
      <w:r w:rsidRPr="000C01CA" w:rsidR="009C0EB2">
        <w:rPr>
          <w:rFonts w:ascii="Times New Roman" w:hAnsi="Times New Roman" w:cs="Times New Roman"/>
          <w:sz w:val="24"/>
        </w:rPr>
        <w:t>,</w:t>
      </w:r>
      <w:r w:rsidRPr="000C01CA" w:rsidR="000703F4">
        <w:rPr>
          <w:rFonts w:ascii="Times New Roman" w:hAnsi="Times New Roman" w:cs="Times New Roman"/>
          <w:sz w:val="24"/>
          <w:szCs w:val="24"/>
        </w:rPr>
        <w:fldChar w:fldCharType="end"/>
      </w:r>
      <w:r w:rsidRPr="000C01CA">
        <w:rPr>
          <w:rFonts w:ascii="Times New Roman" w:hAnsi="Times New Roman" w:cs="Times New Roman"/>
          <w:sz w:val="24"/>
          <w:szCs w:val="24"/>
        </w:rPr>
        <w:t xml:space="preserve"> </w:t>
      </w:r>
      <w:r w:rsidRPr="000C01CA" w:rsidR="000703F4">
        <w:rPr>
          <w:rFonts w:ascii="Times New Roman" w:hAnsi="Times New Roman" w:cs="Times New Roman"/>
          <w:sz w:val="24"/>
          <w:szCs w:val="24"/>
        </w:rPr>
        <w:fldChar w:fldCharType="begin"/>
      </w:r>
      <w:r w:rsidRPr="000C01CA" w:rsidR="009C0EB2">
        <w:rPr>
          <w:rFonts w:ascii="Times New Roman" w:hAnsi="Times New Roman" w:cs="Times New Roman"/>
          <w:sz w:val="24"/>
          <w:szCs w:val="24"/>
        </w:rPr>
        <w:instrText xml:space="preserve"> ADDIN ZOTERO_ITEM CSL_CITATION {"citationID":"mUgxFd2P","properties":{"formattedCitation":"[19]","plainCitation":"[19]","dontUpdate":true,"noteIndex":0},"citationItems":[{"id":25,"uris":["http://zotero.org/users/local/NWCAR5we/items/U24WANWU"],"itemData":{"id":25,"type":"article-journal","abstract":"Recognizing the growing interest in the application of organic photovoltaics (OPVs) with greenhouse crop production systems, in this study we used ﬂexible, roll-to-roll printed, semitransparent OPV arrays as a roof shade for a greenhouse hydroponic tomato production system during a spring and summer production season in the arid southwestern U.S. The wavelength-selective OPV arrays were installed in a contiguous area on a section of the greenhouse roof, decreasing the transmittance of all solar radiation wavelengths and photosynthetically active radiation (PAR) wavelengths (400–700 nm) to the OPV-shaded area by approximately 40% and 37%, respectively. Microclimate conditions and tomato crop growth and yield parameters were measured in both the OPV-shaded (‘OPV’) and non-OPV-shaded (‘Control’) sections of the greenhouse. The OPV shade stabilized the canopy temperature during midday periods with the highest solar radiation intensities, performing the function of a conventional shading method. Although delayed fruit development and ripening in the OPV section resulted in lower total yields compared to the Control section (24.6 kg m−2 and 27.7 kg m−2, respectively), after the fourth (of 10 total) harvests, the average weekly yield, fruit number, and fruit mass were not signiﬁcantly different between the treatment (OPV-shaded) and control group. Light use efﬁciency (LUE), deﬁned as the ratio of total fruit yield to accumulated PAR received by the plant canopy, was nearly twice as high as the Control section, with 21.4 g of fruit per mole of PAR for plants in the OPV-covered section compared to 10.1 g in the Control section. Overall, this study demonstrated that the use of semi-transparent OPVs as a seasonal shade element for greenhouse production in a high-light region is feasible. However, a higher transmission of PAR and greater OPV device efﬁciency and durability could make OPV shades more economically viable, providing a desirable solution for co-located greenhouse crop production and renewable energy generation in hot and high-light intensity regions.","container-title":"Agronomy","DOI":"10.3390/agronomy11061152","ISSN":"2073-4395","issue":"6","journalAbbreviation":"Agronomy","language":"en","page":"1152","source":"DOI.org (Crossref)","title":"Semi-Transparent Organic Photovoltaics Applied as Greenhouse Shade for Spring and Summer Tomato Production in Arid Climate","volume":"11","author":[{"family":"Waller","given":"Rebekah"},{"family":"Kacira","given":"Murat"},{"family":"Magadley","given":"Esther"},{"family":"Teitel","given":"Meir"},{"family":"Yehia","given":"Ibrahim"}],"issued":{"date-parts":[["2021",6,4]]}}}],"schema":"https://github.com/citation-style-language/schema/raw/master/csl-citation.json"} </w:instrText>
      </w:r>
      <w:r w:rsidRPr="000C01CA" w:rsidR="000703F4">
        <w:rPr>
          <w:rFonts w:ascii="Times New Roman" w:hAnsi="Times New Roman" w:cs="Times New Roman"/>
          <w:sz w:val="24"/>
          <w:szCs w:val="24"/>
        </w:rPr>
        <w:fldChar w:fldCharType="separate"/>
      </w:r>
      <w:r w:rsidRPr="000C01CA" w:rsidR="000703F4">
        <w:rPr>
          <w:rFonts w:ascii="Times New Roman" w:hAnsi="Times New Roman" w:cs="Times New Roman"/>
          <w:sz w:val="24"/>
        </w:rPr>
        <w:t>19]</w:t>
      </w:r>
      <w:r w:rsidRPr="000C01CA" w:rsidR="000703F4">
        <w:rPr>
          <w:rFonts w:ascii="Times New Roman" w:hAnsi="Times New Roman" w:cs="Times New Roman"/>
          <w:sz w:val="24"/>
          <w:szCs w:val="24"/>
        </w:rPr>
        <w:fldChar w:fldCharType="end"/>
      </w:r>
      <w:r w:rsidRPr="000C01CA" w:rsidR="00356C03">
        <w:rPr>
          <w:rFonts w:ascii="Times New Roman" w:hAnsi="Times New Roman" w:cs="Times New Roman"/>
          <w:sz w:val="24"/>
          <w:szCs w:val="24"/>
        </w:rPr>
        <w:t>.</w:t>
      </w:r>
    </w:p>
    <w:p w:rsidRPr="000C01CA" w:rsidR="00DD4C94" w:rsidP="00102447" w:rsidRDefault="00DD4C94" w14:paraId="180B050B" w14:textId="77777777">
      <w:pPr>
        <w:spacing w:line="360" w:lineRule="auto"/>
        <w:jc w:val="both"/>
        <w:rPr>
          <w:rFonts w:ascii="Times New Roman" w:hAnsi="Times New Roman" w:cs="Times New Roman"/>
          <w:sz w:val="24"/>
          <w:szCs w:val="24"/>
        </w:rPr>
      </w:pPr>
    </w:p>
    <w:p w:rsidRPr="000C01CA" w:rsidR="00DD4C94" w:rsidP="00102447" w:rsidRDefault="00DD4C94" w14:paraId="2F52D289" w14:textId="77777777">
      <w:pPr>
        <w:spacing w:line="360" w:lineRule="auto"/>
        <w:jc w:val="both"/>
        <w:rPr>
          <w:rFonts w:ascii="Times New Roman" w:hAnsi="Times New Roman" w:cs="Times New Roman"/>
          <w:sz w:val="24"/>
          <w:szCs w:val="24"/>
        </w:rPr>
      </w:pPr>
      <w:r w:rsidRPr="000C01CA">
        <w:rPr>
          <w:rFonts w:ascii="Times New Roman" w:hAnsi="Times New Roman" w:cs="Times New Roman"/>
          <w:noProof/>
          <w:sz w:val="24"/>
          <w:szCs w:val="24"/>
          <w:lang w:val="fr-FR" w:eastAsia="fr-FR"/>
        </w:rPr>
        <w:drawing>
          <wp:inline distT="0" distB="0" distL="0" distR="0" wp14:anchorId="04DC2EAC" wp14:editId="59BA27BE">
            <wp:extent cx="5760720" cy="270637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emini_Generated_Image_1yixj61yixj61yix.png"/>
                    <pic:cNvPicPr/>
                  </pic:nvPicPr>
                  <pic:blipFill rotWithShape="1">
                    <a:blip r:embed="rId10" cstate="print">
                      <a:extLst>
                        <a:ext uri="{28A0092B-C50C-407E-A947-70E740481C1C}">
                          <a14:useLocalDpi xmlns:a14="http://schemas.microsoft.com/office/drawing/2010/main" val="0"/>
                        </a:ext>
                      </a:extLst>
                    </a:blip>
                    <a:srcRect t="10122"/>
                    <a:stretch/>
                  </pic:blipFill>
                  <pic:spPr bwMode="auto">
                    <a:xfrm>
                      <a:off x="0" y="0"/>
                      <a:ext cx="5760720" cy="2706370"/>
                    </a:xfrm>
                    <a:prstGeom prst="rect">
                      <a:avLst/>
                    </a:prstGeom>
                    <a:ln>
                      <a:noFill/>
                    </a:ln>
                    <a:extLst>
                      <a:ext uri="{53640926-AAD7-44D8-BBD7-CCE9431645EC}">
                        <a14:shadowObscured xmlns:a14="http://schemas.microsoft.com/office/drawing/2010/main"/>
                      </a:ext>
                    </a:extLst>
                  </pic:spPr>
                </pic:pic>
              </a:graphicData>
            </a:graphic>
          </wp:inline>
        </w:drawing>
      </w:r>
    </w:p>
    <w:p w:rsidRPr="000C01CA" w:rsidR="00DD4C94" w:rsidP="00102447" w:rsidRDefault="00DD4C94" w14:paraId="17639B5A" w14:textId="540E1F3B">
      <w:pPr>
        <w:spacing w:line="360" w:lineRule="auto"/>
        <w:jc w:val="both"/>
        <w:rPr>
          <w:rFonts w:ascii="Times New Roman" w:hAnsi="Times New Roman" w:cs="Times New Roman"/>
          <w:sz w:val="24"/>
          <w:szCs w:val="24"/>
        </w:rPr>
      </w:pPr>
      <w:r w:rsidRPr="000C01CA">
        <w:rPr>
          <w:rFonts w:ascii="Times New Roman" w:hAnsi="Times New Roman" w:cs="Times New Roman"/>
          <w:sz w:val="24"/>
          <w:szCs w:val="24"/>
        </w:rPr>
        <w:t xml:space="preserve">Figure </w:t>
      </w:r>
      <w:r w:rsidRPr="000C01CA">
        <w:rPr>
          <w:rFonts w:ascii="Times New Roman" w:hAnsi="Times New Roman" w:cs="Times New Roman"/>
          <w:sz w:val="24"/>
          <w:szCs w:val="24"/>
        </w:rPr>
        <w:fldChar w:fldCharType="begin"/>
      </w:r>
      <w:r w:rsidRPr="000C01CA">
        <w:rPr>
          <w:rFonts w:ascii="Times New Roman" w:hAnsi="Times New Roman" w:cs="Times New Roman"/>
          <w:sz w:val="24"/>
          <w:szCs w:val="24"/>
        </w:rPr>
        <w:instrText xml:space="preserve"> SEQ Figure \* ARABIC </w:instrText>
      </w:r>
      <w:r w:rsidRPr="000C01CA">
        <w:rPr>
          <w:rFonts w:ascii="Times New Roman" w:hAnsi="Times New Roman" w:cs="Times New Roman"/>
          <w:sz w:val="24"/>
          <w:szCs w:val="24"/>
        </w:rPr>
        <w:fldChar w:fldCharType="separate"/>
      </w:r>
      <w:r w:rsidR="002E72EE">
        <w:rPr>
          <w:rFonts w:ascii="Times New Roman" w:hAnsi="Times New Roman" w:cs="Times New Roman"/>
          <w:noProof/>
          <w:sz w:val="24"/>
          <w:szCs w:val="24"/>
        </w:rPr>
        <w:t>3</w:t>
      </w:r>
      <w:r w:rsidRPr="000C01CA">
        <w:rPr>
          <w:rFonts w:ascii="Times New Roman" w:hAnsi="Times New Roman" w:cs="Times New Roman"/>
          <w:sz w:val="24"/>
          <w:szCs w:val="24"/>
        </w:rPr>
        <w:fldChar w:fldCharType="end"/>
      </w:r>
      <w:r w:rsidRPr="000C01CA">
        <w:rPr>
          <w:rFonts w:ascii="Times New Roman" w:hAnsi="Times New Roman" w:cs="Times New Roman"/>
          <w:sz w:val="24"/>
          <w:szCs w:val="24"/>
        </w:rPr>
        <w:t xml:space="preserve"> : Microclimate modification induced by agrivoltaic systems compared to open-field cultivation.</w:t>
      </w:r>
    </w:p>
    <w:p w:rsidRPr="000C01CA" w:rsidR="00CC678E" w:rsidP="00102447" w:rsidRDefault="00CC678E" w14:paraId="7098901F" w14:textId="3D90EF12">
      <w:pPr>
        <w:spacing w:line="360" w:lineRule="auto"/>
        <w:jc w:val="both"/>
        <w:rPr>
          <w:rFonts w:ascii="Times New Roman" w:hAnsi="Times New Roman" w:cs="Times New Roman"/>
          <w:sz w:val="24"/>
          <w:szCs w:val="24"/>
        </w:rPr>
      </w:pPr>
      <w:r w:rsidRPr="43844335" w:rsidR="00CC678E">
        <w:rPr>
          <w:rFonts w:ascii="Times New Roman" w:hAnsi="Times New Roman" w:cs="Times New Roman"/>
          <w:sz w:val="24"/>
          <w:szCs w:val="24"/>
        </w:rPr>
        <w:t xml:space="preserve">These shifts in the microclimate </w:t>
      </w:r>
      <w:r w:rsidRPr="43844335" w:rsidR="2001E52E">
        <w:rPr>
          <w:rFonts w:ascii="Times New Roman" w:hAnsi="Times New Roman" w:cs="Times New Roman"/>
          <w:sz w:val="24"/>
          <w:szCs w:val="24"/>
        </w:rPr>
        <w:t>lead</w:t>
      </w:r>
      <w:r w:rsidRPr="43844335" w:rsidR="00CC678E">
        <w:rPr>
          <w:rFonts w:ascii="Times New Roman" w:hAnsi="Times New Roman" w:cs="Times New Roman"/>
          <w:sz w:val="24"/>
          <w:szCs w:val="24"/>
        </w:rPr>
        <w:t xml:space="preserve"> to better water efficiency and less heat stress for </w:t>
      </w:r>
      <w:r w:rsidRPr="43844335" w:rsidR="47DC1A7A">
        <w:rPr>
          <w:rFonts w:ascii="Times New Roman" w:hAnsi="Times New Roman" w:cs="Times New Roman"/>
          <w:sz w:val="24"/>
          <w:szCs w:val="24"/>
        </w:rPr>
        <w:t>plants</w:t>
      </w:r>
      <w:r w:rsidRPr="43844335" w:rsidR="00CC678E">
        <w:rPr>
          <w:rFonts w:ascii="Times New Roman" w:hAnsi="Times New Roman" w:cs="Times New Roman"/>
          <w:sz w:val="24"/>
          <w:szCs w:val="24"/>
        </w:rPr>
        <w:t>. In many instances, crop yields hold steady or even improve, even if there is a slight dip in the reversible active water (RAW).</w:t>
      </w:r>
    </w:p>
    <w:p w:rsidRPr="000C01CA" w:rsidR="00916B85" w:rsidP="00102447" w:rsidRDefault="00916B85" w14:paraId="27DDED60" w14:textId="77777777">
      <w:pPr>
        <w:spacing w:line="360" w:lineRule="auto"/>
        <w:jc w:val="both"/>
        <w:rPr>
          <w:rFonts w:ascii="Times New Roman" w:hAnsi="Times New Roman" w:cs="Times New Roman"/>
          <w:b/>
          <w:sz w:val="24"/>
          <w:szCs w:val="24"/>
        </w:rPr>
      </w:pPr>
      <w:r w:rsidRPr="000C01CA">
        <w:rPr>
          <w:rFonts w:ascii="Times New Roman" w:hAnsi="Times New Roman" w:cs="Times New Roman"/>
          <w:b/>
          <w:sz w:val="24"/>
          <w:szCs w:val="24"/>
        </w:rPr>
        <w:t xml:space="preserve">III. Anaerobic Digestion (AD) </w:t>
      </w:r>
    </w:p>
    <w:p w:rsidRPr="000C01CA" w:rsidR="00CD530B" w:rsidP="00102447" w:rsidRDefault="000611A8" w14:paraId="07E835F3" w14:textId="38284731">
      <w:pPr>
        <w:spacing w:line="360" w:lineRule="auto"/>
        <w:ind w:firstLine="720"/>
        <w:jc w:val="both"/>
        <w:rPr>
          <w:rFonts w:ascii="Times New Roman" w:hAnsi="Times New Roman" w:cs="Times New Roman"/>
          <w:sz w:val="24"/>
          <w:szCs w:val="24"/>
        </w:rPr>
      </w:pPr>
      <w:r w:rsidRPr="000C01CA">
        <w:rPr>
          <w:rFonts w:ascii="Times New Roman" w:hAnsi="Times New Roman" w:cs="Times New Roman"/>
          <w:sz w:val="24"/>
          <w:szCs w:val="24"/>
        </w:rPr>
        <w:t>Anaerobic digestion serves as a critical platform for resource valorization and energy dispatchability within an integrated agro-energy system. In practice, AD converts agricultural residues and livestock waste into a storable energy source (biogas) and digestate, a valuable amendment for the crops</w:t>
      </w:r>
      <w:r w:rsidRPr="000C01CA" w:rsidR="00E832A3">
        <w:rPr>
          <w:rFonts w:ascii="Times New Roman" w:hAnsi="Times New Roman" w:cs="Times New Roman"/>
          <w:sz w:val="24"/>
          <w:szCs w:val="24"/>
        </w:rPr>
        <w:t xml:space="preserve"> </w:t>
      </w:r>
      <w:r w:rsidRPr="000C01CA" w:rsidR="000703F4">
        <w:rPr>
          <w:rFonts w:ascii="Times New Roman" w:hAnsi="Times New Roman" w:cs="Times New Roman"/>
          <w:sz w:val="24"/>
          <w:szCs w:val="24"/>
        </w:rPr>
        <w:fldChar w:fldCharType="begin"/>
      </w:r>
      <w:r w:rsidRPr="000C01CA" w:rsidR="000703F4">
        <w:rPr>
          <w:rFonts w:ascii="Times New Roman" w:hAnsi="Times New Roman" w:cs="Times New Roman"/>
          <w:sz w:val="24"/>
          <w:szCs w:val="24"/>
        </w:rPr>
        <w:instrText xml:space="preserve"> ADDIN ZOTERO_ITEM CSL_CITATION {"citationID":"bvistMKs","properties":{"formattedCitation":"[20]","plainCitation":"[20]","noteIndex":0},"citationItems":[{"id":36,"uris":["http://zotero.org/users/local/NWCAR5we/items/IQKRPGUY"],"itemData":{"id":36,"type":"article-journal","language":"en","source":"Zotero","title":"Oklahoma Cooperative Extension Service","author":[{"family":"Hamilton","given":"Douglas W"}]}}],"schema":"https://github.com/citation-style-language/schema/raw/master/csl-citation.json"} </w:instrText>
      </w:r>
      <w:r w:rsidRPr="000C01CA" w:rsidR="000703F4">
        <w:rPr>
          <w:rFonts w:ascii="Times New Roman" w:hAnsi="Times New Roman" w:cs="Times New Roman"/>
          <w:sz w:val="24"/>
          <w:szCs w:val="24"/>
        </w:rPr>
        <w:fldChar w:fldCharType="separate"/>
      </w:r>
      <w:r w:rsidRPr="000C01CA" w:rsidR="000703F4">
        <w:rPr>
          <w:rFonts w:ascii="Times New Roman" w:hAnsi="Times New Roman" w:cs="Times New Roman"/>
          <w:sz w:val="24"/>
        </w:rPr>
        <w:t>[20]</w:t>
      </w:r>
      <w:r w:rsidRPr="000C01CA" w:rsidR="000703F4">
        <w:rPr>
          <w:rFonts w:ascii="Times New Roman" w:hAnsi="Times New Roman" w:cs="Times New Roman"/>
          <w:sz w:val="24"/>
          <w:szCs w:val="24"/>
        </w:rPr>
        <w:fldChar w:fldCharType="end"/>
      </w:r>
      <w:r w:rsidRPr="000C01CA" w:rsidR="00476904">
        <w:rPr>
          <w:rFonts w:ascii="Times New Roman" w:hAnsi="Times New Roman" w:cs="Times New Roman"/>
          <w:sz w:val="24"/>
          <w:szCs w:val="24"/>
        </w:rPr>
        <w:t xml:space="preserve">. </w:t>
      </w:r>
      <w:r w:rsidRPr="000C01CA" w:rsidR="0015574E">
        <w:rPr>
          <w:rFonts w:ascii="Times New Roman" w:hAnsi="Times New Roman" w:cs="Times New Roman"/>
          <w:sz w:val="24"/>
          <w:szCs w:val="24"/>
        </w:rPr>
        <w:t>The functional integration of AD with Agrivoltaics (AV) is driven by a natural synergy: while AD closes the nutrient loop, AV provides the energetic and spatial stability required to opti</w:t>
      </w:r>
      <w:r w:rsidRPr="000C01CA" w:rsidR="00B47EA4">
        <w:rPr>
          <w:rFonts w:ascii="Times New Roman" w:hAnsi="Times New Roman" w:cs="Times New Roman"/>
          <w:sz w:val="24"/>
          <w:szCs w:val="24"/>
        </w:rPr>
        <w:t xml:space="preserve">mize the digestion process </w:t>
      </w:r>
      <w:r w:rsidRPr="000C01CA" w:rsidR="000703F4">
        <w:rPr>
          <w:rFonts w:ascii="Times New Roman" w:hAnsi="Times New Roman" w:cs="Times New Roman"/>
          <w:sz w:val="24"/>
          <w:szCs w:val="24"/>
        </w:rPr>
        <w:fldChar w:fldCharType="begin"/>
      </w:r>
      <w:r w:rsidRPr="000C01CA" w:rsidR="000703F4">
        <w:rPr>
          <w:rFonts w:ascii="Times New Roman" w:hAnsi="Times New Roman" w:cs="Times New Roman"/>
          <w:sz w:val="24"/>
          <w:szCs w:val="24"/>
        </w:rPr>
        <w:instrText xml:space="preserve"> ADDIN ZOTERO_ITEM CSL_CITATION {"citationID":"gpBkSdQN","properties":{"formattedCitation":"[15]","plainCitation":"[15]","noteIndex":0},"citationItems":[{"id":42,"uris":["http://zotero.org/users/local/NWCAR5we/items/NETHYINB"],"itemData":{"id":42,"type":"article-journal","abstract":"This study addresses the issue of fluctuating output in cow dung-based biogas (BG) production due to temperature dependence. A thermal model is proposed and implemented in an area with abandoned BG resources, utilizing typical meteorological year (TMY) data. The model aims for constant BG output by maintaining digester temperature at 39 ◦C throughout the year. It is found that integrating heating with a 3100 CUM cow dung-based biogas digester (BD) increase the energy production capacity from 2.25 GWh/year to 3 GWh/year. Subsequently, three different cases are studied: standalone PV, PV-BG system, and PV-BG system with the heating arrangement, and they are scheduled using the area’s TMY data, according to a strategy that can fulfil highly dynamic load curves with 690 kW peak and 264 kW average demand, as reported by the Government of India, with zero loss of power supply probability (LPSP). In the proposed case, the integration of heating reduced the PV and energy storage system (ESS) sizes by 65 % and 52 %, respectively. The current system imposes a COE of INR 2.1/kWh, which is 70 % cheap than grid electricity in the surrounding areas, with the help of proper resource estimation utilizing TMY data, integration of heating, and compressed biogas (CBG) production with energy.","container-title":"Energy","DOI":"10.1016/j.energy.2023.129671","ISSN":"03605442","journalAbbreviation":"Energy","language":"en","page":"129671","source":"DOI.org (Crossref)","title":"Design and techno-economic analysis of an off-grid integrated PV-biogas system with a constant temperature digester for a cost-effective rural application","volume":"287","author":[{"family":"Pal","given":"Ankit"},{"family":"Ilango","given":"G. Saravana"}],"issued":{"date-parts":[["2024",1]]}}}],"schema":"https://github.com/citation-style-language/schema/raw/master/csl-citation.json"} </w:instrText>
      </w:r>
      <w:r w:rsidRPr="000C01CA" w:rsidR="000703F4">
        <w:rPr>
          <w:rFonts w:ascii="Times New Roman" w:hAnsi="Times New Roman" w:cs="Times New Roman"/>
          <w:sz w:val="24"/>
          <w:szCs w:val="24"/>
        </w:rPr>
        <w:fldChar w:fldCharType="separate"/>
      </w:r>
      <w:r w:rsidRPr="000C01CA" w:rsidR="000703F4">
        <w:rPr>
          <w:rFonts w:ascii="Times New Roman" w:hAnsi="Times New Roman" w:cs="Times New Roman"/>
          <w:sz w:val="24"/>
        </w:rPr>
        <w:t>[15]</w:t>
      </w:r>
      <w:r w:rsidRPr="000C01CA" w:rsidR="000703F4">
        <w:rPr>
          <w:rFonts w:ascii="Times New Roman" w:hAnsi="Times New Roman" w:cs="Times New Roman"/>
          <w:sz w:val="24"/>
          <w:szCs w:val="24"/>
        </w:rPr>
        <w:fldChar w:fldCharType="end"/>
      </w:r>
      <w:r w:rsidRPr="000C01CA" w:rsidR="00476904">
        <w:rPr>
          <w:rFonts w:ascii="Times New Roman" w:hAnsi="Times New Roman" w:cs="Times New Roman"/>
          <w:sz w:val="24"/>
          <w:szCs w:val="24"/>
        </w:rPr>
        <w:t>.</w:t>
      </w:r>
    </w:p>
    <w:p w:rsidRPr="000C01CA" w:rsidR="00473BC6" w:rsidP="00102447" w:rsidRDefault="00473BC6" w14:paraId="726A55FC" w14:textId="77777777">
      <w:pPr>
        <w:spacing w:line="360" w:lineRule="auto"/>
        <w:jc w:val="both"/>
        <w:rPr>
          <w:rFonts w:ascii="Times New Roman" w:hAnsi="Times New Roman" w:cs="Times New Roman"/>
          <w:b/>
          <w:sz w:val="24"/>
          <w:szCs w:val="24"/>
        </w:rPr>
      </w:pPr>
      <w:r w:rsidRPr="000C01CA">
        <w:rPr>
          <w:rFonts w:ascii="Times New Roman" w:hAnsi="Times New Roman" w:cs="Times New Roman"/>
          <w:b/>
          <w:sz w:val="24"/>
          <w:szCs w:val="24"/>
        </w:rPr>
        <w:t>III.1. Thermal Stabilization and Energy Dispatchability</w:t>
      </w:r>
    </w:p>
    <w:p w:rsidRPr="000C01CA" w:rsidR="00473BC6" w:rsidP="00102447" w:rsidRDefault="00473BC6" w14:paraId="747192EA" w14:textId="2A4DE704">
      <w:pPr>
        <w:spacing w:line="360" w:lineRule="auto"/>
        <w:ind w:firstLine="720"/>
        <w:jc w:val="both"/>
        <w:rPr>
          <w:rFonts w:ascii="Times New Roman" w:hAnsi="Times New Roman" w:cs="Times New Roman"/>
          <w:sz w:val="24"/>
          <w:szCs w:val="24"/>
        </w:rPr>
      </w:pPr>
      <w:r w:rsidRPr="43844335" w:rsidR="00473BC6">
        <w:rPr>
          <w:rFonts w:ascii="Times New Roman" w:hAnsi="Times New Roman" w:cs="Times New Roman"/>
          <w:sz w:val="24"/>
          <w:szCs w:val="24"/>
        </w:rPr>
        <w:t xml:space="preserve">The primary function of AD in a hybrid system is to transform intermittent solar energy into reliable, 24/7 baseload power </w:t>
      </w:r>
      <w:r w:rsidRPr="43844335">
        <w:rPr>
          <w:rFonts w:ascii="Times New Roman" w:hAnsi="Times New Roman" w:cs="Times New Roman"/>
          <w:sz w:val="24"/>
          <w:szCs w:val="24"/>
        </w:rPr>
        <w:fldChar w:fldCharType="begin"/>
      </w:r>
      <w:r w:rsidRPr="43844335">
        <w:rPr>
          <w:rFonts w:ascii="Times New Roman" w:hAnsi="Times New Roman" w:cs="Times New Roman"/>
          <w:sz w:val="24"/>
          <w:szCs w:val="24"/>
        </w:rPr>
        <w:instrText xml:space="preserve"> ADDIN ZOTERO_ITEM CSL_CITATION {"citationID":"NCWgmM2L","properties":{"formattedCitation":"[15], [21]","plainCitation":"[15], [21]","dontUpdate":true,"noteIndex":0},"citationItems":[{"id":42,"uris":["http://zotero.org/users/local/NWCAR5we/items/NETHYINB"],"itemData":{"id":42,"type":"article-journal","abstract":"This study addresses the issue of fluctuating output in cow dung-based biogas (BG) production due to temperature dependence. A thermal model is proposed and implemented in an area with abandoned BG resources, utilizing typical meteorological year (TMY) data. The model aims for constant BG output by maintaining digester temperature at 39 ◦C throughout the year. It is found that integrating heating with a 3100 CUM cow dung-based biogas digester (BD) increase the energy production capacity from 2.25 GWh/year to 3 GWh/year. Subsequently, three different cases are studied: standalone PV, PV-BG system, and PV-BG system with the heating arrangement, and they are scheduled using the area’s TMY data, according to a strategy that can fulfil highly dynamic load curves with 690 kW peak and 264 kW average demand, as reported by the Government of India, with zero loss of power supply probability (LPSP). In the proposed case, the integration of heating reduced the PV and energy storage system (ESS) sizes by 65 % and 52 %, respectively. The current system imposes a COE of INR 2.1/kWh, which is 70 % cheap than grid electricity in the surrounding areas, with the help of proper resource estimation utilizing TMY data, integration of heating, and compressed biogas (CBG) production with energy.","container-title":"Energy","DOI":"10.1016/j.energy.2023.129671","ISSN":"03605442","journalAbbreviation":"Energy","language":"en","page":"129671","source":"DOI.org (Crossref)","title":"Design and techno-economic analysis of an off-grid integrated PV-biogas system with a constant temperature digester for a cost-effective rural application","volume":"287","author":[{"family":"Pal","given":"Ankit"},{"family":"Ilango","given":"G. Saravana"}],"issued":{"date-parts":[["2024",1]]}}},{"id":31,"uris":["http://zotero.org/users/local/NWCAR5we/items/E2JHSKFU"],"itemData":{"id":31,"type":"article-journal","abstract":"This paper aims to investigate a hybrid photovoltaic (PV) biogas on-grid energy system in Al-Ghabawi territory, Amman, Jordan. The system is accomplished by assessing the system’s reliability and economic viability. Realistic hourly measurements of solar irradiance, ambient temperature, municipal solid waste, and load demand in 2020 were obtained from Jordanian governmental entities. This helps in investigating the proposed system on a real megawatt-scale retroﬁtting power system. Three case scenarios were performed: loss of power supply probability (LPSP) with total net present cost (TNPC), LPSP with an annualized cost of the system (ACS), and TNPC with the index of reliability (IR). Pareto frontiers were obtained using multi-objective feasibility enhanced particle swarm optimization (MOFEPSO) algorithm. The system’s decision variables were the number of PV panels (Npv) and the number of biogas plant working hours per day (tbiogas). Moreover, three non-dominant Pareto frontier solutions are discussed, including reliable, affordable, and best solutions obtained by fuzzy logic. Double-diode (DD) solar PV model was implemented to obtain an accurate sizing of the proposed system. For instance, the best solution of the third case is held at TNPC of 64.504 million USD/yr and IR of 96.048%. These ﬁndings were revealed at 33,459 panels and 12.498 h/day. Further, system emissions for each scenario have been tested. Finally, decision makers are invited to adopt to the ﬁndings and energy management strategy of this paper to ﬁnd reliable and cost-effective best solutions.","container-title":"Sustainability","DOI":"10.3390/su14020685","ISSN":"2071-1050","issue":"2","journalAbbreviation":"Sustainability","language":"en","page":"685","source":"DOI.org (Crossref)","title":"Optimal Allocation of a Hybrid Photovoltaic Biogas Energy System Using Multi-Objective Feasibility Enhanced Particle Swarm Algorithm","volume":"14","author":[{"family":"Al-Masri","given":"Hussein M. K."},{"family":"Al-Sharqi","given":"Abed A."},{"family":"Magableh","given":"Sharaf K."},{"family":"Al-Shetwi","given":"Ali Q."},{"family":"Abdolrasol","given":"Maher G. M."},{"family":"Ustun","given":"Taha Selim"}],"issued":{"date-parts":[["2022",1,9]]}}}],"schema":"https://github.com/citation-style-language/schema/raw/master/csl-citation.json"} </w:instrText>
      </w:r>
      <w:r w:rsidRPr="43844335">
        <w:rPr>
          <w:rFonts w:ascii="Times New Roman" w:hAnsi="Times New Roman" w:cs="Times New Roman"/>
          <w:sz w:val="24"/>
          <w:szCs w:val="24"/>
        </w:rPr>
        <w:fldChar w:fldCharType="separate"/>
      </w:r>
      <w:r w:rsidRPr="43844335" w:rsidR="000703F4">
        <w:rPr>
          <w:rFonts w:ascii="Times New Roman" w:hAnsi="Times New Roman" w:cs="Times New Roman"/>
          <w:sz w:val="24"/>
          <w:szCs w:val="24"/>
        </w:rPr>
        <w:t>[15, 21]</w:t>
      </w:r>
      <w:r w:rsidRPr="43844335">
        <w:rPr>
          <w:rFonts w:ascii="Times New Roman" w:hAnsi="Times New Roman" w:cs="Times New Roman"/>
          <w:sz w:val="24"/>
          <w:szCs w:val="24"/>
        </w:rPr>
        <w:fldChar w:fldCharType="end"/>
      </w:r>
      <w:r w:rsidRPr="43844335" w:rsidR="00473BC6">
        <w:rPr>
          <w:rFonts w:ascii="Times New Roman" w:hAnsi="Times New Roman" w:cs="Times New Roman"/>
          <w:sz w:val="24"/>
          <w:szCs w:val="24"/>
        </w:rPr>
        <w:t xml:space="preserve">. </w:t>
      </w:r>
      <w:r w:rsidRPr="43844335" w:rsidR="0015574E">
        <w:rPr>
          <w:rFonts w:ascii="Times New Roman" w:hAnsi="Times New Roman" w:cs="Times New Roman"/>
          <w:sz w:val="24"/>
          <w:szCs w:val="24"/>
        </w:rPr>
        <w:t xml:space="preserve">However, this reliability hinges entirely on the ability to </w:t>
      </w:r>
      <w:r w:rsidRPr="43844335" w:rsidR="0015574E">
        <w:rPr>
          <w:rFonts w:ascii="Times New Roman" w:hAnsi="Times New Roman" w:cs="Times New Roman"/>
          <w:sz w:val="24"/>
          <w:szCs w:val="24"/>
        </w:rPr>
        <w:t>maintain</w:t>
      </w:r>
      <w:r w:rsidRPr="43844335" w:rsidR="0015574E">
        <w:rPr>
          <w:rFonts w:ascii="Times New Roman" w:hAnsi="Times New Roman" w:cs="Times New Roman"/>
          <w:sz w:val="24"/>
          <w:szCs w:val="24"/>
        </w:rPr>
        <w:t xml:space="preserve"> stable internal temperatures.</w:t>
      </w:r>
      <w:r w:rsidRPr="43844335" w:rsidR="000E613A">
        <w:rPr>
          <w:rFonts w:ascii="Times New Roman" w:hAnsi="Times New Roman" w:cs="Times New Roman"/>
          <w:sz w:val="24"/>
          <w:szCs w:val="24"/>
        </w:rPr>
        <w:t xml:space="preserve"> </w:t>
      </w:r>
      <w:r w:rsidRPr="43844335" w:rsidR="00CC142B">
        <w:rPr>
          <w:rFonts w:ascii="Times New Roman" w:hAnsi="Times New Roman" w:cs="Times New Roman"/>
          <w:sz w:val="24"/>
          <w:szCs w:val="24"/>
        </w:rPr>
        <w:t xml:space="preserve">AD reactors, particularly those </w:t>
      </w:r>
      <w:r w:rsidRPr="43844335" w:rsidR="00CC142B">
        <w:rPr>
          <w:rFonts w:ascii="Times New Roman" w:hAnsi="Times New Roman" w:cs="Times New Roman"/>
          <w:sz w:val="24"/>
          <w:szCs w:val="24"/>
        </w:rPr>
        <w:t>operating</w:t>
      </w:r>
      <w:r w:rsidRPr="43844335" w:rsidR="00CC142B">
        <w:rPr>
          <w:rFonts w:ascii="Times New Roman" w:hAnsi="Times New Roman" w:cs="Times New Roman"/>
          <w:sz w:val="24"/>
          <w:szCs w:val="24"/>
        </w:rPr>
        <w:t xml:space="preserve"> under mesophilic (37 ± 1 °C) or thermophilic (52 ± 1 °C) conditions, require strict thermal stability</w:t>
      </w:r>
      <w:r w:rsidRPr="43844335" w:rsidR="00B47EA4">
        <w:rPr>
          <w:rFonts w:ascii="Times New Roman" w:hAnsi="Times New Roman" w:cs="Times New Roman"/>
          <w:sz w:val="24"/>
          <w:szCs w:val="24"/>
        </w:rPr>
        <w:t xml:space="preserve"> </w:t>
      </w:r>
      <w:r w:rsidRPr="43844335">
        <w:rPr>
          <w:rFonts w:ascii="Times New Roman" w:hAnsi="Times New Roman" w:cs="Times New Roman"/>
          <w:sz w:val="24"/>
          <w:szCs w:val="24"/>
        </w:rPr>
        <w:fldChar w:fldCharType="begin"/>
      </w:r>
      <w:r w:rsidRPr="43844335">
        <w:rPr>
          <w:rFonts w:ascii="Times New Roman" w:hAnsi="Times New Roman" w:cs="Times New Roman"/>
          <w:sz w:val="24"/>
          <w:szCs w:val="24"/>
        </w:rPr>
        <w:instrText xml:space="preserve"> ADDIN ZOTERO_ITEM CSL_CITATION {"citationID":"u1hrQoTJ","properties":{"formattedCitation":"[22]","plainCitation":"[22]","noteIndex":0},"citationItems":[{"id":40,"uris":["http://zotero.org/users/local/NWCAR5we/items/SDWAW8WX"],"itemData":{"id":40,"type":"article-journal","abstract":"This review relates the kinetics of anaerobic digestion (AD) to energy outcomes, including typical ranges of methane yields and volumetric methane productivities (down to hourly g L−1 h−1 scales relevant for industrial plants). It further translates these relationships into practical control principles that support stable, high methane productivity. Evidence spans substrate selection and co-digestion with emphasis on carbon/nitrogen (C/N) balance, pretreatment strategies, and reactor operation, linking process constraints with operating parameters to identify interventions that raise performance while limiting inhibition. Improving substrate accessibility is the primary step: pretreatment and co-digestion shift limitation beyond hydrolysis and allow safe increases in organic loading. Typical mesophilic operation involves hydraulic retention times of about 10–40 days for food waste and 20–60 days for different types of livestock manure and slowly degradable energy crops, with stable performance achieved when the solids retention time (SRT) is maintained longer than the hydraulic retention time (HRT). Stability is further governed by sustaining a low hydrogen partial pressure through hydrogenotrophic methanogenesis. Temperature and pH define practicable operating ranges; meanwhile, mixing should minimise diffusion resistance without damaging biomass structure. Early-warning indicators—volatile fatty acids (VFAs)/alkalinity, the propionate/acetate ratio, specific methanogenic activity, methane (CH4)% and gas flow—enable timely adjustment of loading, retention, buffering, mixing intensity and micronutrient supply (Ni, Co, Fe, Mo). In practice, robust operation is generally associated with VFA/alkalinity ratios below about 0.3 and CH4 contents typically in the range of 50–70% (v/v) in biogas. The review consolidates typical feedstock characteristics and biochemical methane potential (BMP) ranges, as well as outlines common reactor types with their advantages and limitations, linking operational choices to energy yield in combined heat and power (CHP) and biomethane pathways. Reported pretreatment effects span approximately 20–100% higher methane yields; for example, 18–37% increases after mechanical size reduction, around 20–30% gains at 120–121 ◦C for thermal treatments, and in some cases nearly a two-fold increase for more severe thermal or combined methods. Priorities are set for adaptive control, micronutrient management, biomass-retention strategies, and standardised monitoring, providing a coherent route from kinetic understanding to dependable energy performance and explaining how substrate composition, pretreatment, operating parameters, and kinetic constraints jointly determine methane and energy yield, with particular emphasis on early-warning indicators.","container-title":"Energies","DOI":"10.3390/en18236262","ISSN":"1996-1073","issue":"23","journalAbbreviation":"Energies","language":"en","page":"6262","source":"DOI.org (Crossref)","title":"Kinetics and Energy Yield in Anaerobic Digestion: Effects of Substrate Composition and Fundamental Operating Conditions","title-short":"Kinetics and Energy Yield in Anaerobic Digestion","volume":"18","author":[{"family":"Pilarski","given":"Krzysztof"},{"family":"Pilarska","given":"Agnieszka A."}],"issued":{"date-parts":[["2025",11,28]]}}}],"schema":"https://github.com/citation-style-language/schema/raw/master/csl-citation.json"} </w:instrText>
      </w:r>
      <w:r w:rsidRPr="43844335">
        <w:rPr>
          <w:rFonts w:ascii="Times New Roman" w:hAnsi="Times New Roman" w:cs="Times New Roman"/>
          <w:sz w:val="24"/>
          <w:szCs w:val="24"/>
        </w:rPr>
        <w:fldChar w:fldCharType="separate"/>
      </w:r>
      <w:r w:rsidRPr="43844335" w:rsidR="000703F4">
        <w:rPr>
          <w:rFonts w:ascii="Times New Roman" w:hAnsi="Times New Roman" w:cs="Times New Roman"/>
          <w:sz w:val="24"/>
          <w:szCs w:val="24"/>
        </w:rPr>
        <w:t>[22]</w:t>
      </w:r>
      <w:r w:rsidRPr="43844335">
        <w:rPr>
          <w:rFonts w:ascii="Times New Roman" w:hAnsi="Times New Roman" w:cs="Times New Roman"/>
          <w:sz w:val="24"/>
          <w:szCs w:val="24"/>
        </w:rPr>
        <w:fldChar w:fldCharType="end"/>
      </w:r>
      <w:r w:rsidRPr="43844335" w:rsidR="00473BC6">
        <w:rPr>
          <w:rFonts w:ascii="Times New Roman" w:hAnsi="Times New Roman" w:cs="Times New Roman"/>
          <w:sz w:val="24"/>
          <w:szCs w:val="24"/>
        </w:rPr>
        <w:t xml:space="preserve">. </w:t>
      </w:r>
      <w:r w:rsidRPr="43844335" w:rsidR="0015574E">
        <w:rPr>
          <w:rFonts w:ascii="Times New Roman" w:hAnsi="Times New Roman" w:cs="Times New Roman"/>
          <w:sz w:val="24"/>
          <w:szCs w:val="24"/>
        </w:rPr>
        <w:t>Even minor fluctuations can destabilize the sensitive methanogenic microbial communities, triggering immediate process inhibition and a buildup of volatile fatty acids (VFA)</w:t>
      </w:r>
      <w:r w:rsidRPr="43844335" w:rsidR="00E832A3">
        <w:rPr>
          <w:rFonts w:ascii="Times New Roman" w:hAnsi="Times New Roman" w:cs="Times New Roman"/>
          <w:sz w:val="24"/>
          <w:szCs w:val="24"/>
        </w:rPr>
        <w:t xml:space="preserve"> </w:t>
      </w:r>
      <w:r w:rsidRPr="43844335">
        <w:rPr>
          <w:rFonts w:ascii="Times New Roman" w:hAnsi="Times New Roman" w:cs="Times New Roman"/>
          <w:sz w:val="24"/>
          <w:szCs w:val="24"/>
        </w:rPr>
        <w:fldChar w:fldCharType="begin"/>
      </w:r>
      <w:r w:rsidRPr="43844335">
        <w:rPr>
          <w:rFonts w:ascii="Times New Roman" w:hAnsi="Times New Roman" w:cs="Times New Roman"/>
          <w:sz w:val="24"/>
          <w:szCs w:val="24"/>
        </w:rPr>
        <w:instrText xml:space="preserve"> ADDIN ZOTERO_ITEM CSL_CITATION {"citationID":"13dzn0Ee","properties":{"formattedCitation":"[22]","plainCitation":"[22]","noteIndex":0},"citationItems":[{"id":40,"uris":["http://zotero.org/users/local/NWCAR5we/items/SDWAW8WX"],"itemData":{"id":40,"type":"article-journal","abstract":"This review relates the kinetics of anaerobic digestion (AD) to energy outcomes, including typical ranges of methane yields and volumetric methane productivities (down to hourly g L−1 h−1 scales relevant for industrial plants). It further translates these relationships into practical control principles that support stable, high methane productivity. Evidence spans substrate selection and co-digestion with emphasis on carbon/nitrogen (C/N) balance, pretreatment strategies, and reactor operation, linking process constraints with operating parameters to identify interventions that raise performance while limiting inhibition. Improving substrate accessibility is the primary step: pretreatment and co-digestion shift limitation beyond hydrolysis and allow safe increases in organic loading. Typical mesophilic operation involves hydraulic retention times of about 10–40 days for food waste and 20–60 days for different types of livestock manure and slowly degradable energy crops, with stable performance achieved when the solids retention time (SRT) is maintained longer than the hydraulic retention time (HRT). Stability is further governed by sustaining a low hydrogen partial pressure through hydrogenotrophic methanogenesis. Temperature and pH define practicable operating ranges; meanwhile, mixing should minimise diffusion resistance without damaging biomass structure. Early-warning indicators—volatile fatty acids (VFAs)/alkalinity, the propionate/acetate ratio, specific methanogenic activity, methane (CH4)% and gas flow—enable timely adjustment of loading, retention, buffering, mixing intensity and micronutrient supply (Ni, Co, Fe, Mo). In practice, robust operation is generally associated with VFA/alkalinity ratios below about 0.3 and CH4 contents typically in the range of 50–70% (v/v) in biogas. The review consolidates typical feedstock characteristics and biochemical methane potential (BMP) ranges, as well as outlines common reactor types with their advantages and limitations, linking operational choices to energy yield in combined heat and power (CHP) and biomethane pathways. Reported pretreatment effects span approximately 20–100% higher methane yields; for example, 18–37% increases after mechanical size reduction, around 20–30% gains at 120–121 ◦C for thermal treatments, and in some cases nearly a two-fold increase for more severe thermal or combined methods. Priorities are set for adaptive control, micronutrient management, biomass-retention strategies, and standardised monitoring, providing a coherent route from kinetic understanding to dependable energy performance and explaining how substrate composition, pretreatment, operating parameters, and kinetic constraints jointly determine methane and energy yield, with particular emphasis on early-warning indicators.","container-title":"Energies","DOI":"10.3390/en18236262","ISSN":"1996-1073","issue":"23","journalAbbreviation":"Energies","language":"en","page":"6262","source":"DOI.org (Crossref)","title":"Kinetics and Energy Yield in Anaerobic Digestion: Effects of Substrate Composition and Fundamental Operating Conditions","title-short":"Kinetics and Energy Yield in Anaerobic Digestion","volume":"18","author":[{"family":"Pilarski","given":"Krzysztof"},{"family":"Pilarska","given":"Agnieszka A."}],"issued":{"date-parts":[["2025",11,28]]}}}],"schema":"https://github.com/citation-style-language/schema/raw/master/csl-citation.json"} </w:instrText>
      </w:r>
      <w:r w:rsidRPr="43844335">
        <w:rPr>
          <w:rFonts w:ascii="Times New Roman" w:hAnsi="Times New Roman" w:cs="Times New Roman"/>
          <w:sz w:val="24"/>
          <w:szCs w:val="24"/>
        </w:rPr>
        <w:fldChar w:fldCharType="separate"/>
      </w:r>
      <w:r w:rsidRPr="43844335" w:rsidR="000703F4">
        <w:rPr>
          <w:rFonts w:ascii="Times New Roman" w:hAnsi="Times New Roman" w:cs="Times New Roman"/>
          <w:sz w:val="24"/>
          <w:szCs w:val="24"/>
        </w:rPr>
        <w:t>[22</w:t>
      </w:r>
      <w:r w:rsidRPr="43844335" w:rsidR="000703F4">
        <w:rPr>
          <w:rFonts w:ascii="Times New Roman" w:hAnsi="Times New Roman" w:cs="Times New Roman"/>
          <w:sz w:val="24"/>
          <w:szCs w:val="24"/>
        </w:rPr>
        <w:t>]</w:t>
      </w:r>
      <w:r w:rsidRPr="43844335">
        <w:rPr>
          <w:rFonts w:ascii="Times New Roman" w:hAnsi="Times New Roman" w:cs="Times New Roman"/>
          <w:sz w:val="24"/>
          <w:szCs w:val="24"/>
        </w:rPr>
        <w:fldChar w:fldCharType="end"/>
      </w:r>
      <w:r w:rsidRPr="43844335" w:rsidR="0015574E">
        <w:rPr>
          <w:rFonts w:ascii="Times New Roman" w:hAnsi="Times New Roman" w:cs="Times New Roman"/>
          <w:sz w:val="24"/>
          <w:szCs w:val="24"/>
        </w:rPr>
        <w:t>.</w:t>
      </w:r>
      <w:r w:rsidRPr="43844335" w:rsidR="10517965">
        <w:rPr>
          <w:rFonts w:ascii="Times New Roman" w:hAnsi="Times New Roman" w:cs="Times New Roman"/>
          <w:sz w:val="24"/>
          <w:szCs w:val="24"/>
        </w:rPr>
        <w:t xml:space="preserve"> </w:t>
      </w:r>
      <w:r w:rsidRPr="43844335" w:rsidR="0015574E">
        <w:rPr>
          <w:rFonts w:ascii="Times New Roman" w:hAnsi="Times New Roman" w:cs="Times New Roman"/>
          <w:sz w:val="24"/>
          <w:szCs w:val="24"/>
        </w:rPr>
        <w:t>This</w:t>
      </w:r>
      <w:r w:rsidRPr="43844335" w:rsidR="0015574E">
        <w:rPr>
          <w:rFonts w:ascii="Times New Roman" w:hAnsi="Times New Roman" w:cs="Times New Roman"/>
          <w:sz w:val="24"/>
          <w:szCs w:val="24"/>
        </w:rPr>
        <w:t xml:space="preserve"> challenge is especially pronounced in cold and arid climates, where significant heat loss often compromises the stability of biogas production </w:t>
      </w:r>
      <w:r w:rsidRPr="43844335" w:rsidR="00E832A3">
        <w:rPr>
          <w:rFonts w:ascii="Times New Roman" w:hAnsi="Times New Roman" w:cs="Times New Roman"/>
          <w:sz w:val="24"/>
          <w:szCs w:val="24"/>
        </w:rPr>
        <w:t>[20</w:t>
      </w:r>
      <w:r w:rsidRPr="43844335" w:rsidR="009C0EB2">
        <w:rPr>
          <w:rFonts w:ascii="Times New Roman" w:hAnsi="Times New Roman" w:cs="Times New Roman"/>
          <w:sz w:val="24"/>
          <w:szCs w:val="24"/>
        </w:rPr>
        <w:t>,</w:t>
      </w:r>
      <w:r w:rsidRPr="43844335" w:rsidR="00E832A3">
        <w:rPr>
          <w:rFonts w:ascii="Times New Roman" w:hAnsi="Times New Roman" w:cs="Times New Roman"/>
          <w:sz w:val="24"/>
          <w:szCs w:val="24"/>
        </w:rPr>
        <w:t xml:space="preserve"> </w:t>
      </w:r>
      <w:r w:rsidRPr="43844335" w:rsidR="000012F8">
        <w:rPr>
          <w:rFonts w:ascii="Times New Roman" w:hAnsi="Times New Roman" w:cs="Times New Roman"/>
          <w:sz w:val="24"/>
          <w:szCs w:val="24"/>
        </w:rPr>
        <w:t>23]</w:t>
      </w:r>
      <w:r w:rsidRPr="43844335" w:rsidR="00473BC6">
        <w:rPr>
          <w:rFonts w:ascii="Times New Roman" w:hAnsi="Times New Roman" w:cs="Times New Roman"/>
          <w:sz w:val="24"/>
          <w:szCs w:val="24"/>
        </w:rPr>
        <w:t>.</w:t>
      </w:r>
    </w:p>
    <w:p w:rsidRPr="000C01CA" w:rsidR="00473BC6" w:rsidP="00102447" w:rsidRDefault="00B47EA4" w14:paraId="441E0A47" w14:textId="0982D9C2">
      <w:pPr>
        <w:spacing w:line="360" w:lineRule="auto"/>
        <w:jc w:val="both"/>
        <w:rPr>
          <w:rFonts w:ascii="Times New Roman" w:hAnsi="Times New Roman" w:cs="Times New Roman"/>
          <w:sz w:val="24"/>
          <w:szCs w:val="24"/>
        </w:rPr>
      </w:pPr>
      <w:r w:rsidRPr="000C01CA">
        <w:rPr>
          <w:rFonts w:ascii="Times New Roman" w:hAnsi="Times New Roman" w:cs="Times New Roman"/>
          <w:sz w:val="24"/>
          <w:szCs w:val="24"/>
        </w:rPr>
        <w:t xml:space="preserve">A synergistic approach consists of using electricity and thermal energy generated by the agrivoltaic system to meet the digester’s heat demand, thereby reducing reliance on biogas combustion </w:t>
      </w:r>
      <w:r w:rsidRPr="000C01CA" w:rsidR="000703F4">
        <w:rPr>
          <w:rFonts w:ascii="Times New Roman" w:hAnsi="Times New Roman" w:cs="Times New Roman"/>
          <w:sz w:val="24"/>
          <w:szCs w:val="24"/>
        </w:rPr>
        <w:fldChar w:fldCharType="begin"/>
      </w:r>
      <w:r w:rsidRPr="000C01CA" w:rsidR="000703F4">
        <w:rPr>
          <w:rFonts w:ascii="Times New Roman" w:hAnsi="Times New Roman" w:cs="Times New Roman"/>
          <w:sz w:val="24"/>
          <w:szCs w:val="24"/>
        </w:rPr>
        <w:instrText xml:space="preserve"> ADDIN ZOTERO_ITEM CSL_CITATION {"citationID":"cfqFgp9F","properties":{"formattedCitation":"[15]","plainCitation":"[15]","noteIndex":0},"citationItems":[{"id":42,"uris":["http://zotero.org/users/local/NWCAR5we/items/NETHYINB"],"itemData":{"id":42,"type":"article-journal","abstract":"This study addresses the issue of fluctuating output in cow dung-based biogas (BG) production due to temperature dependence. A thermal model is proposed and implemented in an area with abandoned BG resources, utilizing typical meteorological year (TMY) data. The model aims for constant BG output by maintaining digester temperature at 39 ◦C throughout the year. It is found that integrating heating with a 3100 CUM cow dung-based biogas digester (BD) increase the energy production capacity from 2.25 GWh/year to 3 GWh/year. Subsequently, three different cases are studied: standalone PV, PV-BG system, and PV-BG system with the heating arrangement, and they are scheduled using the area’s TMY data, according to a strategy that can fulfil highly dynamic load curves with 690 kW peak and 264 kW average demand, as reported by the Government of India, with zero loss of power supply probability (LPSP). In the proposed case, the integration of heating reduced the PV and energy storage system (ESS) sizes by 65 % and 52 %, respectively. The current system imposes a COE of INR 2.1/kWh, which is 70 % cheap than grid electricity in the surrounding areas, with the help of proper resource estimation utilizing TMY data, integration of heating, and compressed biogas (CBG) production with energy.","container-title":"Energy","DOI":"10.1016/j.energy.2023.129671","ISSN":"03605442","journalAbbreviation":"Energy","language":"en","page":"129671","source":"DOI.org (Crossref)","title":"Design and techno-economic analysis of an off-grid integrated PV-biogas system with a constant temperature digester for a cost-effective rural application","volume":"287","author":[{"family":"Pal","given":"Ankit"},{"family":"Ilango","given":"G. Saravana"}],"issued":{"date-parts":[["2024",1]]}}}],"schema":"https://github.com/citation-style-language/schema/raw/master/csl-citation.json"} </w:instrText>
      </w:r>
      <w:r w:rsidRPr="000C01CA" w:rsidR="000703F4">
        <w:rPr>
          <w:rFonts w:ascii="Times New Roman" w:hAnsi="Times New Roman" w:cs="Times New Roman"/>
          <w:sz w:val="24"/>
          <w:szCs w:val="24"/>
        </w:rPr>
        <w:fldChar w:fldCharType="separate"/>
      </w:r>
      <w:r w:rsidRPr="000C01CA" w:rsidR="000703F4">
        <w:rPr>
          <w:rFonts w:ascii="Times New Roman" w:hAnsi="Times New Roman" w:cs="Times New Roman"/>
          <w:sz w:val="24"/>
        </w:rPr>
        <w:t>[15]</w:t>
      </w:r>
      <w:r w:rsidRPr="000C01CA" w:rsidR="000703F4">
        <w:rPr>
          <w:rFonts w:ascii="Times New Roman" w:hAnsi="Times New Roman" w:cs="Times New Roman"/>
          <w:sz w:val="24"/>
          <w:szCs w:val="24"/>
        </w:rPr>
        <w:fldChar w:fldCharType="end"/>
      </w:r>
      <w:r w:rsidRPr="000C01CA" w:rsidR="000012F8">
        <w:rPr>
          <w:rFonts w:ascii="Times New Roman" w:hAnsi="Times New Roman" w:cs="Times New Roman"/>
          <w:sz w:val="24"/>
          <w:szCs w:val="24"/>
        </w:rPr>
        <w:t xml:space="preserve">. </w:t>
      </w:r>
      <w:r w:rsidRPr="000C01CA" w:rsidR="00473BC6">
        <w:rPr>
          <w:rFonts w:ascii="Times New Roman" w:hAnsi="Times New Roman" w:cs="Times New Roman"/>
          <w:sz w:val="24"/>
          <w:szCs w:val="24"/>
        </w:rPr>
        <w:t>This integration generates significant benefits:</w:t>
      </w:r>
    </w:p>
    <w:p w:rsidRPr="000C01CA" w:rsidR="00473BC6" w:rsidP="00102447" w:rsidRDefault="00473BC6" w14:paraId="4F7D1597" w14:textId="651E3DBD">
      <w:pPr>
        <w:spacing w:line="360" w:lineRule="auto"/>
        <w:jc w:val="both"/>
        <w:rPr>
          <w:rFonts w:ascii="Times New Roman" w:hAnsi="Times New Roman" w:cs="Times New Roman"/>
          <w:sz w:val="24"/>
          <w:szCs w:val="24"/>
        </w:rPr>
      </w:pPr>
      <w:r w:rsidRPr="43844335" w:rsidR="00473BC6">
        <w:rPr>
          <w:rFonts w:ascii="Times New Roman" w:hAnsi="Times New Roman" w:cs="Times New Roman"/>
          <w:sz w:val="24"/>
          <w:szCs w:val="24"/>
        </w:rPr>
        <w:t xml:space="preserve">Biomethane Savings: </w:t>
      </w:r>
      <w:r w:rsidRPr="43844335" w:rsidR="00690E2D">
        <w:rPr>
          <w:rFonts w:ascii="Times New Roman" w:hAnsi="Times New Roman" w:cs="Times New Roman"/>
          <w:sz w:val="24"/>
          <w:szCs w:val="24"/>
        </w:rPr>
        <w:t xml:space="preserve">Solar thermal integration can save up to 30-40% of the biogas typically consumed for digester self-heating in cold temperate climates. In semi-arid climates, where heating needs are </w:t>
      </w:r>
      <w:r w:rsidRPr="43844335" w:rsidR="1A8F6F86">
        <w:rPr>
          <w:rFonts w:ascii="Times New Roman" w:hAnsi="Times New Roman" w:cs="Times New Roman"/>
          <w:sz w:val="24"/>
          <w:szCs w:val="24"/>
        </w:rPr>
        <w:t>lower,</w:t>
      </w:r>
      <w:r w:rsidRPr="43844335" w:rsidR="00690E2D">
        <w:rPr>
          <w:rFonts w:ascii="Times New Roman" w:hAnsi="Times New Roman" w:cs="Times New Roman"/>
          <w:sz w:val="24"/>
          <w:szCs w:val="24"/>
        </w:rPr>
        <w:t xml:space="preserve"> but sunshine is high, this saving can be converted into a surplus of usable biomethane, improving the system's net product value (NPV) </w:t>
      </w:r>
      <w:r w:rsidRPr="43844335">
        <w:rPr>
          <w:rFonts w:ascii="Times New Roman" w:hAnsi="Times New Roman" w:cs="Times New Roman"/>
          <w:sz w:val="24"/>
          <w:szCs w:val="24"/>
        </w:rPr>
        <w:fldChar w:fldCharType="begin"/>
      </w:r>
      <w:r w:rsidRPr="43844335">
        <w:rPr>
          <w:rFonts w:ascii="Times New Roman" w:hAnsi="Times New Roman" w:cs="Times New Roman"/>
          <w:sz w:val="24"/>
          <w:szCs w:val="24"/>
        </w:rPr>
        <w:instrText xml:space="preserve"> ADDIN ZOTERO_ITEM CSL_CITATION {"citationID":"WqCPNtCX","properties":{"formattedCitation":"[9]","plainCitation":"[9]","noteIndex":0},"citationItems":[{"id":27,"uris":["http://zotero.org/users/local/NWCAR5we/items/F3WGQBFK"],"itemData":{"id":27,"type":"article-journal","abstract":"In this study, a unique energy system integrated with an agrivoltaic plant, a biogas production and utilization facility, and a community-based energy system is analyzed in order to fully cover the needs of electricity, biogas, heat, and cooling for a community. The bifacial photovoltaic modules with a high structure are considered in this design, where they cover the sugarcane field as the agrivoltaic system. Both sugarcane and cow manure are considered and used to generate biogas. An integrated energy system is proposed to meet the electricity, heating, and cooling requirements of a community in a case study. The capacities of the components are determined according to a community load selected for a case study with more than 34 000 people living in Nakhon Ratchasima, Thailand. A biogas-based combined cycle with two stages of the Rankine cycle, as well as a bifacial photovoltaic-based system, are used to generate electricity. The excess heat is recovered and used to cover the heating loads of the community for greenhouse and food dryer, as well as in a lithium bromide absorption refrigeration cycle to provide cooling. The first and second laws of thermodynamics are used with the mass, energy, entropy, and exergy balance equations to analyze and evaluate the system. A time-dependent analysis is carried out to provide more insightful details about the system for each hour throughout the whole year. The experimental data for the biogas production system and actual meteorological data are considered with commercially available component and unit specifications to provide more realistic results. An 8 MWp of PV plant with 415 MWp of a biogas power plant as well as 105 MWp of high- and low-pressure steam turbines can meet 100% of 92 GWh nonthermal electricity, 63 GWh cooling, and 13 GWh heating loads in a year. The overall energy and exergy efficiencies of the overall system are found to be 33.64% and 22.96% under average ambient conditions and average load requirements.","container-title":"International Journal of Energy Research","DOI":"10.1002/er.8483","ISSN":"0363-907X, 1099-114X","issue":"13","journalAbbreviation":"Intl J of Energy Research","language":"en","page":"18663-18675","source":"DOI.org (Crossref)","title":"Development and assessment of a new agrivoltaic‐biogas energy system for sustainable communities","volume":"46","author":[{"family":"Temiz","given":"Mert"},{"family":"Sinbuathong","given":"Nusara"},{"family":"Dincer","given":"Ibrahim"}],"issued":{"date-parts":[["2022",10,25]]}}}],"schema":"https://github.com/citation-style-language/schema/raw/master/csl-citation.json"} </w:instrText>
      </w:r>
      <w:r w:rsidRPr="43844335">
        <w:rPr>
          <w:rFonts w:ascii="Times New Roman" w:hAnsi="Times New Roman" w:cs="Times New Roman"/>
          <w:sz w:val="24"/>
          <w:szCs w:val="24"/>
        </w:rPr>
        <w:fldChar w:fldCharType="separate"/>
      </w:r>
      <w:r w:rsidRPr="43844335" w:rsidR="000703F4">
        <w:rPr>
          <w:rFonts w:ascii="Times New Roman" w:hAnsi="Times New Roman" w:cs="Times New Roman"/>
          <w:sz w:val="24"/>
          <w:szCs w:val="24"/>
        </w:rPr>
        <w:t>[9]</w:t>
      </w:r>
      <w:r w:rsidRPr="43844335">
        <w:rPr>
          <w:rFonts w:ascii="Times New Roman" w:hAnsi="Times New Roman" w:cs="Times New Roman"/>
          <w:sz w:val="24"/>
          <w:szCs w:val="24"/>
        </w:rPr>
        <w:fldChar w:fldCharType="end"/>
      </w:r>
      <w:r w:rsidRPr="43844335" w:rsidR="00473BC6">
        <w:rPr>
          <w:rFonts w:ascii="Times New Roman" w:hAnsi="Times New Roman" w:cs="Times New Roman"/>
          <w:sz w:val="24"/>
          <w:szCs w:val="24"/>
        </w:rPr>
        <w:t>.</w:t>
      </w:r>
    </w:p>
    <w:p w:rsidRPr="000C01CA" w:rsidR="00473BC6" w:rsidP="00102447" w:rsidRDefault="00473BC6" w14:paraId="0CB22CDB" w14:textId="2E76E1B0">
      <w:pPr>
        <w:spacing w:line="360" w:lineRule="auto"/>
        <w:jc w:val="both"/>
        <w:rPr>
          <w:rFonts w:ascii="Times New Roman" w:hAnsi="Times New Roman" w:cs="Times New Roman"/>
          <w:sz w:val="24"/>
          <w:szCs w:val="24"/>
        </w:rPr>
      </w:pPr>
      <w:r w:rsidRPr="000C01CA">
        <w:rPr>
          <w:rFonts w:ascii="Times New Roman" w:hAnsi="Times New Roman" w:cs="Times New Roman"/>
          <w:sz w:val="24"/>
          <w:szCs w:val="24"/>
        </w:rPr>
        <w:t>System Sizing Reduction: A rigorously modeled constant-temperature</w:t>
      </w:r>
      <w:r w:rsidRPr="000C01CA" w:rsidR="00CE2EE8">
        <w:rPr>
          <w:rFonts w:ascii="Times New Roman" w:hAnsi="Times New Roman" w:cs="Times New Roman"/>
          <w:sz w:val="24"/>
          <w:szCs w:val="24"/>
        </w:rPr>
        <w:t xml:space="preserve"> digester (maintained at 39°C)</w:t>
      </w:r>
      <w:r w:rsidRPr="000C01CA">
        <w:rPr>
          <w:rFonts w:ascii="Times New Roman" w:hAnsi="Times New Roman" w:cs="Times New Roman"/>
          <w:sz w:val="24"/>
          <w:szCs w:val="24"/>
        </w:rPr>
        <w:t xml:space="preserve"> significantly reduces the required sizing of intermittent energy components. Integrated heating has been shown to reduce the necessary Photovoltaic (PV) and Energy Storage System (ESS) sizes by 65% and 52%, respectively, compared to conventional non-heated PV-biogas systems</w:t>
      </w:r>
      <w:r w:rsidRPr="000C01CA" w:rsidR="000012F8">
        <w:rPr>
          <w:rFonts w:ascii="Times New Roman" w:hAnsi="Times New Roman" w:cs="Times New Roman"/>
          <w:sz w:val="24"/>
          <w:szCs w:val="24"/>
        </w:rPr>
        <w:t xml:space="preserve"> </w:t>
      </w:r>
      <w:r w:rsidRPr="000C01CA" w:rsidR="000703F4">
        <w:rPr>
          <w:rFonts w:ascii="Times New Roman" w:hAnsi="Times New Roman" w:cs="Times New Roman"/>
          <w:sz w:val="24"/>
          <w:szCs w:val="24"/>
        </w:rPr>
        <w:fldChar w:fldCharType="begin"/>
      </w:r>
      <w:r w:rsidRPr="000C01CA" w:rsidR="000703F4">
        <w:rPr>
          <w:rFonts w:ascii="Times New Roman" w:hAnsi="Times New Roman" w:cs="Times New Roman"/>
          <w:sz w:val="24"/>
          <w:szCs w:val="24"/>
        </w:rPr>
        <w:instrText xml:space="preserve"> ADDIN ZOTERO_ITEM CSL_CITATION {"citationID":"uWWsUjcq","properties":{"formattedCitation":"[15]","plainCitation":"[15]","noteIndex":0},"citationItems":[{"id":42,"uris":["http://zotero.org/users/local/NWCAR5we/items/NETHYINB"],"itemData":{"id":42,"type":"article-journal","abstract":"This study addresses the issue of fluctuating output in cow dung-based biogas (BG) production due to temperature dependence. A thermal model is proposed and implemented in an area with abandoned BG resources, utilizing typical meteorological year (TMY) data. The model aims for constant BG output by maintaining digester temperature at 39 ◦C throughout the year. It is found that integrating heating with a 3100 CUM cow dung-based biogas digester (BD) increase the energy production capacity from 2.25 GWh/year to 3 GWh/year. Subsequently, three different cases are studied: standalone PV, PV-BG system, and PV-BG system with the heating arrangement, and they are scheduled using the area’s TMY data, according to a strategy that can fulfil highly dynamic load curves with 690 kW peak and 264 kW average demand, as reported by the Government of India, with zero loss of power supply probability (LPSP). In the proposed case, the integration of heating reduced the PV and energy storage system (ESS) sizes by 65 % and 52 %, respectively. The current system imposes a COE of INR 2.1/kWh, which is 70 % cheap than grid electricity in the surrounding areas, with the help of proper resource estimation utilizing TMY data, integration of heating, and compressed biogas (CBG) production with energy.","container-title":"Energy","DOI":"10.1016/j.energy.2023.129671","ISSN":"03605442","journalAbbreviation":"Energy","language":"en","page":"129671","source":"DOI.org (Crossref)","title":"Design and techno-economic analysis of an off-grid integrated PV-biogas system with a constant temperature digester for a cost-effective rural application","volume":"287","author":[{"family":"Pal","given":"Ankit"},{"family":"Ilango","given":"G. Saravana"}],"issued":{"date-parts":[["2024",1]]}}}],"schema":"https://github.com/citation-style-language/schema/raw/master/csl-citation.json"} </w:instrText>
      </w:r>
      <w:r w:rsidRPr="000C01CA" w:rsidR="000703F4">
        <w:rPr>
          <w:rFonts w:ascii="Times New Roman" w:hAnsi="Times New Roman" w:cs="Times New Roman"/>
          <w:sz w:val="24"/>
          <w:szCs w:val="24"/>
        </w:rPr>
        <w:fldChar w:fldCharType="separate"/>
      </w:r>
      <w:r w:rsidRPr="000C01CA" w:rsidR="000703F4">
        <w:rPr>
          <w:rFonts w:ascii="Times New Roman" w:hAnsi="Times New Roman" w:cs="Times New Roman"/>
          <w:sz w:val="24"/>
        </w:rPr>
        <w:t>[15]</w:t>
      </w:r>
      <w:r w:rsidRPr="000C01CA" w:rsidR="000703F4">
        <w:rPr>
          <w:rFonts w:ascii="Times New Roman" w:hAnsi="Times New Roman" w:cs="Times New Roman"/>
          <w:sz w:val="24"/>
          <w:szCs w:val="24"/>
        </w:rPr>
        <w:fldChar w:fldCharType="end"/>
      </w:r>
      <w:r w:rsidRPr="000C01CA">
        <w:rPr>
          <w:rFonts w:ascii="Times New Roman" w:hAnsi="Times New Roman" w:cs="Times New Roman"/>
          <w:sz w:val="24"/>
          <w:szCs w:val="24"/>
        </w:rPr>
        <w:t>.</w:t>
      </w:r>
    </w:p>
    <w:p w:rsidRPr="000C01CA" w:rsidR="00B47EA4" w:rsidP="00102447" w:rsidRDefault="00473BC6" w14:paraId="2A6F8FB9" w14:textId="6B83BD9D">
      <w:pPr>
        <w:spacing w:line="360" w:lineRule="auto"/>
        <w:jc w:val="both"/>
        <w:rPr>
          <w:rFonts w:ascii="Times New Roman" w:hAnsi="Times New Roman" w:cs="Times New Roman"/>
          <w:sz w:val="24"/>
          <w:szCs w:val="24"/>
        </w:rPr>
      </w:pPr>
      <w:r w:rsidRPr="000C01CA">
        <w:rPr>
          <w:rFonts w:ascii="Times New Roman" w:hAnsi="Times New Roman" w:cs="Times New Roman"/>
          <w:sz w:val="24"/>
          <w:szCs w:val="24"/>
        </w:rPr>
        <w:t>Operational Resilience: Adaptive operational strategies further enhance stability. Pilot studies in cold and arid areas have demonstrated the feasibility of seasonal thermal switching</w:t>
      </w:r>
      <w:r w:rsidRPr="000C01CA" w:rsidR="00CE2EE8">
        <w:rPr>
          <w:rFonts w:ascii="Times New Roman" w:hAnsi="Times New Roman" w:cs="Times New Roman"/>
          <w:sz w:val="24"/>
          <w:szCs w:val="24"/>
        </w:rPr>
        <w:t xml:space="preserve">, allowing stable operation at 26°C </w:t>
      </w:r>
      <w:r w:rsidRPr="000C01CA">
        <w:rPr>
          <w:rFonts w:ascii="Times New Roman" w:hAnsi="Times New Roman" w:cs="Times New Roman"/>
          <w:sz w:val="24"/>
          <w:szCs w:val="24"/>
        </w:rPr>
        <w:t>in winter/spring and sw</w:t>
      </w:r>
      <w:r w:rsidRPr="000C01CA" w:rsidR="00CE2EE8">
        <w:rPr>
          <w:rFonts w:ascii="Times New Roman" w:hAnsi="Times New Roman" w:cs="Times New Roman"/>
          <w:sz w:val="24"/>
          <w:szCs w:val="24"/>
        </w:rPr>
        <w:t>itching to optimal mesophilic (37°C) or thermophilic (52°C</w:t>
      </w:r>
      <w:r w:rsidRPr="000C01CA">
        <w:rPr>
          <w:rFonts w:ascii="Times New Roman" w:hAnsi="Times New Roman" w:cs="Times New Roman"/>
          <w:sz w:val="24"/>
          <w:szCs w:val="24"/>
        </w:rPr>
        <w:t xml:space="preserve">) conditions in summer, leveraging solar abundance </w:t>
      </w:r>
      <w:r w:rsidRPr="000C01CA" w:rsidR="000703F4">
        <w:rPr>
          <w:rFonts w:ascii="Times New Roman" w:hAnsi="Times New Roman" w:cs="Times New Roman"/>
          <w:sz w:val="24"/>
          <w:szCs w:val="24"/>
        </w:rPr>
        <w:fldChar w:fldCharType="begin"/>
      </w:r>
      <w:r w:rsidRPr="000C01CA" w:rsidR="000703F4">
        <w:rPr>
          <w:rFonts w:ascii="Times New Roman" w:hAnsi="Times New Roman" w:cs="Times New Roman"/>
          <w:sz w:val="24"/>
          <w:szCs w:val="24"/>
        </w:rPr>
        <w:instrText xml:space="preserve"> ADDIN ZOTERO_ITEM CSL_CITATION {"citationID":"JEddyDi2","properties":{"formattedCitation":"[23]","plainCitation":"[23]","noteIndex":0},"citationItems":[{"id":58,"uris":["http://zotero.org/users/local/NWCAR5we/items/374XSQQW"],"itemData":{"id":58,"type":"article-journal","abstract":"Date palm waste (DPW) compost poses several challenges attributed to its lignocellulosic composition, which restricts biodegradability. This study used DPW, chicken litter (CkL), and water to achieve 60% moisture and 30 C:N ratio, following a compost recipe calculator. Using a rotary drum bioreactor over 20 days, the thermophilic phase lasted 12 days, achieving a biodegradation rate of 0.51. During this process, bulk density (BD), electrical conductivity (EC), and pH increased with 0.21 g/l, 1.84 dS/m, and 0.86, respectively. In contrast, free airspace (FAS) and moisture content (MC) decreased by 16.18% and 34.74%, respectively. Most nutrient content increased due to the mass loss. Ultimately, the C:N ratio dropped from 32.58 to 21.82, indicating maturity; however, the germination index was 57.56 ± 9.43%, suggesting immaturity and moderate phytotoxicity. Although adjustments to the C:N ratio promoted early maturation, further modifications or time are required for complete maturation of the compost within the 20-day timeframe.","container-title":"Journal of Ecological Engineering","DOI":"10.12911/22998993/203810","ISSN":"2299-8993","issue":"8","journalAbbreviation":"J. Ecol. Eng.","language":"en","license":"https://creativecommons.org/licenses/by/4.0/","page":"120-131","source":"DOI.org (Crossref)","title":"Optimized date palm waste composting: Accelerating maturity via C:N ratio and moisture adjustments using a rotary drum system","title-short":"Optimized date palm waste composting","volume":"26","author":[{"family":"Ouali","given":"Abdelouahad"},{"family":"Hiouani","given":"Fatima"},{"family":"Beribeche","given":"Khadidja"},{"family":"Madani","given":"Djamila"}],"issued":{"date-parts":[["2025",8,1]]}}}],"schema":"https://github.com/citation-style-language/schema/raw/master/csl-citation.json"} </w:instrText>
      </w:r>
      <w:r w:rsidRPr="000C01CA" w:rsidR="000703F4">
        <w:rPr>
          <w:rFonts w:ascii="Times New Roman" w:hAnsi="Times New Roman" w:cs="Times New Roman"/>
          <w:sz w:val="24"/>
          <w:szCs w:val="24"/>
        </w:rPr>
        <w:fldChar w:fldCharType="separate"/>
      </w:r>
      <w:r w:rsidRPr="000C01CA" w:rsidR="000703F4">
        <w:rPr>
          <w:rFonts w:ascii="Times New Roman" w:hAnsi="Times New Roman" w:cs="Times New Roman"/>
          <w:sz w:val="24"/>
        </w:rPr>
        <w:t>[23]</w:t>
      </w:r>
      <w:r w:rsidRPr="000C01CA" w:rsidR="000703F4">
        <w:rPr>
          <w:rFonts w:ascii="Times New Roman" w:hAnsi="Times New Roman" w:cs="Times New Roman"/>
          <w:sz w:val="24"/>
          <w:szCs w:val="24"/>
        </w:rPr>
        <w:fldChar w:fldCharType="end"/>
      </w:r>
      <w:r w:rsidRPr="000C01CA">
        <w:rPr>
          <w:rFonts w:ascii="Times New Roman" w:hAnsi="Times New Roman" w:cs="Times New Roman"/>
          <w:sz w:val="24"/>
          <w:szCs w:val="24"/>
        </w:rPr>
        <w:t xml:space="preserve">. </w:t>
      </w:r>
    </w:p>
    <w:p w:rsidRPr="000C01CA" w:rsidR="00473BC6" w:rsidP="00102447" w:rsidRDefault="00473BC6" w14:paraId="14E96E99" w14:textId="77777777">
      <w:pPr>
        <w:spacing w:line="360" w:lineRule="auto"/>
        <w:jc w:val="both"/>
        <w:rPr>
          <w:rFonts w:ascii="Times New Roman" w:hAnsi="Times New Roman" w:cs="Times New Roman"/>
          <w:b/>
          <w:sz w:val="24"/>
          <w:szCs w:val="24"/>
        </w:rPr>
      </w:pPr>
      <w:r w:rsidRPr="000C01CA">
        <w:rPr>
          <w:rFonts w:ascii="Times New Roman" w:hAnsi="Times New Roman" w:cs="Times New Roman"/>
          <w:b/>
          <w:sz w:val="24"/>
          <w:szCs w:val="24"/>
        </w:rPr>
        <w:t>III.2. Feedstock Management and Bioconversion Kinetics</w:t>
      </w:r>
    </w:p>
    <w:p w:rsidRPr="000C01CA" w:rsidR="00473BC6" w:rsidP="00102447" w:rsidRDefault="00473BC6" w14:paraId="5A449482" w14:textId="510178DA">
      <w:pPr>
        <w:spacing w:line="360" w:lineRule="auto"/>
        <w:ind w:firstLine="720"/>
        <w:jc w:val="both"/>
        <w:rPr>
          <w:rFonts w:ascii="Times New Roman" w:hAnsi="Times New Roman" w:cs="Times New Roman"/>
          <w:sz w:val="24"/>
          <w:szCs w:val="24"/>
        </w:rPr>
      </w:pPr>
      <w:r w:rsidRPr="43844335" w:rsidR="00473BC6">
        <w:rPr>
          <w:rFonts w:ascii="Times New Roman" w:hAnsi="Times New Roman" w:cs="Times New Roman"/>
          <w:sz w:val="24"/>
          <w:szCs w:val="24"/>
        </w:rPr>
        <w:t xml:space="preserve">The second challenge in harmonizing AV and AD lies in managing the heterogeneous biomass generated by agricultural activities. </w:t>
      </w:r>
      <w:r w:rsidRPr="43844335" w:rsidR="006A2435">
        <w:rPr>
          <w:rFonts w:ascii="Times New Roman" w:hAnsi="Times New Roman" w:cs="Times New Roman"/>
          <w:sz w:val="24"/>
          <w:szCs w:val="24"/>
        </w:rPr>
        <w:t>The substantial variability in methane yields measured by Biochemical Methane Potential (BMP) tests directly reflects the diverse chemical composition and inherent biodegradability of agricultural substrates.</w:t>
      </w:r>
      <w:r w:rsidRPr="43844335" w:rsidR="007953D9">
        <w:rPr>
          <w:rFonts w:ascii="Times New Roman" w:hAnsi="Times New Roman" w:cs="Times New Roman"/>
          <w:sz w:val="24"/>
          <w:szCs w:val="24"/>
        </w:rPr>
        <w:t xml:space="preserve"> Typical yields for cattle manure, cereal straw, and mixed vegetable residues range </w:t>
      </w:r>
      <w:r w:rsidRPr="43844335" w:rsidR="3BE1285D">
        <w:rPr>
          <w:rFonts w:ascii="Times New Roman" w:hAnsi="Times New Roman" w:cs="Times New Roman"/>
          <w:sz w:val="24"/>
          <w:szCs w:val="24"/>
        </w:rPr>
        <w:t>between</w:t>
      </w:r>
      <w:r w:rsidRPr="43844335" w:rsidR="007953D9">
        <w:rPr>
          <w:rFonts w:ascii="Times New Roman" w:hAnsi="Times New Roman" w:cs="Times New Roman"/>
          <w:sz w:val="24"/>
          <w:szCs w:val="24"/>
        </w:rPr>
        <w:t xml:space="preserve"> 200 and 400 NmLCH₄/g VS (Table 1), illustrating the need for substrate-specific modeling in integrated AV–AD systems</w:t>
      </w:r>
      <w:r w:rsidRPr="43844335" w:rsidR="00473BC6">
        <w:rPr>
          <w:rFonts w:ascii="Times New Roman" w:hAnsi="Times New Roman" w:cs="Times New Roman"/>
          <w:sz w:val="24"/>
          <w:szCs w:val="24"/>
        </w:rPr>
        <w:t>.</w:t>
      </w:r>
    </w:p>
    <w:p w:rsidRPr="000C01CA" w:rsidR="00473BC6" w:rsidP="00102447" w:rsidRDefault="00473BC6" w14:paraId="14023085" w14:textId="77777777">
      <w:pPr>
        <w:spacing w:line="360" w:lineRule="auto"/>
        <w:jc w:val="both"/>
        <w:rPr>
          <w:rFonts w:ascii="Times New Roman" w:hAnsi="Times New Roman" w:cs="Times New Roman"/>
          <w:sz w:val="24"/>
          <w:szCs w:val="24"/>
        </w:rPr>
      </w:pPr>
      <w:r w:rsidRPr="000C01CA">
        <w:rPr>
          <w:rFonts w:ascii="Times New Roman" w:hAnsi="Times New Roman" w:cs="Times New Roman"/>
          <w:sz w:val="24"/>
          <w:szCs w:val="24"/>
        </w:rPr>
        <w:t>Agricultural residues often present kinetic difficulties, which can lead to friction in the integrated system:</w:t>
      </w:r>
    </w:p>
    <w:p w:rsidRPr="000C01CA" w:rsidR="00473BC6" w:rsidP="00102447" w:rsidRDefault="00473BC6" w14:paraId="330C2A5F" w14:textId="4953B6EB">
      <w:pPr>
        <w:spacing w:line="360" w:lineRule="auto"/>
        <w:jc w:val="both"/>
        <w:rPr>
          <w:rFonts w:ascii="Times New Roman" w:hAnsi="Times New Roman" w:cs="Times New Roman"/>
          <w:sz w:val="24"/>
          <w:szCs w:val="24"/>
        </w:rPr>
      </w:pPr>
      <w:r w:rsidRPr="000C01CA">
        <w:rPr>
          <w:rFonts w:ascii="Times New Roman" w:hAnsi="Times New Roman" w:cs="Times New Roman"/>
          <w:sz w:val="24"/>
          <w:szCs w:val="24"/>
        </w:rPr>
        <w:t>Residue Characteristics:</w:t>
      </w:r>
      <w:r w:rsidRPr="000C01CA" w:rsidR="000012F8">
        <w:rPr>
          <w:rFonts w:ascii="Times New Roman" w:hAnsi="Times New Roman" w:cs="Times New Roman"/>
          <w:sz w:val="24"/>
          <w:szCs w:val="24"/>
        </w:rPr>
        <w:t xml:space="preserve"> Many crop residues</w:t>
      </w:r>
      <w:r w:rsidRPr="000C01CA">
        <w:rPr>
          <w:rFonts w:ascii="Times New Roman" w:hAnsi="Times New Roman" w:cs="Times New Roman"/>
          <w:sz w:val="24"/>
          <w:szCs w:val="24"/>
        </w:rPr>
        <w:t xml:space="preserve"> have a high C/N ratio and high lignocellulosic content, which is resistant to hydrolysis and can slow down the overall AD process</w:t>
      </w:r>
      <w:r w:rsidRPr="000C01CA" w:rsidR="000012F8">
        <w:rPr>
          <w:rFonts w:ascii="Times New Roman" w:hAnsi="Times New Roman" w:cs="Times New Roman"/>
          <w:sz w:val="24"/>
          <w:szCs w:val="24"/>
        </w:rPr>
        <w:t xml:space="preserve"> </w:t>
      </w:r>
      <w:r w:rsidRPr="000C01CA" w:rsidR="000703F4">
        <w:rPr>
          <w:rFonts w:ascii="Times New Roman" w:hAnsi="Times New Roman" w:cs="Times New Roman"/>
          <w:sz w:val="24"/>
          <w:szCs w:val="24"/>
        </w:rPr>
        <w:fldChar w:fldCharType="begin"/>
      </w:r>
      <w:r w:rsidRPr="000C01CA" w:rsidR="00460B5A">
        <w:rPr>
          <w:rFonts w:ascii="Times New Roman" w:hAnsi="Times New Roman" w:cs="Times New Roman"/>
          <w:sz w:val="24"/>
          <w:szCs w:val="24"/>
        </w:rPr>
        <w:instrText xml:space="preserve"> ADDIN ZOTERO_ITEM CSL_CITATION {"citationID":"d8GFKhc5","properties":{"formattedCitation":"[22]","plainCitation":"[22]","dontUpdate":true,"noteIndex":0},"citationItems":[{"id":40,"uris":["http://zotero.org/users/local/NWCAR5we/items/SDWAW8WX"],"itemData":{"id":40,"type":"article-journal","abstract":"This review relates the kinetics of anaerobic digestion (AD) to energy outcomes, including typical ranges of methane yields and volumetric methane productivities (down to hourly g L−1 h−1 scales relevant for industrial plants). It further translates these relationships into practical control principles that support stable, high methane productivity. Evidence spans substrate selection and co-digestion with emphasis on carbon/nitrogen (C/N) balance, pretreatment strategies, and reactor operation, linking process constraints with operating parameters to identify interventions that raise performance while limiting inhibition. Improving substrate accessibility is the primary step: pretreatment and co-digestion shift limitation beyond hydrolysis and allow safe increases in organic loading. Typical mesophilic operation involves hydraulic retention times of about 10–40 days for food waste and 20–60 days for different types of livestock manure and slowly degradable energy crops, with stable performance achieved when the solids retention time (SRT) is maintained longer than the hydraulic retention time (HRT). Stability is further governed by sustaining a low hydrogen partial pressure through hydrogenotrophic methanogenesis. Temperature and pH define practicable operating ranges; meanwhile, mixing should minimise diffusion resistance without damaging biomass structure. Early-warning indicators—volatile fatty acids (VFAs)/alkalinity, the propionate/acetate ratio, specific methanogenic activity, methane (CH4)% and gas flow—enable timely adjustment of loading, retention, buffering, mixing intensity and micronutrient supply (Ni, Co, Fe, Mo). In practice, robust operation is generally associated with VFA/alkalinity ratios below about 0.3 and CH4 contents typically in the range of 50–70% (v/v) in biogas. The review consolidates typical feedstock characteristics and biochemical methane potential (BMP) ranges, as well as outlines common reactor types with their advantages and limitations, linking operational choices to energy yield in combined heat and power (CHP) and biomethane pathways. Reported pretreatment effects span approximately 20–100% higher methane yields; for example, 18–37% increases after mechanical size reduction, around 20–30% gains at 120–121 ◦C for thermal treatments, and in some cases nearly a two-fold increase for more severe thermal or combined methods. Priorities are set for adaptive control, micronutrient management, biomass-retention strategies, and standardised monitoring, providing a coherent route from kinetic understanding to dependable energy performance and explaining how substrate composition, pretreatment, operating parameters, and kinetic constraints jointly determine methane and energy yield, with particular emphasis on early-warning indicators.","container-title":"Energies","DOI":"10.3390/en18236262","ISSN":"1996-1073","issue":"23","journalAbbreviation":"Energies","language":"en","page":"6262","source":"DOI.org (Crossref)","title":"Kinetics and Energy Yield in Anaerobic Digestion: Effects of Substrate Composition and Fundamental Operating Conditions","title-short":"Kinetics and Energy Yield in Anaerobic Digestion","volume":"18","author":[{"family":"Pilarski","given":"Krzysztof"},{"family":"Pilarska","given":"Agnieszka A."}],"issued":{"date-parts":[["2025",11,28]]}}}],"schema":"https://github.com/citation-style-language/schema/raw/master/csl-citation.json"} </w:instrText>
      </w:r>
      <w:r w:rsidRPr="000C01CA" w:rsidR="000703F4">
        <w:rPr>
          <w:rFonts w:ascii="Times New Roman" w:hAnsi="Times New Roman" w:cs="Times New Roman"/>
          <w:sz w:val="24"/>
          <w:szCs w:val="24"/>
        </w:rPr>
        <w:fldChar w:fldCharType="separate"/>
      </w:r>
      <w:r w:rsidRPr="000C01CA" w:rsidR="000703F4">
        <w:rPr>
          <w:rFonts w:ascii="Times New Roman" w:hAnsi="Times New Roman" w:cs="Times New Roman"/>
          <w:sz w:val="24"/>
        </w:rPr>
        <w:t>[22</w:t>
      </w:r>
      <w:r w:rsidRPr="000C01CA" w:rsidR="00460B5A">
        <w:rPr>
          <w:rFonts w:ascii="Times New Roman" w:hAnsi="Times New Roman" w:cs="Times New Roman"/>
          <w:sz w:val="24"/>
        </w:rPr>
        <w:t>,</w:t>
      </w:r>
      <w:r w:rsidRPr="000C01CA" w:rsidR="000703F4">
        <w:rPr>
          <w:rFonts w:ascii="Times New Roman" w:hAnsi="Times New Roman" w:cs="Times New Roman"/>
          <w:sz w:val="24"/>
          <w:szCs w:val="24"/>
        </w:rPr>
        <w:fldChar w:fldCharType="end"/>
      </w:r>
      <w:r w:rsidRPr="000C01CA" w:rsidR="000012F8">
        <w:rPr>
          <w:rFonts w:ascii="Times New Roman" w:hAnsi="Times New Roman" w:cs="Times New Roman"/>
          <w:sz w:val="24"/>
          <w:szCs w:val="24"/>
        </w:rPr>
        <w:t xml:space="preserve"> </w:t>
      </w:r>
      <w:r w:rsidRPr="000C01CA" w:rsidR="000703F4">
        <w:rPr>
          <w:rFonts w:ascii="Times New Roman" w:hAnsi="Times New Roman" w:cs="Times New Roman"/>
          <w:sz w:val="24"/>
          <w:szCs w:val="24"/>
        </w:rPr>
        <w:fldChar w:fldCharType="begin"/>
      </w:r>
      <w:r w:rsidRPr="000C01CA" w:rsidR="00460B5A">
        <w:rPr>
          <w:rFonts w:ascii="Times New Roman" w:hAnsi="Times New Roman" w:cs="Times New Roman"/>
          <w:sz w:val="24"/>
          <w:szCs w:val="24"/>
        </w:rPr>
        <w:instrText xml:space="preserve"> ADDIN ZOTERO_ITEM CSL_CITATION {"citationID":"st47wEc4","properties":{"formattedCitation":"[23]","plainCitation":"[23]","dontUpdate":true,"noteIndex":0},"citationItems":[{"id":58,"uris":["http://zotero.org/users/local/NWCAR5we/items/374XSQQW"],"itemData":{"id":58,"type":"article-journal","abstract":"Date palm waste (DPW) compost poses several challenges attributed to its lignocellulosic composition, which restricts biodegradability. This study used DPW, chicken litter (CkL), and water to achieve 60% moisture and 30 C:N ratio, following a compost recipe calculator. Using a rotary drum bioreactor over 20 days, the thermophilic phase lasted 12 days, achieving a biodegradation rate of 0.51. During this process, bulk density (BD), electrical conductivity (EC), and pH increased with 0.21 g/l, 1.84 dS/m, and 0.86, respectively. In contrast, free airspace (FAS) and moisture content (MC) decreased by 16.18% and 34.74%, respectively. Most nutrient content increased due to the mass loss. Ultimately, the C:N ratio dropped from 32.58 to 21.82, indicating maturity; however, the germination index was 57.56 ± 9.43%, suggesting immaturity and moderate phytotoxicity. Although adjustments to the C:N ratio promoted early maturation, further modifications or time are required for complete maturation of the compost within the 20-day timeframe.","container-title":"Journal of Ecological Engineering","DOI":"10.12911/22998993/203810","ISSN":"2299-8993","issue":"8","journalAbbreviation":"J. Ecol. Eng.","language":"en","license":"https://creativecommons.org/licenses/by/4.0/","page":"120-131","source":"DOI.org (Crossref)","title":"Optimized date palm waste composting: Accelerating maturity via C:N ratio and moisture adjustments using a rotary drum system","title-short":"Optimized date palm waste composting","volume":"26","author":[{"family":"Ouali","given":"Abdelouahad"},{"family":"Hiouani","given":"Fatima"},{"family":"Beribeche","given":"Khadidja"},{"family":"Madani","given":"Djamila"}],"issued":{"date-parts":[["2025",8,1]]}}}],"schema":"https://github.com/citation-style-language/schema/raw/master/csl-citation.json"} </w:instrText>
      </w:r>
      <w:r w:rsidRPr="000C01CA" w:rsidR="000703F4">
        <w:rPr>
          <w:rFonts w:ascii="Times New Roman" w:hAnsi="Times New Roman" w:cs="Times New Roman"/>
          <w:sz w:val="24"/>
          <w:szCs w:val="24"/>
        </w:rPr>
        <w:fldChar w:fldCharType="separate"/>
      </w:r>
      <w:r w:rsidRPr="000C01CA" w:rsidR="000703F4">
        <w:rPr>
          <w:rFonts w:ascii="Times New Roman" w:hAnsi="Times New Roman" w:cs="Times New Roman"/>
          <w:sz w:val="24"/>
        </w:rPr>
        <w:t>23]</w:t>
      </w:r>
      <w:r w:rsidRPr="000C01CA" w:rsidR="000703F4">
        <w:rPr>
          <w:rFonts w:ascii="Times New Roman" w:hAnsi="Times New Roman" w:cs="Times New Roman"/>
          <w:sz w:val="24"/>
          <w:szCs w:val="24"/>
        </w:rPr>
        <w:fldChar w:fldCharType="end"/>
      </w:r>
      <w:r w:rsidRPr="000C01CA">
        <w:rPr>
          <w:rFonts w:ascii="Times New Roman" w:hAnsi="Times New Roman" w:cs="Times New Roman"/>
          <w:sz w:val="24"/>
          <w:szCs w:val="24"/>
        </w:rPr>
        <w:t>. The high C/N ratio inherent in some arid residues, such as date palm waste, leads to low rates of nitrogen mineralization, potentially necessitating composting periods of up to 270 days to reach stability</w:t>
      </w:r>
      <w:r w:rsidRPr="000C01CA" w:rsidR="000012F8">
        <w:rPr>
          <w:rFonts w:ascii="Times New Roman" w:hAnsi="Times New Roman" w:cs="Times New Roman"/>
          <w:sz w:val="24"/>
          <w:szCs w:val="24"/>
        </w:rPr>
        <w:t xml:space="preserve"> </w:t>
      </w:r>
      <w:r w:rsidRPr="000C01CA" w:rsidR="000703F4">
        <w:rPr>
          <w:rFonts w:ascii="Times New Roman" w:hAnsi="Times New Roman" w:cs="Times New Roman"/>
          <w:sz w:val="24"/>
          <w:szCs w:val="24"/>
        </w:rPr>
        <w:fldChar w:fldCharType="begin"/>
      </w:r>
      <w:r w:rsidRPr="000C01CA" w:rsidR="000703F4">
        <w:rPr>
          <w:rFonts w:ascii="Times New Roman" w:hAnsi="Times New Roman" w:cs="Times New Roman"/>
          <w:sz w:val="24"/>
          <w:szCs w:val="24"/>
        </w:rPr>
        <w:instrText xml:space="preserve"> ADDIN ZOTERO_ITEM CSL_CITATION {"citationID":"MEGZpHno","properties":{"formattedCitation":"[23]","plainCitation":"[23]","noteIndex":0},"citationItems":[{"id":58,"uris":["http://zotero.org/users/local/NWCAR5we/items/374XSQQW"],"itemData":{"id":58,"type":"article-journal","abstract":"Date palm waste (DPW) compost poses several challenges attributed to its lignocellulosic composition, which restricts biodegradability. This study used DPW, chicken litter (CkL), and water to achieve 60% moisture and 30 C:N ratio, following a compost recipe calculator. Using a rotary drum bioreactor over 20 days, the thermophilic phase lasted 12 days, achieving a biodegradation rate of 0.51. During this process, bulk density (BD), electrical conductivity (EC), and pH increased with 0.21 g/l, 1.84 dS/m, and 0.86, respectively. In contrast, free airspace (FAS) and moisture content (MC) decreased by 16.18% and 34.74%, respectively. Most nutrient content increased due to the mass loss. Ultimately, the C:N ratio dropped from 32.58 to 21.82, indicating maturity; however, the germination index was 57.56 ± 9.43%, suggesting immaturity and moderate phytotoxicity. Although adjustments to the C:N ratio promoted early maturation, further modifications or time are required for complete maturation of the compost within the 20-day timeframe.","container-title":"Journal of Ecological Engineering","DOI":"10.12911/22998993/203810","ISSN":"2299-8993","issue":"8","journalAbbreviation":"J. Ecol. Eng.","language":"en","license":"https://creativecommons.org/licenses/by/4.0/","page":"120-131","source":"DOI.org (Crossref)","title":"Optimized date palm waste composting: Accelerating maturity via C:N ratio and moisture adjustments using a rotary drum system","title-short":"Optimized date palm waste composting","volume":"26","author":[{"family":"Ouali","given":"Abdelouahad"},{"family":"Hiouani","given":"Fatima"},{"family":"Beribeche","given":"Khadidja"},{"family":"Madani","given":"Djamila"}],"issued":{"date-parts":[["2025",8,1]]}}}],"schema":"https://github.com/citation-style-language/schema/raw/master/csl-citation.json"} </w:instrText>
      </w:r>
      <w:r w:rsidRPr="000C01CA" w:rsidR="000703F4">
        <w:rPr>
          <w:rFonts w:ascii="Times New Roman" w:hAnsi="Times New Roman" w:cs="Times New Roman"/>
          <w:sz w:val="24"/>
          <w:szCs w:val="24"/>
        </w:rPr>
        <w:fldChar w:fldCharType="separate"/>
      </w:r>
      <w:r w:rsidRPr="000C01CA" w:rsidR="000703F4">
        <w:rPr>
          <w:rFonts w:ascii="Times New Roman" w:hAnsi="Times New Roman" w:cs="Times New Roman"/>
          <w:sz w:val="24"/>
        </w:rPr>
        <w:t>[23]</w:t>
      </w:r>
      <w:r w:rsidRPr="000C01CA" w:rsidR="000703F4">
        <w:rPr>
          <w:rFonts w:ascii="Times New Roman" w:hAnsi="Times New Roman" w:cs="Times New Roman"/>
          <w:sz w:val="24"/>
          <w:szCs w:val="24"/>
        </w:rPr>
        <w:fldChar w:fldCharType="end"/>
      </w:r>
      <w:r w:rsidRPr="000C01CA">
        <w:rPr>
          <w:rFonts w:ascii="Times New Roman" w:hAnsi="Times New Roman" w:cs="Times New Roman"/>
          <w:sz w:val="24"/>
          <w:szCs w:val="24"/>
        </w:rPr>
        <w:t>.</w:t>
      </w:r>
    </w:p>
    <w:p w:rsidRPr="000C01CA" w:rsidR="00E832A3" w:rsidP="00102447" w:rsidRDefault="00473BC6" w14:paraId="74C23FFF" w14:textId="4B401808">
      <w:pPr>
        <w:spacing w:line="360" w:lineRule="auto"/>
        <w:jc w:val="both"/>
        <w:rPr>
          <w:rFonts w:ascii="Times New Roman" w:hAnsi="Times New Roman" w:cs="Times New Roman"/>
          <w:sz w:val="24"/>
          <w:szCs w:val="24"/>
        </w:rPr>
      </w:pPr>
      <w:r w:rsidRPr="000C01CA">
        <w:rPr>
          <w:rFonts w:ascii="Times New Roman" w:hAnsi="Times New Roman" w:cs="Times New Roman"/>
          <w:sz w:val="24"/>
          <w:szCs w:val="24"/>
        </w:rPr>
        <w:t>Co-digestion as Mitigation: To overcome these kinetic constraints, anaerobic co-digestion (AcoD) is often mandatory</w:t>
      </w:r>
      <w:r w:rsidRPr="000C01CA" w:rsidR="00250EAF">
        <w:rPr>
          <w:rFonts w:ascii="Times New Roman" w:hAnsi="Times New Roman" w:cs="Times New Roman"/>
          <w:sz w:val="24"/>
          <w:szCs w:val="24"/>
        </w:rPr>
        <w:t xml:space="preserve"> </w:t>
      </w:r>
      <w:r w:rsidRPr="000C01CA" w:rsidR="000703F4">
        <w:rPr>
          <w:rFonts w:ascii="Times New Roman" w:hAnsi="Times New Roman" w:cs="Times New Roman"/>
          <w:sz w:val="24"/>
          <w:szCs w:val="24"/>
        </w:rPr>
        <w:fldChar w:fldCharType="begin"/>
      </w:r>
      <w:r w:rsidRPr="000C01CA" w:rsidR="000703F4">
        <w:rPr>
          <w:rFonts w:ascii="Times New Roman" w:hAnsi="Times New Roman" w:cs="Times New Roman"/>
          <w:sz w:val="24"/>
          <w:szCs w:val="24"/>
        </w:rPr>
        <w:instrText xml:space="preserve"> ADDIN ZOTERO_ITEM CSL_CITATION {"citationID":"Ej8uWKaM","properties":{"formattedCitation":"[22]","plainCitation":"[22]","noteIndex":0},"citationItems":[{"id":40,"uris":["http://zotero.org/users/local/NWCAR5we/items/SDWAW8WX"],"itemData":{"id":40,"type":"article-journal","abstract":"This review relates the kinetics of anaerobic digestion (AD) to energy outcomes, including typical ranges of methane yields and volumetric methane productivities (down to hourly g L−1 h−1 scales relevant for industrial plants). It further translates these relationships into practical control principles that support stable, high methane productivity. Evidence spans substrate selection and co-digestion with emphasis on carbon/nitrogen (C/N) balance, pretreatment strategies, and reactor operation, linking process constraints with operating parameters to identify interventions that raise performance while limiting inhibition. Improving substrate accessibility is the primary step: pretreatment and co-digestion shift limitation beyond hydrolysis and allow safe increases in organic loading. Typical mesophilic operation involves hydraulic retention times of about 10–40 days for food waste and 20–60 days for different types of livestock manure and slowly degradable energy crops, with stable performance achieved when the solids retention time (SRT) is maintained longer than the hydraulic retention time (HRT). Stability is further governed by sustaining a low hydrogen partial pressure through hydrogenotrophic methanogenesis. Temperature and pH define practicable operating ranges; meanwhile, mixing should minimise diffusion resistance without damaging biomass structure. Early-warning indicators—volatile fatty acids (VFAs)/alkalinity, the propionate/acetate ratio, specific methanogenic activity, methane (CH4)% and gas flow—enable timely adjustment of loading, retention, buffering, mixing intensity and micronutrient supply (Ni, Co, Fe, Mo). In practice, robust operation is generally associated with VFA/alkalinity ratios below about 0.3 and CH4 contents typically in the range of 50–70% (v/v) in biogas. The review consolidates typical feedstock characteristics and biochemical methane potential (BMP) ranges, as well as outlines common reactor types with their advantages and limitations, linking operational choices to energy yield in combined heat and power (CHP) and biomethane pathways. Reported pretreatment effects span approximately 20–100% higher methane yields; for example, 18–37% increases after mechanical size reduction, around 20–30% gains at 120–121 ◦C for thermal treatments, and in some cases nearly a two-fold increase for more severe thermal or combined methods. Priorities are set for adaptive control, micronutrient management, biomass-retention strategies, and standardised monitoring, providing a coherent route from kinetic understanding to dependable energy performance and explaining how substrate composition, pretreatment, operating parameters, and kinetic constraints jointly determine methane and energy yield, with particular emphasis on early-warning indicators.","container-title":"Energies","DOI":"10.3390/en18236262","ISSN":"1996-1073","issue":"23","journalAbbreviation":"Energies","language":"en","page":"6262","source":"DOI.org (Crossref)","title":"Kinetics and Energy Yield in Anaerobic Digestion: Effects of Substrate Composition and Fundamental Operating Conditions","title-short":"Kinetics and Energy Yield in Anaerobic Digestion","volume":"18","author":[{"family":"Pilarski","given":"Krzysztof"},{"family":"Pilarska","given":"Agnieszka A."}],"issued":{"date-parts":[["2025",11,28]]}}}],"schema":"https://github.com/citation-style-language/schema/raw/master/csl-citation.json"} </w:instrText>
      </w:r>
      <w:r w:rsidRPr="000C01CA" w:rsidR="000703F4">
        <w:rPr>
          <w:rFonts w:ascii="Times New Roman" w:hAnsi="Times New Roman" w:cs="Times New Roman"/>
          <w:sz w:val="24"/>
          <w:szCs w:val="24"/>
        </w:rPr>
        <w:fldChar w:fldCharType="separate"/>
      </w:r>
      <w:r w:rsidRPr="000C01CA" w:rsidR="000703F4">
        <w:rPr>
          <w:rFonts w:ascii="Times New Roman" w:hAnsi="Times New Roman" w:cs="Times New Roman"/>
          <w:sz w:val="24"/>
        </w:rPr>
        <w:t>[22]</w:t>
      </w:r>
      <w:r w:rsidRPr="000C01CA" w:rsidR="000703F4">
        <w:rPr>
          <w:rFonts w:ascii="Times New Roman" w:hAnsi="Times New Roman" w:cs="Times New Roman"/>
          <w:sz w:val="24"/>
          <w:szCs w:val="24"/>
        </w:rPr>
        <w:fldChar w:fldCharType="end"/>
      </w:r>
      <w:r w:rsidRPr="000C01CA">
        <w:rPr>
          <w:rFonts w:ascii="Times New Roman" w:hAnsi="Times New Roman" w:cs="Times New Roman"/>
          <w:sz w:val="24"/>
          <w:szCs w:val="24"/>
        </w:rPr>
        <w:t>. AcoD involves mixing AV residues (the carbon source) with N-rich waste streams (e.g., animal manure or food waste) to balance the C/N ratio and dilute potentia</w:t>
      </w:r>
      <w:r w:rsidRPr="000C01CA" w:rsidR="0015574E">
        <w:rPr>
          <w:rFonts w:ascii="Times New Roman" w:hAnsi="Times New Roman" w:cs="Times New Roman"/>
          <w:sz w:val="24"/>
          <w:szCs w:val="24"/>
        </w:rPr>
        <w:t>l inhibitors</w:t>
      </w:r>
      <w:r w:rsidRPr="000C01CA">
        <w:rPr>
          <w:rFonts w:ascii="Times New Roman" w:hAnsi="Times New Roman" w:cs="Times New Roman"/>
          <w:sz w:val="24"/>
          <w:szCs w:val="24"/>
        </w:rPr>
        <w:t>.</w:t>
      </w:r>
    </w:p>
    <w:p w:rsidR="009F7062" w:rsidP="00102447" w:rsidRDefault="00473BC6" w14:paraId="04EE85DD" w14:textId="02A9402C">
      <w:pPr>
        <w:spacing w:line="360" w:lineRule="auto"/>
        <w:jc w:val="both"/>
        <w:rPr>
          <w:rFonts w:ascii="Times New Roman" w:hAnsi="Times New Roman" w:cs="Times New Roman"/>
          <w:sz w:val="24"/>
          <w:szCs w:val="24"/>
        </w:rPr>
      </w:pPr>
      <w:r w:rsidRPr="000C01CA">
        <w:rPr>
          <w:rFonts w:ascii="Times New Roman" w:hAnsi="Times New Roman" w:cs="Times New Roman"/>
          <w:sz w:val="24"/>
          <w:szCs w:val="24"/>
        </w:rPr>
        <w:t xml:space="preserve">Precision Modeling and Synergies: </w:t>
      </w:r>
      <w:r w:rsidRPr="000C01CA" w:rsidR="005E5BBB">
        <w:rPr>
          <w:rFonts w:ascii="Times New Roman" w:hAnsi="Times New Roman" w:cs="Times New Roman"/>
          <w:sz w:val="24"/>
          <w:szCs w:val="24"/>
        </w:rPr>
        <w:t>The efficiency of substrate mixing is commonly assessed using Biochemical Methane Potential (BMP) tests</w:t>
      </w:r>
      <w:r w:rsidRPr="000C01CA" w:rsidR="00CE2EE8">
        <w:rPr>
          <w:rFonts w:ascii="Times New Roman" w:hAnsi="Times New Roman" w:cs="Times New Roman"/>
          <w:sz w:val="24"/>
          <w:szCs w:val="24"/>
        </w:rPr>
        <w:t xml:space="preserve"> </w:t>
      </w:r>
      <w:r w:rsidRPr="000C01CA" w:rsidR="000703F4">
        <w:rPr>
          <w:rFonts w:ascii="Times New Roman" w:hAnsi="Times New Roman" w:cs="Times New Roman"/>
          <w:sz w:val="24"/>
          <w:szCs w:val="24"/>
        </w:rPr>
        <w:fldChar w:fldCharType="begin"/>
      </w:r>
      <w:r w:rsidRPr="000C01CA" w:rsidR="000703F4">
        <w:rPr>
          <w:rFonts w:ascii="Times New Roman" w:hAnsi="Times New Roman" w:cs="Times New Roman"/>
          <w:sz w:val="24"/>
          <w:szCs w:val="24"/>
        </w:rPr>
        <w:instrText xml:space="preserve"> ADDIN ZOTERO_ITEM CSL_CITATION {"citationID":"XFIGd4Hz","properties":{"formattedCitation":"[24]","plainCitation":"[24]","noteIndex":0},"citationItems":[{"id":38,"uris":["http://zotero.org/users/local/NWCAR5we/items/HB7RIJGR"],"itemData":{"id":38,"type":"article-journal","container-title":"BioResources","DOI":"10.15376/biores.8.2.2487-2498","ISSN":"1930-2126","issue":"2","language":"en","page":"2487-2498","source":"DOI.org (Crossref)","title":"Biochemical Methane Potential (BMP) of Vinegar Residue and the Influence of Feed to Inoculum Ratios on Biogas Production","volume":"8","author":[{"family":"Feng","given":"Lu"},{"family":"Li","given":"Yeqing"},{"family":"Chen","given":"Chang"},{"family":"Liu","given":"Xiaoying"},{"family":"Xiao","given":"Xiao"},{"family":"Ma","given":"Xinxin"},{"family":"Zhang","given":"Ruihong"},{"family":"He","given":"Yanfeng"},{"family":"Liu","given":"Guangqing"}],"issued":{"date-parts":[["2013",3,29]]}}}],"schema":"https://github.com/citation-style-language/schema/raw/master/csl-citation.json"} </w:instrText>
      </w:r>
      <w:r w:rsidRPr="000C01CA" w:rsidR="000703F4">
        <w:rPr>
          <w:rFonts w:ascii="Times New Roman" w:hAnsi="Times New Roman" w:cs="Times New Roman"/>
          <w:sz w:val="24"/>
          <w:szCs w:val="24"/>
        </w:rPr>
        <w:fldChar w:fldCharType="separate"/>
      </w:r>
      <w:r w:rsidRPr="000C01CA" w:rsidR="000703F4">
        <w:rPr>
          <w:rFonts w:ascii="Times New Roman" w:hAnsi="Times New Roman" w:cs="Times New Roman"/>
          <w:sz w:val="24"/>
        </w:rPr>
        <w:t>[24]</w:t>
      </w:r>
      <w:r w:rsidRPr="000C01CA" w:rsidR="000703F4">
        <w:rPr>
          <w:rFonts w:ascii="Times New Roman" w:hAnsi="Times New Roman" w:cs="Times New Roman"/>
          <w:sz w:val="24"/>
          <w:szCs w:val="24"/>
        </w:rPr>
        <w:fldChar w:fldCharType="end"/>
      </w:r>
      <w:r w:rsidRPr="000C01CA" w:rsidR="00250EAF">
        <w:rPr>
          <w:rFonts w:ascii="Times New Roman" w:hAnsi="Times New Roman" w:cs="Times New Roman"/>
          <w:sz w:val="24"/>
          <w:szCs w:val="24"/>
        </w:rPr>
        <w:t>.</w:t>
      </w:r>
      <w:r w:rsidRPr="000C01CA">
        <w:rPr>
          <w:rFonts w:ascii="Times New Roman" w:hAnsi="Times New Roman" w:cs="Times New Roman"/>
          <w:sz w:val="24"/>
          <w:szCs w:val="24"/>
        </w:rPr>
        <w:t xml:space="preserve"> For instance, combining multiple tomato residues achieved a maximum BMP of</w:t>
      </w:r>
      <w:r w:rsidRPr="000C01CA" w:rsidR="00D86C54">
        <w:rPr>
          <w:rFonts w:ascii="Times New Roman" w:hAnsi="Times New Roman" w:cs="Times New Roman"/>
          <w:sz w:val="24"/>
          <w:szCs w:val="24"/>
        </w:rPr>
        <w:t xml:space="preserve"> </w:t>
      </w:r>
      <w:r w:rsidRPr="000C01CA">
        <w:rPr>
          <w:rFonts w:ascii="Times New Roman" w:hAnsi="Times New Roman" w:cs="Times New Roman"/>
          <w:sz w:val="24"/>
          <w:szCs w:val="24"/>
        </w:rPr>
        <w:t xml:space="preserve"> </w:t>
      </w:r>
      <m:oMath>
        <m:r>
          <m:rPr>
            <m:sty m:val="p"/>
          </m:rPr>
          <w:rPr>
            <w:rFonts w:ascii="Cambria Math" w:hAnsi="Cambria Math" w:cs="Times New Roman"/>
            <w:sz w:val="24"/>
            <w:szCs w:val="24"/>
          </w:rPr>
          <m:t xml:space="preserve">324 </m:t>
        </m:r>
        <m:d>
          <m:dPr>
            <m:ctrlPr>
              <w:rPr>
                <w:rFonts w:ascii="Cambria Math" w:hAnsi="Cambria Math" w:cs="Times New Roman"/>
                <w:sz w:val="24"/>
                <w:szCs w:val="24"/>
              </w:rPr>
            </m:ctrlPr>
          </m:dPr>
          <m:e>
            <m:r>
              <w:rPr>
                <w:rFonts w:ascii="Cambria Math" w:hAnsi="Cambria Math" w:cs="Times New Roman"/>
                <w:sz w:val="24"/>
                <w:szCs w:val="24"/>
              </w:rPr>
              <m:t>NmLC</m:t>
            </m:r>
            <m:sSub>
              <m:sSubPr>
                <m:ctrlPr>
                  <w:rPr>
                    <w:rFonts w:ascii="Cambria Math" w:hAnsi="Cambria Math" w:cs="Times New Roman"/>
                    <w:sz w:val="24"/>
                    <w:szCs w:val="24"/>
                  </w:rPr>
                </m:ctrlPr>
              </m:sSubPr>
              <m:e>
                <m:r>
                  <w:rPr>
                    <w:rFonts w:ascii="Cambria Math" w:hAnsi="Cambria Math" w:cs="Times New Roman"/>
                    <w:sz w:val="24"/>
                    <w:szCs w:val="24"/>
                  </w:rPr>
                  <m:t>H</m:t>
                </m:r>
              </m:e>
              <m:sub>
                <m:r>
                  <m:rPr>
                    <m:sty m:val="p"/>
                  </m:rPr>
                  <w:rPr>
                    <w:rFonts w:ascii="Cambria Math" w:hAnsi="Cambria Math" w:cs="Times New Roman"/>
                    <w:sz w:val="24"/>
                    <w:szCs w:val="24"/>
                  </w:rPr>
                  <m:t>4</m:t>
                </m:r>
              </m:sub>
            </m:sSub>
          </m:e>
        </m:d>
        <m:r>
          <m:rPr>
            <m:sty m:val="p"/>
          </m:rPr>
          <w:rPr>
            <w:rFonts w:ascii="Cambria Math" w:hAnsi="Cambria Math" w:cs="Times New Roman"/>
            <w:sz w:val="24"/>
            <w:szCs w:val="24"/>
          </w:rPr>
          <m:t>.</m:t>
        </m:r>
        <m:sSup>
          <m:sSupPr>
            <m:ctrlPr>
              <w:rPr>
                <w:rFonts w:ascii="Cambria Math" w:hAnsi="Cambria Math" w:cs="Times New Roman"/>
                <w:sz w:val="24"/>
                <w:szCs w:val="24"/>
              </w:rPr>
            </m:ctrlPr>
          </m:sSupPr>
          <m:e>
            <m:r>
              <m:rPr>
                <m:sty m:val="p"/>
              </m:rPr>
              <w:rPr>
                <w:rFonts w:ascii="Cambria Math" w:hAnsi="Cambria Math" w:cs="Times New Roman"/>
                <w:sz w:val="24"/>
                <w:szCs w:val="24"/>
              </w:rPr>
              <m:t>(</m:t>
            </m:r>
            <m:r>
              <w:rPr>
                <w:rFonts w:ascii="Cambria Math" w:hAnsi="Cambria Math" w:cs="Times New Roman"/>
                <w:sz w:val="24"/>
                <w:szCs w:val="24"/>
              </w:rPr>
              <m:t>gVS</m:t>
            </m:r>
            <m:r>
              <m:rPr>
                <m:sty m:val="p"/>
              </m:rPr>
              <w:rPr>
                <w:rFonts w:ascii="Cambria Math" w:hAnsi="Cambria Math" w:cs="Times New Roman"/>
                <w:sz w:val="24"/>
                <w:szCs w:val="24"/>
              </w:rPr>
              <m:t xml:space="preserve">) </m:t>
            </m:r>
          </m:e>
          <m:sup>
            <m:r>
              <m:rPr>
                <m:sty m:val="p"/>
              </m:rPr>
              <w:rPr>
                <w:rFonts w:ascii="Cambria Math" w:hAnsi="Cambria Math" w:cs="Times New Roman"/>
                <w:sz w:val="24"/>
                <w:szCs w:val="24"/>
              </w:rPr>
              <m:t>-1</m:t>
            </m:r>
          </m:sup>
        </m:sSup>
      </m:oMath>
      <w:r w:rsidRPr="000C01CA" w:rsidR="00E832A3">
        <w:rPr>
          <w:rFonts w:ascii="Times New Roman" w:hAnsi="Times New Roman" w:cs="Times New Roman"/>
          <w:sz w:val="24"/>
          <w:szCs w:val="24"/>
        </w:rPr>
        <w:t xml:space="preserve"> </w:t>
      </w:r>
      <w:r w:rsidRPr="000C01CA">
        <w:rPr>
          <w:rFonts w:ascii="Times New Roman" w:hAnsi="Times New Roman" w:cs="Times New Roman"/>
          <w:sz w:val="24"/>
          <w:szCs w:val="24"/>
        </w:rPr>
        <w:t>when the highly lignocellulosic branches were kept below 20% of the mixture, demonstrating a synergistic co-digestion performance ind</w:t>
      </w:r>
      <w:r w:rsidRPr="000C01CA" w:rsidR="00D86C54">
        <w:rPr>
          <w:rFonts w:ascii="Times New Roman" w:hAnsi="Times New Roman" w:cs="Times New Roman"/>
          <w:sz w:val="24"/>
          <w:szCs w:val="24"/>
        </w:rPr>
        <w:t>ex of approximately 1.20.</w:t>
      </w:r>
      <w:r w:rsidRPr="000C01CA">
        <w:rPr>
          <w:rFonts w:ascii="Times New Roman" w:hAnsi="Times New Roman" w:cs="Times New Roman"/>
          <w:sz w:val="24"/>
          <w:szCs w:val="24"/>
        </w:rPr>
        <w:t xml:space="preserve"> </w:t>
      </w:r>
      <w:r w:rsidRPr="000C01CA" w:rsidR="005E5BBB">
        <w:rPr>
          <w:rFonts w:ascii="Times New Roman" w:hAnsi="Times New Roman" w:cs="Times New Roman"/>
          <w:sz w:val="24"/>
          <w:szCs w:val="24"/>
        </w:rPr>
        <w:t>Predictive tools such as the Modified Gompertz model and the ADM1 framework are essential for accurately describing and forecasting anaerobic digestion behavior</w:t>
      </w:r>
      <w:r w:rsidRPr="000C01CA" w:rsidR="00A67FBE">
        <w:rPr>
          <w:rFonts w:ascii="Times New Roman" w:hAnsi="Times New Roman" w:cs="Times New Roman"/>
          <w:sz w:val="24"/>
          <w:szCs w:val="24"/>
        </w:rPr>
        <w:t>.</w:t>
      </w:r>
      <w:r w:rsidRPr="000C01CA" w:rsidR="00554B81">
        <w:rPr>
          <w:rFonts w:ascii="Times New Roman" w:hAnsi="Times New Roman" w:cs="Times New Roman"/>
          <w:sz w:val="24"/>
          <w:szCs w:val="24"/>
        </w:rPr>
        <w:t xml:space="preserve"> They allow us to optimize these blends and anticipate </w:t>
      </w:r>
      <w:r w:rsidRPr="000C01CA" w:rsidR="00554B81">
        <w:rPr>
          <w:rFonts w:ascii="Times New Roman" w:hAnsi="Times New Roman" w:cs="Times New Roman"/>
          <w:sz w:val="24"/>
          <w:szCs w:val="24"/>
        </w:rPr>
        <w:t>kinetic failures by monitoring vital indicators like the Volat</w:t>
      </w:r>
      <w:r w:rsidRPr="000C01CA" w:rsidR="00D86C54">
        <w:rPr>
          <w:rFonts w:ascii="Times New Roman" w:hAnsi="Times New Roman" w:cs="Times New Roman"/>
          <w:sz w:val="24"/>
          <w:szCs w:val="24"/>
        </w:rPr>
        <w:t>ile Fatty Acids to Alkalinity (</w:t>
      </w:r>
      <m:oMath>
        <m:r>
          <w:rPr>
            <w:rFonts w:ascii="Cambria Math" w:hAnsi="Cambria Math" w:cs="Times New Roman"/>
            <w:sz w:val="24"/>
            <w:szCs w:val="24"/>
          </w:rPr>
          <m:t>VFA</m:t>
        </m:r>
        <m:r>
          <m:rPr>
            <m:sty m:val="p"/>
          </m:rPr>
          <w:rPr>
            <w:rFonts w:ascii="Cambria Math" w:hAnsi="Cambria Math" w:cs="Times New Roman"/>
            <w:sz w:val="24"/>
            <w:szCs w:val="24"/>
          </w:rPr>
          <m:t>/</m:t>
        </m:r>
        <m:r>
          <w:rPr>
            <w:rFonts w:ascii="Cambria Math" w:hAnsi="Cambria Math" w:cs="Times New Roman"/>
            <w:sz w:val="24"/>
            <w:szCs w:val="24"/>
          </w:rPr>
          <m:t>Alk</m:t>
        </m:r>
      </m:oMath>
      <w:r w:rsidRPr="000C01CA" w:rsidR="00554B81">
        <w:rPr>
          <w:rFonts w:ascii="Times New Roman" w:hAnsi="Times New Roman" w:cs="Times New Roman"/>
          <w:sz w:val="24"/>
          <w:szCs w:val="24"/>
        </w:rPr>
        <w:t>) ratio</w:t>
      </w:r>
      <w:r w:rsidRPr="000C01CA" w:rsidR="00260DBA">
        <w:rPr>
          <w:rFonts w:ascii="Times New Roman" w:hAnsi="Times New Roman" w:cs="Times New Roman"/>
          <w:sz w:val="24"/>
          <w:szCs w:val="24"/>
        </w:rPr>
        <w:t xml:space="preserve"> </w:t>
      </w:r>
      <w:r w:rsidRPr="000C01CA" w:rsidR="00250EAF">
        <w:rPr>
          <w:rFonts w:ascii="Times New Roman" w:hAnsi="Times New Roman" w:cs="Times New Roman"/>
          <w:sz w:val="24"/>
          <w:szCs w:val="24"/>
        </w:rPr>
        <w:fldChar w:fldCharType="begin"/>
      </w:r>
      <w:r w:rsidRPr="000C01CA" w:rsidR="00760351">
        <w:rPr>
          <w:rFonts w:ascii="Times New Roman" w:hAnsi="Times New Roman" w:cs="Times New Roman"/>
          <w:sz w:val="24"/>
          <w:szCs w:val="24"/>
        </w:rPr>
        <w:instrText xml:space="preserve"> ADDIN ZOTERO_ITEM CSL_CITATION {"citationID":"JyxROQ4x","properties":{"formattedCitation":"[21], [22]","plainCitation":"[21], [22]","dontUpdate":true,"noteIndex":0},"citationItems":[{"id":31,"uris":["http://zotero.org/users/local/NWCAR5we/items/E2JHSKFU"],"itemData":{"id":31,"type":"article-journal","abstract":"This paper aims to investigate a hybrid photovoltaic (PV) biogas on-grid energy system in Al-Ghabawi territory, Amman, Jordan. The system is accomplished by assessing the system’s reliability and economic viability. Realistic hourly measurements of solar irradiance, ambient temperature, municipal solid waste, and load demand in 2020 were obtained from Jordanian governmental entities. This helps in investigating the proposed system on a real megawatt-scale retroﬁtting power system. Three case scenarios were performed: loss of power supply probability (LPSP) with total net present cost (TNPC), LPSP with an annualized cost of the system (ACS), and TNPC with the index of reliability (IR). Pareto frontiers were obtained using multi-objective feasibility enhanced particle swarm optimization (MOFEPSO) algorithm. The system’s decision variables were the number of PV panels (Npv) and the number of biogas plant working hours per day (tbiogas). Moreover, three non-dominant Pareto frontier solutions are discussed, including reliable, affordable, and best solutions obtained by fuzzy logic. Double-diode (DD) solar PV model was implemented to obtain an accurate sizing of the proposed system. For instance, the best solution of the third case is held at TNPC of 64.504 million USD/yr and IR of 96.048%. These ﬁndings were revealed at 33,459 panels and 12.498 h/day. Further, system emissions for each scenario have been tested. Finally, decision makers are invited to adopt to the ﬁndings and energy management strategy of this paper to ﬁnd reliable and cost-effective best solutions.","container-title":"Sustainability","DOI":"10.3390/su14020685","ISSN":"2071-1050","issue":"2","journalAbbreviation":"Sustainability","language":"en","page":"685","source":"DOI.org (Crossref)","title":"Optimal Allocation of a Hybrid Photovoltaic Biogas Energy System Using Multi-Objective Feasibility Enhanced Particle Swarm Algorithm","volume":"14","author":[{"family":"Al-Masri","given":"Hussein M. K."},{"family":"Al-Sharqi","given":"Abed A."},{"family":"Magableh","given":"Sharaf K."},{"family":"Al-Shetwi","given":"Ali Q."},{"family":"Abdolrasol","given":"Maher G. M."},{"family":"Ustun","given":"Taha Selim"}],"issued":{"date-parts":[["2022",1,9]]}}},{"id":40,"uris":["http://zotero.org/users/local/NWCAR5we/items/SDWAW8WX"],"itemData":{"id":40,"type":"article-journal","abstract":"This review relates the kinetics of anaerobic digestion (AD) to energy outcomes, including typical ranges of methane yields and volumetric methane productivities (down to hourly g L−1 h−1 scales relevant for industrial plants). It further translates these relationships into practical control principles that support stable, high methane productivity. Evidence spans substrate selection and co-digestion with emphasis on carbon/nitrogen (C/N) balance, pretreatment strategies, and reactor operation, linking process constraints with operating parameters to identify interventions that raise performance while limiting inhibition. Improving substrate accessibility is the primary step: pretreatment and co-digestion shift limitation beyond hydrolysis and allow safe increases in organic loading. Typical mesophilic operation involves hydraulic retention times of about 10–40 days for food waste and 20–60 days for different types of livestock manure and slowly degradable energy crops, with stable performance achieved when the solids retention time (SRT) is maintained longer than the hydraulic retention time (HRT). Stability is further governed by sustaining a low hydrogen partial pressure through hydrogenotrophic methanogenesis. Temperature and pH define practicable operating ranges; meanwhile, mixing should minimise diffusion resistance without damaging biomass structure. Early-warning indicators—volatile fatty acids (VFAs)/alkalinity, the propionate/acetate ratio, specific methanogenic activity, methane (CH4)% and gas flow—enable timely adjustment of loading, retention, buffering, mixing intensity and micronutrient supply (Ni, Co, Fe, Mo). In practice, robust operation is generally associated with VFA/alkalinity ratios below about 0.3 and CH4 contents typically in the range of 50–70% (v/v) in biogas. The review consolidates typical feedstock characteristics and biochemical methane potential (BMP) ranges, as well as outlines common reactor types with their advantages and limitations, linking operational choices to energy yield in combined heat and power (CHP) and biomethane pathways. Reported pretreatment effects span approximately 20–100% higher methane yields; for example, 18–37% increases after mechanical size reduction, around 20–30% gains at 120–121 ◦C for thermal treatments, and in some cases nearly a two-fold increase for more severe thermal or combined methods. Priorities are set for adaptive control, micronutrient management, biomass-retention strategies, and standardised monitoring, providing a coherent route from kinetic understanding to dependable energy performance and explaining how substrate composition, pretreatment, operating parameters, and kinetic constraints jointly determine methane and energy yield, with particular emphasis on early-warning indicators.","container-title":"Energies","DOI":"10.3390/en18236262","ISSN":"1996-1073","issue":"23","journalAbbreviation":"Energies","language":"en","page":"6262","source":"DOI.org (Crossref)","title":"Kinetics and Energy Yield in Anaerobic Digestion: Effects of Substrate Composition and Fundamental Operating Conditions","title-short":"Kinetics and Energy Yield in Anaerobic Digestion","volume":"18","author":[{"family":"Pilarski","given":"Krzysztof"},{"family":"Pilarska","given":"Agnieszka A."}],"issued":{"date-parts":[["2025",11,28]]}}}],"schema":"https://github.com/citation-style-language/schema/raw/master/csl-citation.json"} </w:instrText>
      </w:r>
      <w:r w:rsidRPr="000C01CA" w:rsidR="00250EAF">
        <w:rPr>
          <w:rFonts w:ascii="Times New Roman" w:hAnsi="Times New Roman" w:cs="Times New Roman"/>
          <w:sz w:val="24"/>
          <w:szCs w:val="24"/>
        </w:rPr>
        <w:fldChar w:fldCharType="separate"/>
      </w:r>
      <w:r w:rsidRPr="000C01CA" w:rsidR="00760351">
        <w:rPr>
          <w:rFonts w:ascii="Times New Roman" w:hAnsi="Times New Roman" w:cs="Times New Roman"/>
          <w:sz w:val="24"/>
          <w:szCs w:val="24"/>
        </w:rPr>
        <w:t>[21</w:t>
      </w:r>
      <w:r w:rsidRPr="000C01CA" w:rsidR="00460B5A">
        <w:rPr>
          <w:rFonts w:ascii="Times New Roman" w:hAnsi="Times New Roman" w:cs="Times New Roman"/>
          <w:sz w:val="24"/>
          <w:szCs w:val="24"/>
        </w:rPr>
        <w:t>,</w:t>
      </w:r>
      <w:r w:rsidRPr="000C01CA" w:rsidR="00760351">
        <w:rPr>
          <w:rFonts w:ascii="Times New Roman" w:hAnsi="Times New Roman" w:cs="Times New Roman"/>
          <w:sz w:val="24"/>
          <w:szCs w:val="24"/>
        </w:rPr>
        <w:t xml:space="preserve"> </w:t>
      </w:r>
      <w:r w:rsidRPr="000C01CA" w:rsidR="00260DBA">
        <w:rPr>
          <w:rFonts w:ascii="Times New Roman" w:hAnsi="Times New Roman" w:cs="Times New Roman"/>
          <w:sz w:val="24"/>
          <w:szCs w:val="24"/>
        </w:rPr>
        <w:t>22]</w:t>
      </w:r>
      <w:r w:rsidRPr="000C01CA" w:rsidR="00250EAF">
        <w:rPr>
          <w:rFonts w:ascii="Times New Roman" w:hAnsi="Times New Roman" w:cs="Times New Roman"/>
          <w:sz w:val="24"/>
          <w:szCs w:val="24"/>
        </w:rPr>
        <w:fldChar w:fldCharType="end"/>
      </w:r>
      <w:r w:rsidRPr="000C01CA">
        <w:rPr>
          <w:rFonts w:ascii="Times New Roman" w:hAnsi="Times New Roman" w:cs="Times New Roman"/>
          <w:sz w:val="24"/>
          <w:szCs w:val="24"/>
        </w:rPr>
        <w:t>.</w:t>
      </w:r>
      <w:r w:rsidRPr="000C01CA" w:rsidR="001F176C">
        <w:rPr>
          <w:rFonts w:ascii="Times New Roman" w:hAnsi="Times New Roman" w:cs="Times New Roman"/>
          <w:sz w:val="24"/>
          <w:szCs w:val="24"/>
        </w:rPr>
        <w:t xml:space="preserve"> The Modified Gompertz model is given following this relation:</w:t>
      </w:r>
    </w:p>
    <w:p w:rsidRPr="00263C2D" w:rsidR="00463627" w:rsidP="00463627" w:rsidRDefault="00263C2D" w14:paraId="6FF76AC1" w14:textId="6F8EAD97">
      <w:pPr>
        <w:spacing w:line="360" w:lineRule="auto"/>
        <w:ind w:left="360"/>
        <w:jc w:val="both"/>
        <w:rPr>
          <w:rFonts w:ascii="Times New Roman" w:hAnsi="Times New Roman" w:cs="Times New Roman" w:eastAsiaTheme="minorEastAsia"/>
          <w:sz w:val="24"/>
          <w:szCs w:val="24"/>
        </w:rPr>
      </w:pPr>
      <m:oMathPara>
        <m:oMath>
          <m:eqArr>
            <m:eqArrPr>
              <m:maxDist m:val="1"/>
              <m:ctrlPr>
                <w:rPr>
                  <w:rFonts w:ascii="Cambria Math" w:hAnsi="Cambria Math" w:cs="Times New Roman"/>
                  <w:i/>
                  <w:sz w:val="24"/>
                  <w:szCs w:val="24"/>
                </w:rPr>
              </m:ctrlPr>
            </m:eqArrPr>
            <m:e>
              <m:r>
                <w:rPr>
                  <w:rFonts w:ascii="Cambria Math" w:hAnsi="Cambria Math" w:cs="Times New Roman"/>
                  <w:sz w:val="24"/>
                  <w:szCs w:val="24"/>
                </w:rPr>
                <m:t>M</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 P *</m:t>
              </m:r>
              <m:func>
                <m:funcPr>
                  <m:ctrlPr>
                    <w:rPr>
                      <w:rFonts w:ascii="Cambria Math" w:hAnsi="Cambria Math" w:cs="Times New Roman"/>
                      <w:sz w:val="24"/>
                      <w:szCs w:val="24"/>
                    </w:rPr>
                  </m:ctrlPr>
                </m:funcPr>
                <m:fName>
                  <m:r>
                    <m:rPr>
                      <m:sty m:val="p"/>
                    </m:rPr>
                    <w:rPr>
                      <w:rFonts w:ascii="Cambria Math" w:hAnsi="Cambria Math" w:cs="Times New Roman"/>
                      <w:sz w:val="24"/>
                      <w:szCs w:val="24"/>
                    </w:rPr>
                    <m:t>exp</m:t>
                  </m:r>
                  <m:ctrlPr>
                    <w:rPr>
                      <w:rFonts w:ascii="Cambria Math" w:hAnsi="Cambria Math" w:cs="Times New Roman"/>
                      <w:i/>
                      <w:sz w:val="24"/>
                      <w:szCs w:val="24"/>
                    </w:rPr>
                  </m:ctrlPr>
                </m:fName>
                <m:e>
                  <m:d>
                    <m:dPr>
                      <m:begChr m:val="{"/>
                      <m:endChr m:val="}"/>
                      <m:ctrlPr>
                        <w:rPr>
                          <w:rFonts w:ascii="Cambria Math" w:hAnsi="Cambria Math" w:cs="Times New Roman"/>
                          <w:i/>
                          <w:sz w:val="24"/>
                          <w:szCs w:val="24"/>
                        </w:rPr>
                      </m:ctrlPr>
                    </m:dPr>
                    <m:e>
                      <m:r>
                        <w:rPr>
                          <w:rFonts w:ascii="Cambria Math" w:hAnsi="Cambria Math" w:cs="Times New Roman"/>
                          <w:sz w:val="24"/>
                          <w:szCs w:val="24"/>
                        </w:rPr>
                        <m:t>-</m:t>
                      </m:r>
                      <m:func>
                        <m:funcPr>
                          <m:ctrlPr>
                            <w:rPr>
                              <w:rFonts w:ascii="Cambria Math" w:hAnsi="Cambria Math" w:cs="Times New Roman"/>
                              <w:sz w:val="24"/>
                              <w:szCs w:val="24"/>
                            </w:rPr>
                          </m:ctrlPr>
                        </m:funcPr>
                        <m:fName>
                          <m:r>
                            <m:rPr>
                              <m:sty m:val="p"/>
                            </m:rPr>
                            <w:rPr>
                              <w:rFonts w:ascii="Cambria Math" w:hAnsi="Cambria Math" w:cs="Times New Roman"/>
                              <w:sz w:val="24"/>
                              <w:szCs w:val="24"/>
                            </w:rPr>
                            <m:t>exp</m:t>
                          </m:r>
                          <m:ctrlPr>
                            <w:rPr>
                              <w:rFonts w:ascii="Cambria Math" w:hAnsi="Cambria Math" w:cs="Times New Roman"/>
                              <w:i/>
                              <w:sz w:val="24"/>
                              <w:szCs w:val="24"/>
                            </w:rPr>
                          </m:ctrlPr>
                        </m:fName>
                        <m:e>
                          <m:d>
                            <m:dPr>
                              <m:begChr m:val="["/>
                              <m:endChr m:val="]"/>
                              <m:ctrlPr>
                                <w:rPr>
                                  <w:rFonts w:ascii="Cambria Math" w:hAnsi="Cambria Math" w:cs="Times New Roman"/>
                                  <w:i/>
                                  <w:sz w:val="24"/>
                                  <w:szCs w:val="24"/>
                                </w:rPr>
                              </m:ctrlPr>
                            </m:dPr>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max</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e</m:t>
                                      </m:r>
                                    </m:num>
                                    <m:den>
                                      <m:r>
                                        <w:rPr>
                                          <w:rFonts w:ascii="Cambria Math" w:hAnsi="Cambria Math" w:cs="Times New Roman"/>
                                          <w:sz w:val="24"/>
                                          <w:szCs w:val="24"/>
                                        </w:rPr>
                                        <m:t>P</m:t>
                                      </m:r>
                                    </m:den>
                                  </m:f>
                                </m:e>
                              </m:d>
                              <m:r>
                                <w:rPr>
                                  <w:rFonts w:ascii="Cambria Math" w:hAnsi="Cambria Math" w:cs="Times New Roman"/>
                                  <w:sz w:val="24"/>
                                  <w:szCs w:val="24"/>
                                </w:rPr>
                                <m:t xml:space="preserve">* </m:t>
                              </m:r>
                              <m:d>
                                <m:dPr>
                                  <m:ctrlPr>
                                    <w:rPr>
                                      <w:rFonts w:ascii="Cambria Math" w:hAnsi="Cambria Math" w:cs="Times New Roman"/>
                                      <w:i/>
                                      <w:sz w:val="24"/>
                                      <w:szCs w:val="24"/>
                                    </w:rPr>
                                  </m:ctrlPr>
                                </m:dPr>
                                <m:e>
                                  <m:r>
                                    <w:rPr>
                                      <w:rFonts w:ascii="Cambria Math" w:hAnsi="Cambria Math" w:cs="Times New Roman"/>
                                      <w:sz w:val="24"/>
                                      <w:szCs w:val="24"/>
                                    </w:rPr>
                                    <m:t>λ - t</m:t>
                                  </m:r>
                                </m:e>
                              </m:d>
                              <m:r>
                                <w:rPr>
                                  <w:rFonts w:ascii="Cambria Math" w:hAnsi="Cambria Math" w:cs="Times New Roman"/>
                                  <w:sz w:val="24"/>
                                  <w:szCs w:val="24"/>
                                </w:rPr>
                                <m:t>+ 1</m:t>
                              </m:r>
                            </m:e>
                          </m:d>
                        </m:e>
                      </m:func>
                    </m:e>
                  </m:d>
                  <m:r>
                    <w:rPr>
                      <w:rFonts w:ascii="Cambria Math" w:hAnsi="Cambria Math" w:cs="Times New Roman"/>
                      <w:sz w:val="24"/>
                      <w:szCs w:val="24"/>
                    </w:rPr>
                    <m:t xml:space="preserve">  </m:t>
                  </m:r>
                </m:e>
              </m:func>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m:t>
                  </m:r>
                </m:e>
              </m:d>
            </m:e>
          </m:eqArr>
        </m:oMath>
      </m:oMathPara>
    </w:p>
    <w:p w:rsidRPr="000C01CA" w:rsidR="001F176C" w:rsidP="00102447" w:rsidRDefault="001F176C" w14:paraId="0F137FDC" w14:textId="77777777">
      <w:pPr>
        <w:spacing w:line="360" w:lineRule="auto"/>
        <w:jc w:val="both"/>
        <w:rPr>
          <w:rFonts w:ascii="Times New Roman" w:hAnsi="Times New Roman" w:cs="Times New Roman" w:eastAsiaTheme="minorEastAsia"/>
          <w:sz w:val="24"/>
          <w:szCs w:val="24"/>
        </w:rPr>
      </w:pPr>
      <w:proofErr w:type="gramStart"/>
      <w:r w:rsidRPr="000C01CA">
        <w:rPr>
          <w:rFonts w:ascii="Times New Roman" w:hAnsi="Times New Roman" w:cs="Times New Roman" w:eastAsiaTheme="minorEastAsia"/>
          <w:sz w:val="24"/>
          <w:szCs w:val="24"/>
        </w:rPr>
        <w:t>Where</w:t>
      </w:r>
      <w:proofErr w:type="gramEnd"/>
    </w:p>
    <w:p w:rsidRPr="000C01CA" w:rsidR="001F176C" w:rsidP="00102447" w:rsidRDefault="001F176C" w14:paraId="7A1CD177" w14:textId="77777777">
      <w:pPr>
        <w:pStyle w:val="ListParagraph"/>
        <w:numPr>
          <w:ilvl w:val="0"/>
          <w:numId w:val="16"/>
        </w:numPr>
        <w:spacing w:line="360" w:lineRule="auto"/>
        <w:jc w:val="both"/>
        <w:rPr>
          <w:rFonts w:ascii="Times New Roman" w:hAnsi="Times New Roman" w:cs="Times New Roman"/>
          <w:sz w:val="24"/>
          <w:szCs w:val="24"/>
        </w:rPr>
      </w:pPr>
      <m:oMath>
        <m:r>
          <w:rPr>
            <w:rFonts w:ascii="Cambria Math" w:hAnsi="Cambria Math" w:cs="Times New Roman"/>
            <w:sz w:val="24"/>
            <w:szCs w:val="24"/>
          </w:rPr>
          <m:t>M(t)</m:t>
        </m:r>
      </m:oMath>
      <w:r w:rsidRPr="000C01CA">
        <w:rPr>
          <w:rFonts w:ascii="Times New Roman" w:hAnsi="Times New Roman" w:cs="Times New Roman"/>
          <w:sz w:val="24"/>
          <w:szCs w:val="24"/>
        </w:rPr>
        <w:t> : Cumulative methane production at time t (NmL/gVS)</w:t>
      </w:r>
    </w:p>
    <w:p w:rsidRPr="000C01CA" w:rsidR="001F176C" w:rsidP="00102447" w:rsidRDefault="001F176C" w14:paraId="3E9CCB6D" w14:textId="77777777">
      <w:pPr>
        <w:pStyle w:val="ListParagraph"/>
        <w:numPr>
          <w:ilvl w:val="0"/>
          <w:numId w:val="16"/>
        </w:numPr>
        <w:spacing w:line="360" w:lineRule="auto"/>
        <w:jc w:val="both"/>
        <w:rPr>
          <w:rFonts w:ascii="Times New Roman" w:hAnsi="Times New Roman" w:cs="Times New Roman"/>
          <w:sz w:val="24"/>
          <w:szCs w:val="24"/>
        </w:rPr>
      </w:pPr>
      <m:oMath>
        <m:r>
          <w:rPr>
            <w:rFonts w:ascii="Cambria Math" w:hAnsi="Cambria Math" w:cs="Times New Roman" w:eastAsiaTheme="minorEastAsia"/>
            <w:sz w:val="24"/>
            <w:szCs w:val="24"/>
          </w:rPr>
          <m:t>P</m:t>
        </m:r>
      </m:oMath>
      <w:r w:rsidRPr="000C01CA">
        <w:rPr>
          <w:rFonts w:ascii="Times New Roman" w:hAnsi="Times New Roman" w:cs="Times New Roman"/>
          <w:sz w:val="24"/>
          <w:szCs w:val="24"/>
        </w:rPr>
        <w:t xml:space="preserve"> : Ultimate methanogenic potential (BMP)</w:t>
      </w:r>
    </w:p>
    <w:p w:rsidRPr="000C01CA" w:rsidR="001F176C" w:rsidP="00102447" w:rsidRDefault="00FF3FBC" w14:paraId="2034DE8E" w14:textId="77777777">
      <w:pPr>
        <w:pStyle w:val="ListParagraph"/>
        <w:numPr>
          <w:ilvl w:val="0"/>
          <w:numId w:val="16"/>
        </w:num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max</m:t>
            </m:r>
          </m:sub>
        </m:sSub>
      </m:oMath>
      <w:r w:rsidRPr="000C01CA" w:rsidR="001F176C">
        <w:rPr>
          <w:rFonts w:ascii="Times New Roman" w:hAnsi="Times New Roman" w:cs="Times New Roman" w:eastAsiaTheme="minorEastAsia"/>
          <w:sz w:val="24"/>
          <w:szCs w:val="24"/>
        </w:rPr>
        <w:t> : Maximum methane production rate</w:t>
      </w:r>
    </w:p>
    <w:p w:rsidRPr="000C01CA" w:rsidR="001F176C" w:rsidP="00102447" w:rsidRDefault="001F176C" w14:paraId="18E78A88" w14:textId="77777777">
      <w:pPr>
        <w:pStyle w:val="ListParagraph"/>
        <w:numPr>
          <w:ilvl w:val="0"/>
          <w:numId w:val="16"/>
        </w:numPr>
        <w:spacing w:line="360" w:lineRule="auto"/>
        <w:jc w:val="both"/>
        <w:rPr>
          <w:rFonts w:ascii="Times New Roman" w:hAnsi="Times New Roman" w:cs="Times New Roman"/>
          <w:sz w:val="24"/>
          <w:szCs w:val="24"/>
        </w:rPr>
      </w:pPr>
      <m:oMath>
        <m:r>
          <w:rPr>
            <w:rFonts w:ascii="Cambria Math" w:hAnsi="Cambria Math" w:cs="Times New Roman"/>
            <w:sz w:val="24"/>
            <w:szCs w:val="24"/>
          </w:rPr>
          <m:t>λ</m:t>
        </m:r>
      </m:oMath>
      <w:r w:rsidRPr="000C01CA">
        <w:rPr>
          <w:rFonts w:ascii="Times New Roman" w:hAnsi="Times New Roman" w:cs="Times New Roman"/>
          <w:sz w:val="24"/>
          <w:szCs w:val="24"/>
        </w:rPr>
        <w:t> : Latency</w:t>
      </w:r>
    </w:p>
    <w:p w:rsidRPr="000C01CA" w:rsidR="009E43A2" w:rsidP="00102447" w:rsidRDefault="001F176C" w14:paraId="52E118E5" w14:textId="7BE6D990">
      <w:pPr>
        <w:pStyle w:val="ListParagraph"/>
        <w:numPr>
          <w:ilvl w:val="0"/>
          <w:numId w:val="16"/>
        </w:numPr>
        <w:spacing w:line="360" w:lineRule="auto"/>
        <w:jc w:val="both"/>
        <w:rPr>
          <w:rFonts w:ascii="Times New Roman" w:hAnsi="Times New Roman" w:cs="Times New Roman"/>
          <w:sz w:val="24"/>
          <w:szCs w:val="24"/>
        </w:rPr>
      </w:pPr>
      <m:oMath>
        <m:r>
          <w:rPr>
            <w:rFonts w:ascii="Cambria Math" w:hAnsi="Cambria Math" w:cs="Times New Roman"/>
            <w:sz w:val="24"/>
            <w:szCs w:val="24"/>
          </w:rPr>
          <m:t xml:space="preserve">e </m:t>
        </m:r>
      </m:oMath>
      <w:r w:rsidRPr="000C01CA">
        <w:rPr>
          <w:rFonts w:ascii="Times New Roman" w:hAnsi="Times New Roman" w:cs="Times New Roman"/>
          <w:sz w:val="24"/>
          <w:szCs w:val="24"/>
        </w:rPr>
        <w:t xml:space="preserve">: </w:t>
      </w:r>
      <w:proofErr w:type="gramStart"/>
      <w:r w:rsidRPr="000C01CA">
        <w:rPr>
          <w:rFonts w:ascii="Times New Roman" w:hAnsi="Times New Roman" w:cs="Times New Roman"/>
          <w:sz w:val="24"/>
          <w:szCs w:val="24"/>
        </w:rPr>
        <w:t>exp(</w:t>
      </w:r>
      <w:proofErr w:type="gramEnd"/>
      <w:r w:rsidRPr="000C01CA">
        <w:rPr>
          <w:rFonts w:ascii="Times New Roman" w:hAnsi="Times New Roman" w:cs="Times New Roman"/>
          <w:sz w:val="24"/>
          <w:szCs w:val="24"/>
        </w:rPr>
        <w:t>1)</w:t>
      </w:r>
    </w:p>
    <w:p w:rsidRPr="000C01CA" w:rsidR="009E43A2" w:rsidP="00102447" w:rsidRDefault="00DF75E8" w14:paraId="2084EBB9" w14:textId="1F3D8BC6">
      <w:pPr>
        <w:spacing w:line="360" w:lineRule="auto"/>
        <w:ind w:firstLine="720"/>
        <w:jc w:val="both"/>
        <w:rPr>
          <w:rFonts w:ascii="Times New Roman" w:hAnsi="Times New Roman" w:cs="Times New Roman"/>
          <w:sz w:val="24"/>
          <w:szCs w:val="24"/>
        </w:rPr>
      </w:pPr>
      <w:r w:rsidRPr="000C01CA">
        <w:rPr>
          <w:rFonts w:ascii="Times New Roman" w:hAnsi="Times New Roman" w:cs="Times New Roman"/>
          <w:sz w:val="24"/>
          <w:szCs w:val="24"/>
        </w:rPr>
        <w:t>Table</w:t>
      </w:r>
      <w:r w:rsidRPr="000C01CA" w:rsidR="009E43A2">
        <w:rPr>
          <w:rFonts w:ascii="Times New Roman" w:hAnsi="Times New Roman" w:cs="Times New Roman"/>
          <w:sz w:val="24"/>
          <w:szCs w:val="24"/>
        </w:rPr>
        <w:t xml:space="preserve"> </w:t>
      </w:r>
      <w:r w:rsidRPr="000C01CA" w:rsidR="009E43A2">
        <w:rPr>
          <w:rFonts w:ascii="Times New Roman" w:hAnsi="Times New Roman" w:cs="Times New Roman"/>
          <w:sz w:val="24"/>
          <w:szCs w:val="24"/>
        </w:rPr>
        <w:fldChar w:fldCharType="begin"/>
      </w:r>
      <w:r w:rsidRPr="000C01CA" w:rsidR="009E43A2">
        <w:rPr>
          <w:rFonts w:ascii="Times New Roman" w:hAnsi="Times New Roman" w:cs="Times New Roman"/>
          <w:sz w:val="24"/>
          <w:szCs w:val="24"/>
        </w:rPr>
        <w:instrText xml:space="preserve"> SEQ Tableau \* ARABIC </w:instrText>
      </w:r>
      <w:r w:rsidRPr="000C01CA" w:rsidR="009E43A2">
        <w:rPr>
          <w:rFonts w:ascii="Times New Roman" w:hAnsi="Times New Roman" w:cs="Times New Roman"/>
          <w:sz w:val="24"/>
          <w:szCs w:val="24"/>
        </w:rPr>
        <w:fldChar w:fldCharType="separate"/>
      </w:r>
      <w:r w:rsidR="002E72EE">
        <w:rPr>
          <w:rFonts w:ascii="Times New Roman" w:hAnsi="Times New Roman" w:cs="Times New Roman"/>
          <w:noProof/>
          <w:sz w:val="24"/>
          <w:szCs w:val="24"/>
        </w:rPr>
        <w:t>1</w:t>
      </w:r>
      <w:r w:rsidRPr="000C01CA" w:rsidR="009E43A2">
        <w:rPr>
          <w:rFonts w:ascii="Times New Roman" w:hAnsi="Times New Roman" w:cs="Times New Roman"/>
          <w:sz w:val="24"/>
          <w:szCs w:val="24"/>
        </w:rPr>
        <w:fldChar w:fldCharType="end"/>
      </w:r>
      <w:r w:rsidRPr="000C01CA" w:rsidR="009E43A2">
        <w:rPr>
          <w:rFonts w:ascii="Times New Roman" w:hAnsi="Times New Roman" w:cs="Times New Roman"/>
          <w:sz w:val="24"/>
          <w:szCs w:val="24"/>
        </w:rPr>
        <w:t xml:space="preserve"> : Methanogenic potential (BMP) of agricultural substrates</w:t>
      </w:r>
    </w:p>
    <w:tbl>
      <w:tblPr>
        <w:tblStyle w:val="PlainTable1"/>
        <w:tblW w:w="0" w:type="auto"/>
        <w:jc w:val="center"/>
        <w:tblLook w:val="04A0" w:firstRow="1" w:lastRow="0" w:firstColumn="1" w:lastColumn="0" w:noHBand="0" w:noVBand="1"/>
      </w:tblPr>
      <w:tblGrid>
        <w:gridCol w:w="2915"/>
        <w:gridCol w:w="3129"/>
        <w:gridCol w:w="1696"/>
      </w:tblGrid>
      <w:tr w:rsidRPr="000C01CA" w:rsidR="00DF75E8" w:rsidTr="009B45AF" w14:paraId="4A0B7708"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Pr="000C01CA" w:rsidR="009E43A2" w:rsidP="00102447" w:rsidRDefault="009E43A2" w14:paraId="2653EC94" w14:textId="77777777">
            <w:pPr>
              <w:spacing w:after="160" w:line="360" w:lineRule="auto"/>
              <w:ind w:firstLine="720"/>
              <w:jc w:val="both"/>
              <w:rPr>
                <w:rFonts w:ascii="Times New Roman" w:hAnsi="Times New Roman" w:cs="Times New Roman"/>
                <w:sz w:val="24"/>
                <w:szCs w:val="24"/>
              </w:rPr>
            </w:pPr>
            <w:r w:rsidRPr="000C01CA">
              <w:rPr>
                <w:rFonts w:ascii="Times New Roman" w:hAnsi="Times New Roman" w:cs="Times New Roman"/>
                <w:b w:val="0"/>
                <w:bCs w:val="0"/>
                <w:sz w:val="24"/>
                <w:szCs w:val="24"/>
              </w:rPr>
              <w:t>Substrat</w:t>
            </w:r>
            <w:r w:rsidRPr="000C01CA" w:rsidR="009B45AF">
              <w:rPr>
                <w:rFonts w:ascii="Times New Roman" w:hAnsi="Times New Roman" w:cs="Times New Roman"/>
                <w:b w:val="0"/>
                <w:bCs w:val="0"/>
                <w:sz w:val="24"/>
                <w:szCs w:val="24"/>
              </w:rPr>
              <w:t>e</w:t>
            </w:r>
          </w:p>
        </w:tc>
        <w:tc>
          <w:tcPr>
            <w:tcW w:w="0" w:type="auto"/>
            <w:hideMark/>
          </w:tcPr>
          <w:p w:rsidRPr="000C01CA" w:rsidR="009E43A2" w:rsidP="00102447" w:rsidRDefault="009E43A2" w14:paraId="7CA7B178" w14:textId="77777777">
            <w:pPr>
              <w:spacing w:after="160" w:line="360" w:lineRule="auto"/>
              <w:ind w:firstLine="72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01CA">
              <w:rPr>
                <w:rFonts w:ascii="Times New Roman" w:hAnsi="Times New Roman" w:cs="Times New Roman"/>
                <w:b w:val="0"/>
                <w:bCs w:val="0"/>
                <w:sz w:val="24"/>
                <w:szCs w:val="24"/>
              </w:rPr>
              <w:t>BMP (N</w:t>
            </w:r>
            <w:r w:rsidRPr="000C01CA" w:rsidR="009B45AF">
              <w:rPr>
                <w:rFonts w:ascii="Times New Roman" w:hAnsi="Times New Roman" w:cs="Times New Roman"/>
                <w:b w:val="0"/>
                <w:bCs w:val="0"/>
                <w:sz w:val="24"/>
                <w:szCs w:val="24"/>
              </w:rPr>
              <w:t>mL</w:t>
            </w:r>
            <w:r w:rsidRPr="000C01CA">
              <w:rPr>
                <w:rFonts w:ascii="Times New Roman" w:hAnsi="Times New Roman" w:cs="Times New Roman"/>
                <w:b w:val="0"/>
                <w:bCs w:val="0"/>
                <w:sz w:val="24"/>
                <w:szCs w:val="24"/>
              </w:rPr>
              <w:t>CH₄/g VS)</w:t>
            </w:r>
          </w:p>
        </w:tc>
        <w:tc>
          <w:tcPr>
            <w:tcW w:w="0" w:type="auto"/>
            <w:hideMark/>
          </w:tcPr>
          <w:p w:rsidRPr="000C01CA" w:rsidR="009E43A2" w:rsidP="00102447" w:rsidRDefault="00DF75E8" w14:paraId="48504247" w14:textId="77777777">
            <w:pPr>
              <w:spacing w:after="160" w:line="360" w:lineRule="auto"/>
              <w:ind w:firstLine="72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01CA">
              <w:rPr>
                <w:rFonts w:ascii="Times New Roman" w:hAnsi="Times New Roman" w:cs="Times New Roman"/>
                <w:b w:val="0"/>
                <w:bCs w:val="0"/>
                <w:sz w:val="24"/>
                <w:szCs w:val="24"/>
              </w:rPr>
              <w:t>Sources</w:t>
            </w:r>
          </w:p>
        </w:tc>
      </w:tr>
      <w:tr w:rsidRPr="000C01CA" w:rsidR="00DF75E8" w:rsidTr="009B45AF" w14:paraId="710C6D00"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Pr="000C01CA" w:rsidR="009E43A2" w:rsidP="00102447" w:rsidRDefault="009B45AF" w14:paraId="34E2548F" w14:textId="77777777">
            <w:pPr>
              <w:spacing w:after="160" w:line="360" w:lineRule="auto"/>
              <w:jc w:val="both"/>
              <w:rPr>
                <w:rFonts w:ascii="Times New Roman" w:hAnsi="Times New Roman" w:cs="Times New Roman"/>
                <w:b w:val="0"/>
                <w:bCs w:val="0"/>
                <w:sz w:val="24"/>
                <w:szCs w:val="24"/>
              </w:rPr>
            </w:pPr>
            <w:r w:rsidRPr="000C01CA">
              <w:rPr>
                <w:rFonts w:ascii="Times New Roman" w:hAnsi="Times New Roman" w:cs="Times New Roman"/>
                <w:b w:val="0"/>
                <w:bCs w:val="0"/>
                <w:sz w:val="24"/>
                <w:szCs w:val="24"/>
              </w:rPr>
              <w:t>Cattle manure</w:t>
            </w:r>
          </w:p>
        </w:tc>
        <w:tc>
          <w:tcPr>
            <w:tcW w:w="0" w:type="auto"/>
            <w:hideMark/>
          </w:tcPr>
          <w:p w:rsidRPr="000C01CA" w:rsidR="009E43A2" w:rsidP="00102447" w:rsidRDefault="009E43A2" w14:paraId="69D2C5F1" w14:textId="77777777">
            <w:pPr>
              <w:spacing w:after="160" w:line="360" w:lineRule="auto"/>
              <w:ind w:firstLine="7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C01CA">
              <w:rPr>
                <w:rFonts w:ascii="Times New Roman" w:hAnsi="Times New Roman" w:cs="Times New Roman"/>
                <w:b/>
                <w:bCs/>
                <w:sz w:val="24"/>
                <w:szCs w:val="24"/>
              </w:rPr>
              <w:t>~200–280</w:t>
            </w:r>
          </w:p>
        </w:tc>
        <w:tc>
          <w:tcPr>
            <w:tcW w:w="0" w:type="auto"/>
            <w:hideMark/>
          </w:tcPr>
          <w:p w:rsidRPr="000C01CA" w:rsidR="009E43A2" w:rsidP="00102447" w:rsidRDefault="000703F4" w14:paraId="5600A024" w14:textId="21DDC85B">
            <w:pPr>
              <w:spacing w:after="160" w:line="360" w:lineRule="auto"/>
              <w:ind w:firstLine="7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C01CA">
              <w:rPr>
                <w:rFonts w:ascii="Times New Roman" w:hAnsi="Times New Roman" w:cs="Times New Roman"/>
                <w:sz w:val="24"/>
                <w:szCs w:val="24"/>
              </w:rPr>
              <w:fldChar w:fldCharType="begin"/>
            </w:r>
            <w:r w:rsidRPr="000C01CA">
              <w:rPr>
                <w:rFonts w:ascii="Times New Roman" w:hAnsi="Times New Roman" w:cs="Times New Roman"/>
                <w:sz w:val="24"/>
                <w:szCs w:val="24"/>
              </w:rPr>
              <w:instrText xml:space="preserve"> ADDIN ZOTERO_ITEM CSL_CITATION {"citationID":"NTIdaSJf","properties":{"formattedCitation":"[25]","plainCitation":"[25]","noteIndex":0},"citationItems":[{"id":62,"uris":["http://zotero.org/users/local/NWCAR5we/items/R4D6B2ZS"],"itemData":{"id":62,"type":"article-journal","abstract":"Agricultural biogas plants are increasingly being used in Europe as an alternative source of energy. To optimize the sizing and operation of existing or future biogas plants, a better knowledge of different feedstocks is needed. Our aim is to characterize 132 common agricultural feedstocks in terms of their chemical composition (proteins, ﬁbers, elemental analysis, etc.) and biochemical methane potential shared in ﬁve families: agro-industrial products, silage and energy crops, lignocellulosic biomass, manure, and slurries. Among the families investigated, manures and slurries exhibited the highest ash and protein contents (10.3–13.7% DM). High variabilities in C/N were observed among the various families (19.5% DM for slurries and 131.7% DM for lignocellulosic biomass). Methane potentials have been reported to range from 63 Nm3 CH4/t VS (green waste) to 551 Nm3 CH4/t VS (duck slurry), with a mean value of 284 Nm3 CH4/t VS. In terms of biodegradability, lower values of 52% and 57% were reported for lignocelluloses biomasses and manures, respectively, due to their high ﬁber content, especially lignin. By contrast, animal slurries, silage, and energy crops exhibited a higher biodegradability of 70%. This database will be useful for project owners during the pre-study phases and during the operation of future agricultural biogas plants.","container-title":"Waste","DOI":"10.3390/waste1010014","ISSN":"2813-0391","issue":"1","journalAbbreviation":"Waste","language":"en","page":"195-227","source":"DOI.org (Crossref)","title":"A Detailed Database of the Chemical Properties and Methane Potential of Biomasses Covering a Large Range of Common Agricultural Biogas Plant Feedstocks","volume":"1","author":[{"family":"Lallement","given":"Audrey"},{"family":"Peyrelasse","given":"Christine"},{"family":"Lagnet","given":"Camille"},{"family":"Barakat","given":"Abdellatif"},{"family":"Schraauwers","given":"Blandine"},{"family":"Maunas","given":"Samuel"},{"family":"Monlau","given":"Florian"}],"issued":{"date-parts":[["2023",1,10]]}}}],"schema":"https://github.com/citation-style-language/schema/raw/master/csl-citation.json"} </w:instrText>
            </w:r>
            <w:r w:rsidRPr="000C01CA">
              <w:rPr>
                <w:rFonts w:ascii="Times New Roman" w:hAnsi="Times New Roman" w:cs="Times New Roman"/>
                <w:sz w:val="24"/>
                <w:szCs w:val="24"/>
              </w:rPr>
              <w:fldChar w:fldCharType="separate"/>
            </w:r>
            <w:r w:rsidRPr="000C01CA">
              <w:rPr>
                <w:rFonts w:ascii="Times New Roman" w:hAnsi="Times New Roman" w:cs="Times New Roman"/>
                <w:sz w:val="24"/>
              </w:rPr>
              <w:t>[25]</w:t>
            </w:r>
            <w:r w:rsidRPr="000C01CA">
              <w:rPr>
                <w:rFonts w:ascii="Times New Roman" w:hAnsi="Times New Roman" w:cs="Times New Roman"/>
                <w:sz w:val="24"/>
                <w:szCs w:val="24"/>
              </w:rPr>
              <w:fldChar w:fldCharType="end"/>
            </w:r>
          </w:p>
        </w:tc>
      </w:tr>
      <w:tr w:rsidRPr="000C01CA" w:rsidR="00DF75E8" w:rsidTr="009B45AF" w14:paraId="7B2956B4" w14:textId="7777777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Pr="000C01CA" w:rsidR="009E43A2" w:rsidP="00102447" w:rsidRDefault="009B45AF" w14:paraId="04BE96BC" w14:textId="77777777">
            <w:pPr>
              <w:spacing w:after="160" w:line="360" w:lineRule="auto"/>
              <w:jc w:val="both"/>
              <w:rPr>
                <w:rFonts w:ascii="Times New Roman" w:hAnsi="Times New Roman" w:cs="Times New Roman"/>
                <w:sz w:val="24"/>
                <w:szCs w:val="24"/>
              </w:rPr>
            </w:pPr>
            <w:r w:rsidRPr="000C01CA">
              <w:rPr>
                <w:rFonts w:ascii="Times New Roman" w:hAnsi="Times New Roman" w:cs="Times New Roman"/>
                <w:b w:val="0"/>
                <w:bCs w:val="0"/>
                <w:sz w:val="24"/>
                <w:szCs w:val="24"/>
              </w:rPr>
              <w:t>Cereal straw</w:t>
            </w:r>
          </w:p>
        </w:tc>
        <w:tc>
          <w:tcPr>
            <w:tcW w:w="0" w:type="auto"/>
            <w:hideMark/>
          </w:tcPr>
          <w:p w:rsidRPr="000C01CA" w:rsidR="009E43A2" w:rsidP="00102447" w:rsidRDefault="009E43A2" w14:paraId="1EA955FC" w14:textId="77777777">
            <w:pPr>
              <w:spacing w:after="160" w:line="360" w:lineRule="auto"/>
              <w:ind w:firstLine="7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01CA">
              <w:rPr>
                <w:rFonts w:ascii="Times New Roman" w:hAnsi="Times New Roman" w:cs="Times New Roman"/>
                <w:b/>
                <w:bCs/>
                <w:sz w:val="24"/>
                <w:szCs w:val="24"/>
              </w:rPr>
              <w:t>~230–320</w:t>
            </w:r>
            <w:r w:rsidRPr="000C01CA">
              <w:rPr>
                <w:rFonts w:ascii="Times New Roman" w:hAnsi="Times New Roman" w:cs="Times New Roman"/>
                <w:sz w:val="24"/>
                <w:szCs w:val="24"/>
              </w:rPr>
              <w:t xml:space="preserve"> </w:t>
            </w:r>
          </w:p>
        </w:tc>
        <w:tc>
          <w:tcPr>
            <w:tcW w:w="0" w:type="auto"/>
            <w:hideMark/>
          </w:tcPr>
          <w:p w:rsidRPr="000C01CA" w:rsidR="009E43A2" w:rsidP="00102447" w:rsidRDefault="000703F4" w14:paraId="6154540D" w14:textId="070AC6CA">
            <w:pPr>
              <w:spacing w:after="160" w:line="360" w:lineRule="auto"/>
              <w:ind w:firstLine="7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fr-FR"/>
              </w:rPr>
            </w:pPr>
            <w:r w:rsidRPr="000C01CA">
              <w:rPr>
                <w:rFonts w:ascii="Times New Roman" w:hAnsi="Times New Roman" w:cs="Times New Roman"/>
                <w:sz w:val="24"/>
                <w:szCs w:val="24"/>
              </w:rPr>
              <w:fldChar w:fldCharType="begin"/>
            </w:r>
            <w:r w:rsidRPr="000C01CA">
              <w:rPr>
                <w:rFonts w:ascii="Times New Roman" w:hAnsi="Times New Roman" w:cs="Times New Roman"/>
                <w:sz w:val="24"/>
                <w:szCs w:val="24"/>
                <w:lang w:val="fr-FR"/>
              </w:rPr>
              <w:instrText xml:space="preserve"> ADDIN ZOTERO_ITEM CSL_CITATION {"citationID":"ZhdoXBiM","properties":{"formattedCitation":"[26]","plainCitation":"[26]","noteIndex":0},"citationItems":[{"id":63,"uris":["http://zotero.org/users/local/NWCAR5we/items/ECRYCXNS"],"itemData":{"id":63,"type":"post-weblog","abstract":"Un approvisionnement maitrisé et une bonne connaissance de ses intrants conditionne la performance de l'unité de méthanisation","container-title":"AILE","language":"fr-FR","title":"AGIR BIOGAZ - Les substrats en méthanisation","URL":"https://aile.asso.fr/biogaz/ressources-outils/les-substrats/","accessed":{"date-parts":[["2025",12,22]]}}}],"schema":"https://github.com/citation-style-language/schema/raw/master/csl-citation.json"} </w:instrText>
            </w:r>
            <w:r w:rsidRPr="000C01CA">
              <w:rPr>
                <w:rFonts w:ascii="Times New Roman" w:hAnsi="Times New Roman" w:cs="Times New Roman"/>
                <w:sz w:val="24"/>
                <w:szCs w:val="24"/>
              </w:rPr>
              <w:fldChar w:fldCharType="separate"/>
            </w:r>
            <w:r w:rsidRPr="000C01CA">
              <w:rPr>
                <w:rFonts w:ascii="Times New Roman" w:hAnsi="Times New Roman" w:cs="Times New Roman"/>
                <w:sz w:val="24"/>
                <w:lang w:val="fr-FR"/>
              </w:rPr>
              <w:t>[26]</w:t>
            </w:r>
            <w:r w:rsidRPr="000C01CA">
              <w:rPr>
                <w:rFonts w:ascii="Times New Roman" w:hAnsi="Times New Roman" w:cs="Times New Roman"/>
                <w:sz w:val="24"/>
                <w:szCs w:val="24"/>
              </w:rPr>
              <w:fldChar w:fldCharType="end"/>
            </w:r>
          </w:p>
        </w:tc>
      </w:tr>
      <w:tr w:rsidRPr="000C01CA" w:rsidR="00DF75E8" w:rsidTr="009B45AF" w14:paraId="4600E063"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Pr="000C01CA" w:rsidR="009E43A2" w:rsidP="00102447" w:rsidRDefault="009B45AF" w14:paraId="7BF02B60" w14:textId="77777777">
            <w:pPr>
              <w:spacing w:after="160" w:line="360" w:lineRule="auto"/>
              <w:jc w:val="both"/>
              <w:rPr>
                <w:rFonts w:ascii="Times New Roman" w:hAnsi="Times New Roman" w:cs="Times New Roman"/>
                <w:sz w:val="24"/>
                <w:szCs w:val="24"/>
              </w:rPr>
            </w:pPr>
            <w:r w:rsidRPr="000C01CA">
              <w:rPr>
                <w:rFonts w:ascii="Times New Roman" w:hAnsi="Times New Roman" w:cs="Times New Roman"/>
                <w:b w:val="0"/>
                <w:bCs w:val="0"/>
                <w:sz w:val="24"/>
                <w:szCs w:val="24"/>
              </w:rPr>
              <w:t>Vegetable and fruit residues</w:t>
            </w:r>
          </w:p>
        </w:tc>
        <w:tc>
          <w:tcPr>
            <w:tcW w:w="0" w:type="auto"/>
            <w:hideMark/>
          </w:tcPr>
          <w:p w:rsidRPr="000C01CA" w:rsidR="009E43A2" w:rsidP="00102447" w:rsidRDefault="009E43A2" w14:paraId="47BD08F8" w14:textId="77777777">
            <w:pPr>
              <w:spacing w:after="160" w:line="360" w:lineRule="auto"/>
              <w:ind w:firstLine="7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C01CA">
              <w:rPr>
                <w:rFonts w:ascii="Times New Roman" w:hAnsi="Times New Roman" w:cs="Times New Roman"/>
                <w:b/>
                <w:bCs/>
                <w:sz w:val="24"/>
                <w:szCs w:val="24"/>
              </w:rPr>
              <w:t>~200–400</w:t>
            </w:r>
          </w:p>
        </w:tc>
        <w:tc>
          <w:tcPr>
            <w:tcW w:w="0" w:type="auto"/>
            <w:hideMark/>
          </w:tcPr>
          <w:p w:rsidRPr="000C01CA" w:rsidR="009E43A2" w:rsidP="00102447" w:rsidRDefault="000703F4" w14:paraId="3A0DFF1D" w14:textId="7365D56B">
            <w:pPr>
              <w:spacing w:after="160" w:line="360" w:lineRule="auto"/>
              <w:ind w:firstLine="7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C01CA">
              <w:rPr>
                <w:rFonts w:ascii="Times New Roman" w:hAnsi="Times New Roman" w:cs="Times New Roman"/>
                <w:sz w:val="24"/>
                <w:szCs w:val="24"/>
              </w:rPr>
              <w:fldChar w:fldCharType="begin"/>
            </w:r>
            <w:r w:rsidRPr="000C01CA">
              <w:rPr>
                <w:rFonts w:ascii="Times New Roman" w:hAnsi="Times New Roman" w:cs="Times New Roman"/>
                <w:sz w:val="24"/>
                <w:szCs w:val="24"/>
              </w:rPr>
              <w:instrText xml:space="preserve"> ADDIN ZOTERO_ITEM CSL_CITATION {"citationID":"CnMVkHvI","properties":{"formattedCitation":"[25]","plainCitation":"[25]","noteIndex":0},"citationItems":[{"id":62,"uris":["http://zotero.org/users/local/NWCAR5we/items/R4D6B2ZS"],"itemData":{"id":62,"type":"article-journal","abstract":"Agricultural biogas plants are increasingly being used in Europe as an alternative source of energy. To optimize the sizing and operation of existing or future biogas plants, a better knowledge of different feedstocks is needed. Our aim is to characterize 132 common agricultural feedstocks in terms of their chemical composition (proteins, ﬁbers, elemental analysis, etc.) and biochemical methane potential shared in ﬁve families: agro-industrial products, silage and energy crops, lignocellulosic biomass, manure, and slurries. Among the families investigated, manures and slurries exhibited the highest ash and protein contents (10.3–13.7% DM). High variabilities in C/N were observed among the various families (19.5% DM for slurries and 131.7% DM for lignocellulosic biomass). Methane potentials have been reported to range from 63 Nm3 CH4/t VS (green waste) to 551 Nm3 CH4/t VS (duck slurry), with a mean value of 284 Nm3 CH4/t VS. In terms of biodegradability, lower values of 52% and 57% were reported for lignocelluloses biomasses and manures, respectively, due to their high ﬁber content, especially lignin. By contrast, animal slurries, silage, and energy crops exhibited a higher biodegradability of 70%. This database will be useful for project owners during the pre-study phases and during the operation of future agricultural biogas plants.","container-title":"Waste","DOI":"10.3390/waste1010014","ISSN":"2813-0391","issue":"1","journalAbbreviation":"Waste","language":"en","page":"195-227","source":"DOI.org (Crossref)","title":"A Detailed Database of the Chemical Properties and Methane Potential of Biomasses Covering a Large Range of Common Agricultural Biogas Plant Feedstocks","volume":"1","author":[{"family":"Lallement","given":"Audrey"},{"family":"Peyrelasse","given":"Christine"},{"family":"Lagnet","given":"Camille"},{"family":"Barakat","given":"Abdellatif"},{"family":"Schraauwers","given":"Blandine"},{"family":"Maunas","given":"Samuel"},{"family":"Monlau","given":"Florian"}],"issued":{"date-parts":[["2023",1,10]]}}}],"schema":"https://github.com/citation-style-language/schema/raw/master/csl-citation.json"} </w:instrText>
            </w:r>
            <w:r w:rsidRPr="000C01CA">
              <w:rPr>
                <w:rFonts w:ascii="Times New Roman" w:hAnsi="Times New Roman" w:cs="Times New Roman"/>
                <w:sz w:val="24"/>
                <w:szCs w:val="24"/>
              </w:rPr>
              <w:fldChar w:fldCharType="separate"/>
            </w:r>
            <w:r w:rsidRPr="000C01CA">
              <w:rPr>
                <w:rFonts w:ascii="Times New Roman" w:hAnsi="Times New Roman" w:cs="Times New Roman"/>
                <w:sz w:val="24"/>
              </w:rPr>
              <w:t>[25]</w:t>
            </w:r>
            <w:r w:rsidRPr="000C01CA">
              <w:rPr>
                <w:rFonts w:ascii="Times New Roman" w:hAnsi="Times New Roman" w:cs="Times New Roman"/>
                <w:sz w:val="24"/>
                <w:szCs w:val="24"/>
              </w:rPr>
              <w:fldChar w:fldCharType="end"/>
            </w:r>
          </w:p>
        </w:tc>
      </w:tr>
      <w:tr w:rsidRPr="000C01CA" w:rsidR="00DF75E8" w:rsidTr="009B45AF" w14:paraId="4737CD51" w14:textId="7777777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Pr="000C01CA" w:rsidR="009E43A2" w:rsidP="00102447" w:rsidRDefault="009B45AF" w14:paraId="2AAD228A" w14:textId="77777777">
            <w:pPr>
              <w:spacing w:after="160" w:line="360" w:lineRule="auto"/>
              <w:jc w:val="both"/>
              <w:rPr>
                <w:rFonts w:ascii="Times New Roman" w:hAnsi="Times New Roman" w:cs="Times New Roman"/>
                <w:sz w:val="24"/>
                <w:szCs w:val="24"/>
              </w:rPr>
            </w:pPr>
            <w:r w:rsidRPr="000C01CA">
              <w:rPr>
                <w:rFonts w:ascii="Times New Roman" w:hAnsi="Times New Roman" w:cs="Times New Roman"/>
                <w:b w:val="0"/>
                <w:bCs w:val="0"/>
                <w:sz w:val="24"/>
                <w:szCs w:val="24"/>
              </w:rPr>
              <w:t>Tomato</w:t>
            </w:r>
            <w:r w:rsidRPr="000C01CA" w:rsidR="009E43A2">
              <w:rPr>
                <w:rFonts w:ascii="Times New Roman" w:hAnsi="Times New Roman" w:cs="Times New Roman"/>
                <w:b w:val="0"/>
                <w:bCs w:val="0"/>
                <w:sz w:val="24"/>
                <w:szCs w:val="24"/>
              </w:rPr>
              <w:t xml:space="preserve"> /</w:t>
            </w:r>
            <w:r w:rsidRPr="000C01CA">
              <w:rPr>
                <w:rFonts w:ascii="Times New Roman" w:hAnsi="Times New Roman" w:cs="Times New Roman"/>
                <w:b w:val="0"/>
                <w:bCs w:val="0"/>
                <w:sz w:val="24"/>
                <w:szCs w:val="24"/>
              </w:rPr>
              <w:t>crop re</w:t>
            </w:r>
            <w:r w:rsidRPr="000C01CA" w:rsidR="009E43A2">
              <w:rPr>
                <w:rFonts w:ascii="Times New Roman" w:hAnsi="Times New Roman" w:cs="Times New Roman"/>
                <w:b w:val="0"/>
                <w:bCs w:val="0"/>
                <w:sz w:val="24"/>
                <w:szCs w:val="24"/>
              </w:rPr>
              <w:t>sidu</w:t>
            </w:r>
            <w:r w:rsidRPr="000C01CA">
              <w:rPr>
                <w:rFonts w:ascii="Times New Roman" w:hAnsi="Times New Roman" w:cs="Times New Roman"/>
                <w:b w:val="0"/>
                <w:bCs w:val="0"/>
                <w:sz w:val="24"/>
                <w:szCs w:val="24"/>
              </w:rPr>
              <w:t>e</w:t>
            </w:r>
            <w:r w:rsidRPr="000C01CA" w:rsidR="009E43A2">
              <w:rPr>
                <w:rFonts w:ascii="Times New Roman" w:hAnsi="Times New Roman" w:cs="Times New Roman"/>
                <w:b w:val="0"/>
                <w:bCs w:val="0"/>
                <w:sz w:val="24"/>
                <w:szCs w:val="24"/>
              </w:rPr>
              <w:t xml:space="preserve">s </w:t>
            </w:r>
          </w:p>
        </w:tc>
        <w:tc>
          <w:tcPr>
            <w:tcW w:w="0" w:type="auto"/>
            <w:hideMark/>
          </w:tcPr>
          <w:p w:rsidRPr="000C01CA" w:rsidR="009E43A2" w:rsidP="00102447" w:rsidRDefault="009E43A2" w14:paraId="4F12C32D" w14:textId="601ACE72">
            <w:pPr>
              <w:spacing w:after="160" w:line="360" w:lineRule="auto"/>
              <w:ind w:firstLine="7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01CA">
              <w:rPr>
                <w:rFonts w:ascii="Times New Roman" w:hAnsi="Times New Roman" w:cs="Times New Roman"/>
                <w:b/>
                <w:bCs/>
                <w:sz w:val="24"/>
                <w:szCs w:val="24"/>
              </w:rPr>
              <w:t>~250–350</w:t>
            </w:r>
            <w:r w:rsidRPr="000C01CA" w:rsidR="000C01CA">
              <w:rPr>
                <w:rFonts w:ascii="Times New Roman" w:hAnsi="Times New Roman" w:cs="Times New Roman"/>
                <w:sz w:val="24"/>
                <w:szCs w:val="24"/>
              </w:rPr>
              <w:t xml:space="preserve"> </w:t>
            </w:r>
          </w:p>
        </w:tc>
        <w:tc>
          <w:tcPr>
            <w:tcW w:w="0" w:type="auto"/>
            <w:hideMark/>
          </w:tcPr>
          <w:p w:rsidRPr="000C01CA" w:rsidR="009E43A2" w:rsidP="00102447" w:rsidRDefault="000703F4" w14:paraId="1DD67449" w14:textId="40B0336E">
            <w:pPr>
              <w:spacing w:after="160" w:line="360" w:lineRule="auto"/>
              <w:ind w:firstLine="7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01CA">
              <w:rPr>
                <w:rFonts w:ascii="Times New Roman" w:hAnsi="Times New Roman" w:cs="Times New Roman"/>
                <w:sz w:val="24"/>
                <w:szCs w:val="24"/>
              </w:rPr>
              <w:fldChar w:fldCharType="begin"/>
            </w:r>
            <w:r w:rsidRPr="000C01CA">
              <w:rPr>
                <w:rFonts w:ascii="Times New Roman" w:hAnsi="Times New Roman" w:cs="Times New Roman"/>
                <w:sz w:val="24"/>
                <w:szCs w:val="24"/>
              </w:rPr>
              <w:instrText xml:space="preserve"> ADDIN ZOTERO_ITEM CSL_CITATION {"citationID":"ZUp4Pd03","properties":{"formattedCitation":"[25]","plainCitation":"[25]","noteIndex":0},"citationItems":[{"id":62,"uris":["http://zotero.org/users/local/NWCAR5we/items/R4D6B2ZS"],"itemData":{"id":62,"type":"article-journal","abstract":"Agricultural biogas plants are increasingly being used in Europe as an alternative source of energy. To optimize the sizing and operation of existing or future biogas plants, a better knowledge of different feedstocks is needed. Our aim is to characterize 132 common agricultural feedstocks in terms of their chemical composition (proteins, ﬁbers, elemental analysis, etc.) and biochemical methane potential shared in ﬁve families: agro-industrial products, silage and energy crops, lignocellulosic biomass, manure, and slurries. Among the families investigated, manures and slurries exhibited the highest ash and protein contents (10.3–13.7% DM). High variabilities in C/N were observed among the various families (19.5% DM for slurries and 131.7% DM for lignocellulosic biomass). Methane potentials have been reported to range from 63 Nm3 CH4/t VS (green waste) to 551 Nm3 CH4/t VS (duck slurry), with a mean value of 284 Nm3 CH4/t VS. In terms of biodegradability, lower values of 52% and 57% were reported for lignocelluloses biomasses and manures, respectively, due to their high ﬁber content, especially lignin. By contrast, animal slurries, silage, and energy crops exhibited a higher biodegradability of 70%. This database will be useful for project owners during the pre-study phases and during the operation of future agricultural biogas plants.","container-title":"Waste","DOI":"10.3390/waste1010014","ISSN":"2813-0391","issue":"1","journalAbbreviation":"Waste","language":"en","page":"195-227","source":"DOI.org (Crossref)","title":"A Detailed Database of the Chemical Properties and Methane Potential of Biomasses Covering a Large Range of Common Agricultural Biogas Plant Feedstocks","volume":"1","author":[{"family":"Lallement","given":"Audrey"},{"family":"Peyrelasse","given":"Christine"},{"family":"Lagnet","given":"Camille"},{"family":"Barakat","given":"Abdellatif"},{"family":"Schraauwers","given":"Blandine"},{"family":"Maunas","given":"Samuel"},{"family":"Monlau","given":"Florian"}],"issued":{"date-parts":[["2023",1,10]]}}}],"schema":"https://github.com/citation-style-language/schema/raw/master/csl-citation.json"} </w:instrText>
            </w:r>
            <w:r w:rsidRPr="000C01CA">
              <w:rPr>
                <w:rFonts w:ascii="Times New Roman" w:hAnsi="Times New Roman" w:cs="Times New Roman"/>
                <w:sz w:val="24"/>
                <w:szCs w:val="24"/>
              </w:rPr>
              <w:fldChar w:fldCharType="separate"/>
            </w:r>
            <w:r w:rsidRPr="000C01CA">
              <w:rPr>
                <w:rFonts w:ascii="Times New Roman" w:hAnsi="Times New Roman" w:cs="Times New Roman"/>
                <w:sz w:val="24"/>
              </w:rPr>
              <w:t>[25]</w:t>
            </w:r>
            <w:r w:rsidRPr="000C01CA">
              <w:rPr>
                <w:rFonts w:ascii="Times New Roman" w:hAnsi="Times New Roman" w:cs="Times New Roman"/>
                <w:sz w:val="24"/>
                <w:szCs w:val="24"/>
              </w:rPr>
              <w:fldChar w:fldCharType="end"/>
            </w:r>
          </w:p>
        </w:tc>
      </w:tr>
      <w:tr w:rsidRPr="000C01CA" w:rsidR="00DF75E8" w:rsidTr="009B45AF" w14:paraId="7451EA14"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Pr="000C01CA" w:rsidR="009E43A2" w:rsidP="00102447" w:rsidRDefault="009B45AF" w14:paraId="42CC6A20" w14:textId="77777777">
            <w:pPr>
              <w:spacing w:after="160" w:line="360" w:lineRule="auto"/>
              <w:jc w:val="both"/>
              <w:rPr>
                <w:rFonts w:ascii="Times New Roman" w:hAnsi="Times New Roman" w:cs="Times New Roman"/>
                <w:sz w:val="24"/>
                <w:szCs w:val="24"/>
              </w:rPr>
            </w:pPr>
            <w:r w:rsidRPr="000C01CA">
              <w:rPr>
                <w:rFonts w:ascii="Times New Roman" w:hAnsi="Times New Roman" w:cs="Times New Roman"/>
                <w:b w:val="0"/>
                <w:bCs w:val="0"/>
                <w:sz w:val="24"/>
                <w:szCs w:val="24"/>
              </w:rPr>
              <w:t>Poultry manure/effluent</w:t>
            </w:r>
          </w:p>
        </w:tc>
        <w:tc>
          <w:tcPr>
            <w:tcW w:w="0" w:type="auto"/>
            <w:hideMark/>
          </w:tcPr>
          <w:p w:rsidRPr="000C01CA" w:rsidR="009E43A2" w:rsidP="00102447" w:rsidRDefault="009E43A2" w14:paraId="37103554" w14:textId="77777777">
            <w:pPr>
              <w:spacing w:after="160" w:line="360" w:lineRule="auto"/>
              <w:ind w:firstLine="7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C01CA">
              <w:rPr>
                <w:rFonts w:ascii="Times New Roman" w:hAnsi="Times New Roman" w:cs="Times New Roman"/>
                <w:b/>
                <w:bCs/>
                <w:sz w:val="24"/>
                <w:szCs w:val="24"/>
              </w:rPr>
              <w:t>~210–289</w:t>
            </w:r>
          </w:p>
        </w:tc>
        <w:tc>
          <w:tcPr>
            <w:tcW w:w="0" w:type="auto"/>
            <w:hideMark/>
          </w:tcPr>
          <w:p w:rsidRPr="000C01CA" w:rsidR="009E43A2" w:rsidP="00102447" w:rsidRDefault="000703F4" w14:paraId="03DA99FB" w14:textId="74F39723">
            <w:pPr>
              <w:spacing w:after="160" w:line="360" w:lineRule="auto"/>
              <w:ind w:firstLine="7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fr-FR"/>
              </w:rPr>
            </w:pPr>
            <w:r w:rsidRPr="000C01CA">
              <w:rPr>
                <w:rFonts w:ascii="Times New Roman" w:hAnsi="Times New Roman" w:cs="Times New Roman"/>
                <w:sz w:val="24"/>
                <w:szCs w:val="24"/>
              </w:rPr>
              <w:fldChar w:fldCharType="begin"/>
            </w:r>
            <w:r w:rsidRPr="000C01CA">
              <w:rPr>
                <w:rFonts w:ascii="Times New Roman" w:hAnsi="Times New Roman" w:cs="Times New Roman"/>
                <w:sz w:val="24"/>
                <w:szCs w:val="24"/>
                <w:lang w:val="fr-FR"/>
              </w:rPr>
              <w:instrText xml:space="preserve"> ADDIN ZOTERO_ITEM CSL_CITATION {"citationID":"69Zq4Anc","properties":{"formattedCitation":"[27]","plainCitation":"[27]","noteIndex":0},"citationItems":[{"id":65,"uris":["http://zotero.org/users/local/NWCAR5we/items/KZBDCQBH"],"itemData":{"id":65,"type":"webpage","abstract":"Les intrants ou gisements sont les matières organiques utilisées par la méthanisation pour produire du biogaz. Ils sont caractérisés par leur pouvoir (ou potentiel) méthanogène (BMP), c’est-à-dire par la quantité de méthane qu’ils produisent lors de leur dégradation durant le processus de méthanisation...","container-title":"Triple Performance","language":"fr","title":"Intrants (ou gisements) de la méthanisation","URL":"//wiki.tripleperformance.fr/wiki/Intrants_(ou_gisements)_de_la_m%C3%A9thanisation","accessed":{"date-parts":[["2025",12,22]]}}}],"schema":"https://github.com/citation-style-language/schema/raw/master/csl-citation.json"} </w:instrText>
            </w:r>
            <w:r w:rsidRPr="000C01CA">
              <w:rPr>
                <w:rFonts w:ascii="Times New Roman" w:hAnsi="Times New Roman" w:cs="Times New Roman"/>
                <w:sz w:val="24"/>
                <w:szCs w:val="24"/>
              </w:rPr>
              <w:fldChar w:fldCharType="separate"/>
            </w:r>
            <w:r w:rsidRPr="000C01CA">
              <w:rPr>
                <w:rFonts w:ascii="Times New Roman" w:hAnsi="Times New Roman" w:cs="Times New Roman"/>
                <w:sz w:val="24"/>
                <w:lang w:val="fr-FR"/>
              </w:rPr>
              <w:t>[27]</w:t>
            </w:r>
            <w:r w:rsidRPr="000C01CA">
              <w:rPr>
                <w:rFonts w:ascii="Times New Roman" w:hAnsi="Times New Roman" w:cs="Times New Roman"/>
                <w:sz w:val="24"/>
                <w:szCs w:val="24"/>
              </w:rPr>
              <w:fldChar w:fldCharType="end"/>
            </w:r>
          </w:p>
        </w:tc>
      </w:tr>
      <w:tr w:rsidRPr="000C01CA" w:rsidR="00DF75E8" w:rsidTr="009B45AF" w14:paraId="618FD955" w14:textId="7777777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Pr="000C01CA" w:rsidR="009E43A2" w:rsidP="00102447" w:rsidRDefault="009B45AF" w14:paraId="058DEE71" w14:textId="77777777">
            <w:pPr>
              <w:spacing w:after="160" w:line="360" w:lineRule="auto"/>
              <w:jc w:val="both"/>
              <w:rPr>
                <w:rFonts w:ascii="Times New Roman" w:hAnsi="Times New Roman" w:cs="Times New Roman"/>
                <w:sz w:val="24"/>
                <w:szCs w:val="24"/>
              </w:rPr>
            </w:pPr>
            <w:r w:rsidRPr="000C01CA">
              <w:rPr>
                <w:rFonts w:ascii="Times New Roman" w:hAnsi="Times New Roman" w:cs="Times New Roman"/>
                <w:b w:val="0"/>
                <w:bCs w:val="0"/>
                <w:sz w:val="24"/>
                <w:szCs w:val="24"/>
              </w:rPr>
              <w:t>Equine manure</w:t>
            </w:r>
          </w:p>
        </w:tc>
        <w:tc>
          <w:tcPr>
            <w:tcW w:w="0" w:type="auto"/>
            <w:hideMark/>
          </w:tcPr>
          <w:p w:rsidRPr="000C01CA" w:rsidR="009E43A2" w:rsidP="00102447" w:rsidRDefault="009E43A2" w14:paraId="31010B31" w14:textId="77777777">
            <w:pPr>
              <w:spacing w:after="160" w:line="360" w:lineRule="auto"/>
              <w:ind w:firstLine="7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01CA">
              <w:rPr>
                <w:rFonts w:ascii="Times New Roman" w:hAnsi="Times New Roman" w:cs="Times New Roman"/>
                <w:b/>
                <w:bCs/>
                <w:sz w:val="24"/>
                <w:szCs w:val="24"/>
              </w:rPr>
              <w:t>~170–220</w:t>
            </w:r>
          </w:p>
        </w:tc>
        <w:tc>
          <w:tcPr>
            <w:tcW w:w="0" w:type="auto"/>
            <w:hideMark/>
          </w:tcPr>
          <w:p w:rsidRPr="000C01CA" w:rsidR="009E43A2" w:rsidP="00102447" w:rsidRDefault="000703F4" w14:paraId="10171BBD" w14:textId="64EA05F8">
            <w:pPr>
              <w:spacing w:after="160" w:line="360" w:lineRule="auto"/>
              <w:ind w:firstLine="7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01CA">
              <w:rPr>
                <w:rFonts w:ascii="Times New Roman" w:hAnsi="Times New Roman" w:cs="Times New Roman"/>
                <w:sz w:val="24"/>
                <w:szCs w:val="24"/>
              </w:rPr>
              <w:fldChar w:fldCharType="begin"/>
            </w:r>
            <w:r w:rsidRPr="000C01CA">
              <w:rPr>
                <w:rFonts w:ascii="Times New Roman" w:hAnsi="Times New Roman" w:cs="Times New Roman"/>
                <w:sz w:val="24"/>
                <w:szCs w:val="24"/>
                <w:lang w:val="fr-FR"/>
              </w:rPr>
              <w:instrText xml:space="preserve"> ADDIN ZOTERO_ITEM CSL_CITATION {"citationID":"VuKhwhQE","properties":{"formattedCitation":"[28]","plainCitation":"[28]","noteIndex":0},"citationItems":[{"id":67,"uris":["http://zotero.org/users/local/NWCAR5we/items/5U6ARIVU"],"itemData":{"id":67,"type":"webpage","abstract":"Caractéristiques physico-chimiques, prétraitements, facteurs influençant le rendement... que doit vérifier le fumier équin destiné à la méthanisation ?","language":"en-US","title":"Caractéristiques du fumier équin pour la méthanisation","URL":"https://equipedia.ifce.fr/infrastructure-et-equipement/installation-et-environnement/effluents-delevage/caracteristiques-du-fumier-equin-pour-la-methanisation","author":[{"family":"HUBERT;","given":"Pauline DOLIGEZ;Marie-Van"}],"accessed":{"date-parts":[["2025",12,22]]}}}],"schema":"https://github.com/citation-style-language/schema/raw/master/csl-citation.json"} </w:instrText>
            </w:r>
            <w:r w:rsidRPr="000C01CA">
              <w:rPr>
                <w:rFonts w:ascii="Times New Roman" w:hAnsi="Times New Roman" w:cs="Times New Roman"/>
                <w:sz w:val="24"/>
                <w:szCs w:val="24"/>
              </w:rPr>
              <w:fldChar w:fldCharType="separate"/>
            </w:r>
            <w:r w:rsidRPr="000C01CA">
              <w:rPr>
                <w:rFonts w:ascii="Times New Roman" w:hAnsi="Times New Roman" w:cs="Times New Roman"/>
                <w:sz w:val="24"/>
                <w:lang w:val="fr-FR"/>
              </w:rPr>
              <w:t>[28]</w:t>
            </w:r>
            <w:r w:rsidRPr="000C01CA">
              <w:rPr>
                <w:rFonts w:ascii="Times New Roman" w:hAnsi="Times New Roman" w:cs="Times New Roman"/>
                <w:sz w:val="24"/>
                <w:szCs w:val="24"/>
              </w:rPr>
              <w:fldChar w:fldCharType="end"/>
            </w:r>
          </w:p>
        </w:tc>
      </w:tr>
    </w:tbl>
    <w:p w:rsidRPr="000C01CA" w:rsidR="009E43A2" w:rsidP="00102447" w:rsidRDefault="009E43A2" w14:paraId="66916A24" w14:textId="77777777">
      <w:pPr>
        <w:spacing w:line="360" w:lineRule="auto"/>
        <w:jc w:val="both"/>
        <w:rPr>
          <w:rFonts w:ascii="Times New Roman" w:hAnsi="Times New Roman" w:cs="Times New Roman"/>
          <w:sz w:val="24"/>
          <w:szCs w:val="24"/>
        </w:rPr>
      </w:pPr>
    </w:p>
    <w:p w:rsidRPr="000C01CA" w:rsidR="00473BC6" w:rsidP="00102447" w:rsidRDefault="00473BC6" w14:paraId="73A1E63B" w14:textId="77777777">
      <w:pPr>
        <w:spacing w:line="360" w:lineRule="auto"/>
        <w:jc w:val="both"/>
        <w:rPr>
          <w:rFonts w:ascii="Times New Roman" w:hAnsi="Times New Roman" w:cs="Times New Roman"/>
          <w:b/>
          <w:bCs/>
          <w:sz w:val="24"/>
          <w:szCs w:val="24"/>
        </w:rPr>
      </w:pPr>
      <w:r w:rsidRPr="000C01CA">
        <w:rPr>
          <w:rFonts w:ascii="Times New Roman" w:hAnsi="Times New Roman" w:cs="Times New Roman"/>
          <w:b/>
          <w:bCs/>
          <w:sz w:val="24"/>
          <w:szCs w:val="24"/>
        </w:rPr>
        <w:t>III.3. Digestate and the Synergistic Agronomic Loop</w:t>
      </w:r>
    </w:p>
    <w:p w:rsidRPr="000C01CA" w:rsidR="00554B81" w:rsidP="00102447" w:rsidRDefault="00473BC6" w14:paraId="250A48A4" w14:textId="77777777">
      <w:pPr>
        <w:spacing w:line="360" w:lineRule="auto"/>
        <w:ind w:firstLine="720"/>
        <w:jc w:val="both"/>
        <w:rPr>
          <w:rFonts w:ascii="Times New Roman" w:hAnsi="Times New Roman" w:cs="Times New Roman"/>
          <w:sz w:val="24"/>
          <w:szCs w:val="24"/>
        </w:rPr>
      </w:pPr>
      <w:r w:rsidRPr="000C01CA">
        <w:rPr>
          <w:rFonts w:ascii="Times New Roman" w:hAnsi="Times New Roman" w:cs="Times New Roman"/>
          <w:sz w:val="24"/>
          <w:szCs w:val="24"/>
        </w:rPr>
        <w:t xml:space="preserve">The final component of the synergy is the role of digestate (DG), the nutrient-rich effluent from the AD process, in enhancing </w:t>
      </w:r>
      <w:r w:rsidRPr="000C01CA" w:rsidR="00554B81">
        <w:rPr>
          <w:rFonts w:ascii="Times New Roman" w:hAnsi="Times New Roman" w:cs="Times New Roman"/>
          <w:sz w:val="24"/>
          <w:szCs w:val="24"/>
        </w:rPr>
        <w:t xml:space="preserve">the resilience of the AV field. </w:t>
      </w:r>
    </w:p>
    <w:p w:rsidRPr="000C01CA" w:rsidR="00473BC6" w:rsidP="00102447" w:rsidRDefault="00554B81" w14:paraId="169181F0" w14:textId="0FAFA393">
      <w:pPr>
        <w:spacing w:line="360" w:lineRule="auto"/>
        <w:ind w:firstLine="720"/>
        <w:jc w:val="both"/>
        <w:rPr>
          <w:rFonts w:ascii="Times New Roman" w:hAnsi="Times New Roman" w:cs="Times New Roman"/>
          <w:sz w:val="24"/>
          <w:szCs w:val="24"/>
        </w:rPr>
      </w:pPr>
      <w:r w:rsidRPr="43844335" w:rsidR="00554B81">
        <w:rPr>
          <w:rFonts w:ascii="Times New Roman" w:hAnsi="Times New Roman" w:cs="Times New Roman"/>
          <w:sz w:val="24"/>
          <w:szCs w:val="24"/>
        </w:rPr>
        <w:t xml:space="preserve">Beyond being just a byproduct, DG serves as a potent bio-fertilizer. </w:t>
      </w:r>
      <w:r w:rsidRPr="43844335" w:rsidR="00CC142B">
        <w:rPr>
          <w:rFonts w:ascii="Times New Roman" w:hAnsi="Times New Roman" w:cs="Times New Roman"/>
          <w:sz w:val="24"/>
          <w:szCs w:val="24"/>
        </w:rPr>
        <w:t>It returns essential N, P, and K to the land, along with a rich profile of micronutrients and organic matter that revitalizes the soil</w:t>
      </w:r>
      <w:r w:rsidRPr="43844335" w:rsidR="005E5BBB">
        <w:rPr>
          <w:rFonts w:ascii="Times New Roman" w:hAnsi="Times New Roman" w:cs="Times New Roman"/>
          <w:sz w:val="24"/>
          <w:szCs w:val="24"/>
        </w:rPr>
        <w:t>.</w:t>
      </w:r>
      <w:r w:rsidRPr="43844335" w:rsidR="00554B81">
        <w:rPr>
          <w:rFonts w:ascii="Times New Roman" w:hAnsi="Times New Roman" w:cs="Times New Roman"/>
          <w:sz w:val="24"/>
          <w:szCs w:val="24"/>
        </w:rPr>
        <w:t xml:space="preserve"> </w:t>
      </w:r>
      <w:r w:rsidRPr="43844335" w:rsidR="00473BC6">
        <w:rPr>
          <w:rFonts w:ascii="Times New Roman" w:hAnsi="Times New Roman" w:cs="Times New Roman"/>
          <w:sz w:val="24"/>
          <w:szCs w:val="24"/>
        </w:rPr>
        <w:t>Crucially, DG addresses the primary cons</w:t>
      </w:r>
      <w:r w:rsidRPr="43844335" w:rsidR="00250EAF">
        <w:rPr>
          <w:rFonts w:ascii="Times New Roman" w:hAnsi="Times New Roman" w:cs="Times New Roman"/>
          <w:sz w:val="24"/>
          <w:szCs w:val="24"/>
        </w:rPr>
        <w:t xml:space="preserve">traint of semi-arid agriculture-water scarcity </w:t>
      </w:r>
      <w:r w:rsidRPr="43844335" w:rsidR="00473BC6">
        <w:rPr>
          <w:rFonts w:ascii="Times New Roman" w:hAnsi="Times New Roman" w:cs="Times New Roman"/>
          <w:sz w:val="24"/>
          <w:szCs w:val="24"/>
        </w:rPr>
        <w:t xml:space="preserve">by improving soil structure. </w:t>
      </w:r>
      <w:r w:rsidRPr="43844335" w:rsidR="005E5BBB">
        <w:rPr>
          <w:rFonts w:ascii="Times New Roman" w:hAnsi="Times New Roman" w:cs="Times New Roman"/>
          <w:sz w:val="24"/>
          <w:szCs w:val="24"/>
        </w:rPr>
        <w:t xml:space="preserve">The application of digestate significantly reduces soil bulk density, improving </w:t>
      </w:r>
      <w:r w:rsidRPr="43844335" w:rsidR="35BD8869">
        <w:rPr>
          <w:rFonts w:ascii="Times New Roman" w:hAnsi="Times New Roman" w:cs="Times New Roman"/>
          <w:sz w:val="24"/>
          <w:szCs w:val="24"/>
        </w:rPr>
        <w:t>porosity,</w:t>
      </w:r>
      <w:r w:rsidRPr="43844335" w:rsidR="005E5BBB">
        <w:rPr>
          <w:rFonts w:ascii="Times New Roman" w:hAnsi="Times New Roman" w:cs="Times New Roman"/>
          <w:sz w:val="24"/>
          <w:szCs w:val="24"/>
        </w:rPr>
        <w:t xml:space="preserve"> and enhancing water infiltration and retention capacity </w:t>
      </w:r>
      <w:r w:rsidRPr="43844335">
        <w:rPr>
          <w:rFonts w:ascii="Times New Roman" w:hAnsi="Times New Roman" w:cs="Times New Roman"/>
          <w:sz w:val="24"/>
          <w:szCs w:val="24"/>
        </w:rPr>
        <w:fldChar w:fldCharType="begin"/>
      </w:r>
      <w:r w:rsidRPr="43844335">
        <w:rPr>
          <w:rFonts w:ascii="Times New Roman" w:hAnsi="Times New Roman" w:cs="Times New Roman"/>
          <w:sz w:val="24"/>
          <w:szCs w:val="24"/>
        </w:rPr>
        <w:instrText xml:space="preserve"> ADDIN ZOTERO_ITEM CSL_CITATION {"citationID":"gAYZG9te","properties":{"formattedCitation":"[23]","plainCitation":"[23]","noteIndex":0},"citationItems":[{"id":58,"uris":["http://zotero.org/users/local/NWCAR5we/items/374XSQQW"],"itemData":{"id":58,"type":"article-journal","abstract":"Date palm waste (DPW) compost poses several challenges attributed to its lignocellulosic composition, which restricts biodegradability. This study used DPW, chicken litter (CkL), and water to achieve 60% moisture and 30 C:N ratio, following a compost recipe calculator. Using a rotary drum bioreactor over 20 days, the thermophilic phase lasted 12 days, achieving a biodegradation rate of 0.51. During this process, bulk density (BD), electrical conductivity (EC), and pH increased with 0.21 g/l, 1.84 dS/m, and 0.86, respectively. In contrast, free airspace (FAS) and moisture content (MC) decreased by 16.18% and 34.74%, respectively. Most nutrient content increased due to the mass loss. Ultimately, the C:N ratio dropped from 32.58 to 21.82, indicating maturity; however, the germination index was 57.56 ± 9.43%, suggesting immaturity and moderate phytotoxicity. Although adjustments to the C:N ratio promoted early maturation, further modifications or time are required for complete maturation of the compost within the 20-day timeframe.","container-title":"Journal of Ecological Engineering","DOI":"10.12911/22998993/203810","ISSN":"2299-8993","issue":"8","journalAbbreviation":"J. Ecol. Eng.","language":"en","license":"https://creativecommons.org/licenses/by/4.0/","page":"120-131","source":"DOI.org (Crossref)","title":"Optimized date palm waste composting: Accelerating maturity via C:N ratio and moisture adjustments using a rotary drum system","title-short":"Optimized date palm waste composting","volume":"26","author":[{"family":"Ouali","given":"Abdelouahad"},{"family":"Hiouani","given":"Fatima"},{"family":"Beribeche","given":"Khadidja"},{"family":"Madani","given":"Djamila"}],"issued":{"date-parts":[["2025",8,1]]}}}],"schema":"https://github.com/citation-style-language/schema/raw/master/csl-citation.json"} </w:instrText>
      </w:r>
      <w:r w:rsidRPr="43844335">
        <w:rPr>
          <w:rFonts w:ascii="Times New Roman" w:hAnsi="Times New Roman" w:cs="Times New Roman"/>
          <w:sz w:val="24"/>
          <w:szCs w:val="24"/>
        </w:rPr>
        <w:fldChar w:fldCharType="separate"/>
      </w:r>
      <w:r w:rsidRPr="43844335" w:rsidR="000703F4">
        <w:rPr>
          <w:rFonts w:ascii="Times New Roman" w:hAnsi="Times New Roman" w:cs="Times New Roman"/>
          <w:sz w:val="24"/>
          <w:szCs w:val="24"/>
        </w:rPr>
        <w:t>[23]</w:t>
      </w:r>
      <w:r w:rsidRPr="43844335">
        <w:rPr>
          <w:rFonts w:ascii="Times New Roman" w:hAnsi="Times New Roman" w:cs="Times New Roman"/>
          <w:sz w:val="24"/>
          <w:szCs w:val="24"/>
        </w:rPr>
        <w:fldChar w:fldCharType="end"/>
      </w:r>
      <w:r w:rsidRPr="43844335" w:rsidR="00473BC6">
        <w:rPr>
          <w:rFonts w:ascii="Times New Roman" w:hAnsi="Times New Roman" w:cs="Times New Roman"/>
          <w:sz w:val="24"/>
          <w:szCs w:val="24"/>
        </w:rPr>
        <w:t>.</w:t>
      </w:r>
    </w:p>
    <w:p w:rsidRPr="000C01CA" w:rsidR="00473BC6" w:rsidP="00102447" w:rsidRDefault="00473BC6" w14:paraId="67329D2A" w14:textId="61DF3EAA">
      <w:pPr>
        <w:spacing w:line="360" w:lineRule="auto"/>
        <w:ind w:firstLine="720"/>
        <w:jc w:val="both"/>
        <w:rPr>
          <w:rFonts w:ascii="Times New Roman" w:hAnsi="Times New Roman" w:cs="Times New Roman"/>
          <w:sz w:val="24"/>
          <w:szCs w:val="24"/>
        </w:rPr>
      </w:pPr>
      <w:r w:rsidRPr="000C01CA">
        <w:rPr>
          <w:rFonts w:ascii="Times New Roman" w:hAnsi="Times New Roman" w:cs="Times New Roman"/>
          <w:sz w:val="24"/>
          <w:szCs w:val="24"/>
        </w:rPr>
        <w:t>This effect is highly synergistic with the AV microclimate. While the AV panels reduce water loss by minimizing solar exposure a</w:t>
      </w:r>
      <w:r w:rsidRPr="000C01CA" w:rsidR="007F620B">
        <w:rPr>
          <w:rFonts w:ascii="Times New Roman" w:hAnsi="Times New Roman" w:cs="Times New Roman"/>
          <w:sz w:val="24"/>
          <w:szCs w:val="24"/>
        </w:rPr>
        <w:t>nd evapotranspiration</w:t>
      </w:r>
      <w:r w:rsidRPr="000C01CA">
        <w:rPr>
          <w:rFonts w:ascii="Times New Roman" w:hAnsi="Times New Roman" w:cs="Times New Roman"/>
          <w:sz w:val="24"/>
          <w:szCs w:val="24"/>
        </w:rPr>
        <w:t xml:space="preserve">, the DG simultaneously enhances the soil's intrinsic ability to store the remaining water </w:t>
      </w:r>
      <w:r w:rsidRPr="000C01CA" w:rsidR="000703F4">
        <w:rPr>
          <w:rFonts w:ascii="Times New Roman" w:hAnsi="Times New Roman" w:cs="Times New Roman"/>
          <w:sz w:val="24"/>
          <w:szCs w:val="24"/>
        </w:rPr>
        <w:fldChar w:fldCharType="begin"/>
      </w:r>
      <w:r w:rsidRPr="000C01CA" w:rsidR="000703F4">
        <w:rPr>
          <w:rFonts w:ascii="Times New Roman" w:hAnsi="Times New Roman" w:cs="Times New Roman"/>
          <w:sz w:val="24"/>
          <w:szCs w:val="24"/>
        </w:rPr>
        <w:instrText xml:space="preserve"> ADDIN ZOTERO_ITEM CSL_CITATION {"citationID":"XA9Szo02","properties":{"formattedCitation":"[23]","plainCitation":"[23]","noteIndex":0},"citationItems":[{"id":58,"uris":["http://zotero.org/users/local/NWCAR5we/items/374XSQQW"],"itemData":{"id":58,"type":"article-journal","abstract":"Date palm waste (DPW) compost poses several challenges attributed to its lignocellulosic composition, which restricts biodegradability. This study used DPW, chicken litter (CkL), and water to achieve 60% moisture and 30 C:N ratio, following a compost recipe calculator. Using a rotary drum bioreactor over 20 days, the thermophilic phase lasted 12 days, achieving a biodegradation rate of 0.51. During this process, bulk density (BD), electrical conductivity (EC), and pH increased with 0.21 g/l, 1.84 dS/m, and 0.86, respectively. In contrast, free airspace (FAS) and moisture content (MC) decreased by 16.18% and 34.74%, respectively. Most nutrient content increased due to the mass loss. Ultimately, the C:N ratio dropped from 32.58 to 21.82, indicating maturity; however, the germination index was 57.56 ± 9.43%, suggesting immaturity and moderate phytotoxicity. Although adjustments to the C:N ratio promoted early maturation, further modifications or time are required for complete maturation of the compost within the 20-day timeframe.","container-title":"Journal of Ecological Engineering","DOI":"10.12911/22998993/203810","ISSN":"2299-8993","issue":"8","journalAbbreviation":"J. Ecol. Eng.","language":"en","license":"https://creativecommons.org/licenses/by/4.0/","page":"120-131","source":"DOI.org (Crossref)","title":"Optimized date palm waste composting: Accelerating maturity via C:N ratio and moisture adjustments using a rotary drum system","title-short":"Optimized date palm waste composting","volume":"26","author":[{"family":"Ouali","given":"Abdelouahad"},{"family":"Hiouani","given":"Fatima"},{"family":"Beribeche","given":"Khadidja"},{"family":"Madani","given":"Djamila"}],"issued":{"date-parts":[["2025",8,1]]}}}],"schema":"https://github.com/citation-style-language/schema/raw/master/csl-citation.json"} </w:instrText>
      </w:r>
      <w:r w:rsidRPr="000C01CA" w:rsidR="000703F4">
        <w:rPr>
          <w:rFonts w:ascii="Times New Roman" w:hAnsi="Times New Roman" w:cs="Times New Roman"/>
          <w:sz w:val="24"/>
          <w:szCs w:val="24"/>
        </w:rPr>
        <w:fldChar w:fldCharType="separate"/>
      </w:r>
      <w:r w:rsidRPr="000C01CA" w:rsidR="000703F4">
        <w:rPr>
          <w:rFonts w:ascii="Times New Roman" w:hAnsi="Times New Roman" w:cs="Times New Roman"/>
          <w:sz w:val="24"/>
        </w:rPr>
        <w:t>[23]</w:t>
      </w:r>
      <w:r w:rsidRPr="000C01CA" w:rsidR="000703F4">
        <w:rPr>
          <w:rFonts w:ascii="Times New Roman" w:hAnsi="Times New Roman" w:cs="Times New Roman"/>
          <w:sz w:val="24"/>
          <w:szCs w:val="24"/>
        </w:rPr>
        <w:fldChar w:fldCharType="end"/>
      </w:r>
      <w:r w:rsidRPr="000C01CA">
        <w:rPr>
          <w:rFonts w:ascii="Times New Roman" w:hAnsi="Times New Roman" w:cs="Times New Roman"/>
          <w:sz w:val="24"/>
          <w:szCs w:val="24"/>
        </w:rPr>
        <w:t>. This double action maximizes the overall water-use efficiency (WUE) and resource security of the integrated system</w:t>
      </w:r>
      <w:r w:rsidRPr="000C01CA" w:rsidR="00250EAF">
        <w:rPr>
          <w:rFonts w:ascii="Times New Roman" w:hAnsi="Times New Roman" w:cs="Times New Roman"/>
          <w:sz w:val="24"/>
          <w:szCs w:val="24"/>
        </w:rPr>
        <w:t xml:space="preserve"> </w:t>
      </w:r>
      <w:r w:rsidRPr="000C01CA" w:rsidR="000703F4">
        <w:rPr>
          <w:rFonts w:ascii="Times New Roman" w:hAnsi="Times New Roman" w:cs="Times New Roman"/>
          <w:sz w:val="24"/>
          <w:szCs w:val="24"/>
        </w:rPr>
        <w:fldChar w:fldCharType="begin"/>
      </w:r>
      <w:r w:rsidRPr="000C01CA" w:rsidR="000703F4">
        <w:rPr>
          <w:rFonts w:ascii="Times New Roman" w:hAnsi="Times New Roman" w:cs="Times New Roman"/>
          <w:sz w:val="24"/>
          <w:szCs w:val="24"/>
        </w:rPr>
        <w:instrText xml:space="preserve"> ADDIN ZOTERO_ITEM CSL_CITATION {"citationID":"LfzRA10g","properties":{"formattedCitation":"[1]","plainCitation":"[1]","noteIndex":0},"citationItems":[{"id":5,"uris":["http://zotero.org/users/local/NWCAR5we/items/UUW3G8ZP"],"itemData":{"id":5,"type":"article-journal","abstract":"Agrivoltaic systems combine solar photovoltaic energy production with agriculture to improve land-use efﬁciency. We provide an upper-bound reduced-order cost estimate for widespread implementation of Agrivoltaic systems in the United States. We ﬁnd that 20% of the US’ total electricity generation can be met with Agrivoltaic systems if less than 1% of the annual US budget is invested into rural infrastructure. Simultaneously, Agrivoltaic systems align well with existing Green New Deal goals. Widescale installation of Agrivoltaic systems can lead to a carbon dioxide (CO2) emissions reduction equivalent to removing 71,000 cars from the road annually and the creation of over 100,000 jobs in rural communities. Agrivoltaics provide a rare chance for true synergy: more food, more energy, lower water demand, lower carbon emissions, and more prosperous rural communities.","container-title":"Sustainability","DOI":"10.3390/su13010137","ISSN":"2071-1050","issue":"1","journalAbbreviation":"Sustainability","language":"en","page":"137","source":"DOI.org (Crossref)","title":"Agrivoltaics Align with Green New Deal Goals While Supporting Investment in the US’ Rural Economy","volume":"13","author":[{"family":"Proctor","given":"Kyle"},{"family":"Murthy","given":"Ganti"},{"family":"Higgins","given":"Chad"}],"issued":{"date-parts":[["2020",12,25]]}}}],"schema":"https://github.com/citation-style-language/schema/raw/master/csl-citation.json"} </w:instrText>
      </w:r>
      <w:r w:rsidRPr="000C01CA" w:rsidR="000703F4">
        <w:rPr>
          <w:rFonts w:ascii="Times New Roman" w:hAnsi="Times New Roman" w:cs="Times New Roman"/>
          <w:sz w:val="24"/>
          <w:szCs w:val="24"/>
        </w:rPr>
        <w:fldChar w:fldCharType="separate"/>
      </w:r>
      <w:r w:rsidRPr="000C01CA" w:rsidR="000703F4">
        <w:rPr>
          <w:rFonts w:ascii="Times New Roman" w:hAnsi="Times New Roman" w:cs="Times New Roman"/>
          <w:sz w:val="24"/>
        </w:rPr>
        <w:t>[1]</w:t>
      </w:r>
      <w:r w:rsidRPr="000C01CA" w:rsidR="000703F4">
        <w:rPr>
          <w:rFonts w:ascii="Times New Roman" w:hAnsi="Times New Roman" w:cs="Times New Roman"/>
          <w:sz w:val="24"/>
          <w:szCs w:val="24"/>
        </w:rPr>
        <w:fldChar w:fldCharType="end"/>
      </w:r>
      <w:r w:rsidRPr="000C01CA">
        <w:rPr>
          <w:rFonts w:ascii="Times New Roman" w:hAnsi="Times New Roman" w:cs="Times New Roman"/>
          <w:sz w:val="24"/>
          <w:szCs w:val="24"/>
        </w:rPr>
        <w:t>.</w:t>
      </w:r>
      <w:r w:rsidRPr="000C01CA" w:rsidR="00250EAF">
        <w:rPr>
          <w:rFonts w:ascii="Times New Roman" w:hAnsi="Times New Roman" w:cs="Times New Roman"/>
          <w:sz w:val="24"/>
          <w:szCs w:val="24"/>
        </w:rPr>
        <w:t xml:space="preserve"> </w:t>
      </w:r>
    </w:p>
    <w:p w:rsidRPr="000C01CA" w:rsidR="00CD530B" w:rsidP="00102447" w:rsidRDefault="00916B85" w14:paraId="1BC45151" w14:textId="77777777">
      <w:pPr>
        <w:spacing w:line="360" w:lineRule="auto"/>
        <w:jc w:val="both"/>
        <w:rPr>
          <w:rFonts w:ascii="Times New Roman" w:hAnsi="Times New Roman" w:cs="Times New Roman"/>
          <w:b/>
          <w:sz w:val="24"/>
          <w:szCs w:val="24"/>
        </w:rPr>
      </w:pPr>
      <w:r w:rsidRPr="000C01CA">
        <w:rPr>
          <w:rFonts w:ascii="Times New Roman" w:hAnsi="Times New Roman" w:cs="Times New Roman"/>
          <w:b/>
          <w:sz w:val="24"/>
          <w:szCs w:val="24"/>
        </w:rPr>
        <w:t>IV. Methodology</w:t>
      </w:r>
    </w:p>
    <w:p w:rsidRPr="000C01CA" w:rsidR="005E5BBB" w:rsidP="00102447" w:rsidRDefault="005E5BBB" w14:paraId="557049F8" w14:textId="77777777">
      <w:pPr>
        <w:spacing w:line="360" w:lineRule="auto"/>
        <w:ind w:firstLine="720"/>
        <w:jc w:val="both"/>
        <w:rPr>
          <w:rFonts w:ascii="Times New Roman" w:hAnsi="Times New Roman" w:cs="Times New Roman"/>
          <w:sz w:val="24"/>
          <w:szCs w:val="24"/>
        </w:rPr>
      </w:pPr>
      <w:r w:rsidRPr="000C01CA">
        <w:rPr>
          <w:rFonts w:ascii="Times New Roman" w:hAnsi="Times New Roman" w:cs="Times New Roman"/>
          <w:sz w:val="24"/>
          <w:szCs w:val="24"/>
        </w:rPr>
        <w:t>This study employs an integrated system modeling approach that combines photovoltaic energy simulation with anaerobic digestion modeling under the climatic constraints of semi-arid regions.</w:t>
      </w:r>
    </w:p>
    <w:p w:rsidRPr="000C01CA" w:rsidR="00CD530B" w:rsidP="00102447" w:rsidRDefault="00CD530B" w14:paraId="4FD29C1D" w14:textId="77777777">
      <w:pPr>
        <w:spacing w:line="360" w:lineRule="auto"/>
        <w:jc w:val="both"/>
        <w:rPr>
          <w:rFonts w:ascii="Times New Roman" w:hAnsi="Times New Roman" w:cs="Times New Roman"/>
          <w:b/>
          <w:sz w:val="24"/>
          <w:szCs w:val="24"/>
        </w:rPr>
      </w:pPr>
      <w:r w:rsidRPr="000C01CA">
        <w:rPr>
          <w:rFonts w:ascii="Times New Roman" w:hAnsi="Times New Roman" w:cs="Times New Roman"/>
          <w:b/>
          <w:sz w:val="24"/>
          <w:szCs w:val="24"/>
        </w:rPr>
        <w:t>IV.1.</w:t>
      </w:r>
      <w:r w:rsidRPr="000C01CA">
        <w:rPr>
          <w:rFonts w:ascii="Times New Roman" w:hAnsi="Times New Roman" w:cs="Times New Roman"/>
          <w:b/>
          <w:sz w:val="24"/>
          <w:szCs w:val="24"/>
        </w:rPr>
        <w:tab/>
      </w:r>
      <w:r w:rsidRPr="000C01CA" w:rsidR="00916B85">
        <w:rPr>
          <w:rFonts w:ascii="Times New Roman" w:hAnsi="Times New Roman" w:cs="Times New Roman"/>
          <w:b/>
          <w:sz w:val="24"/>
          <w:szCs w:val="24"/>
        </w:rPr>
        <w:t>Site Characterization and Climate Data</w:t>
      </w:r>
    </w:p>
    <w:p w:rsidRPr="000C01CA" w:rsidR="00916B85" w:rsidP="00102447" w:rsidRDefault="00916B85" w14:paraId="5DBBE963" w14:textId="77777777">
      <w:pPr>
        <w:spacing w:line="360" w:lineRule="auto"/>
        <w:ind w:firstLine="720"/>
        <w:jc w:val="both"/>
        <w:rPr>
          <w:rFonts w:ascii="Times New Roman" w:hAnsi="Times New Roman" w:cs="Times New Roman"/>
          <w:sz w:val="24"/>
          <w:szCs w:val="24"/>
        </w:rPr>
      </w:pPr>
      <w:r w:rsidRPr="000C01CA">
        <w:rPr>
          <w:rFonts w:ascii="Times New Roman" w:hAnsi="Times New Roman" w:cs="Times New Roman"/>
          <w:sz w:val="24"/>
          <w:szCs w:val="24"/>
        </w:rPr>
        <w:t>The simulation is based on a typical “semi-arid” climate profile characterized by high solar radiation and seasonal water deficits.</w:t>
      </w:r>
    </w:p>
    <w:p w:rsidRPr="000C01CA" w:rsidR="00916B85" w:rsidP="00102447" w:rsidRDefault="00916B85" w14:paraId="0CF5678A" w14:textId="77777777">
      <w:pPr>
        <w:pStyle w:val="ListParagraph"/>
        <w:numPr>
          <w:ilvl w:val="0"/>
          <w:numId w:val="21"/>
        </w:numPr>
        <w:spacing w:line="360" w:lineRule="auto"/>
        <w:jc w:val="both"/>
        <w:rPr>
          <w:rFonts w:ascii="Times New Roman" w:hAnsi="Times New Roman" w:cs="Times New Roman"/>
          <w:sz w:val="24"/>
          <w:szCs w:val="24"/>
        </w:rPr>
      </w:pPr>
      <w:r w:rsidRPr="000C01CA">
        <w:rPr>
          <w:rFonts w:ascii="Times New Roman" w:hAnsi="Times New Roman" w:cs="Times New Roman"/>
          <w:sz w:val="24"/>
          <w:szCs w:val="24"/>
        </w:rPr>
        <w:t>Meteorological data: Hourly data (Global Horizontal Irradiation - GHI, ambient temperature, precipitation) are extracted from PVGIS-SARAH satellite databases.</w:t>
      </w:r>
    </w:p>
    <w:p w:rsidRPr="000C01CA" w:rsidR="00916B85" w:rsidP="00102447" w:rsidRDefault="00916B85" w14:paraId="3D91D42D" w14:textId="77777777">
      <w:pPr>
        <w:pStyle w:val="ListParagraph"/>
        <w:numPr>
          <w:ilvl w:val="0"/>
          <w:numId w:val="21"/>
        </w:numPr>
        <w:spacing w:line="360" w:lineRule="auto"/>
        <w:jc w:val="both"/>
        <w:rPr>
          <w:rFonts w:ascii="Times New Roman" w:hAnsi="Times New Roman" w:cs="Times New Roman"/>
          <w:sz w:val="24"/>
          <w:szCs w:val="24"/>
        </w:rPr>
      </w:pPr>
      <w:r w:rsidRPr="000C01CA">
        <w:rPr>
          <w:rFonts w:ascii="Times New Roman" w:hAnsi="Times New Roman" w:cs="Times New Roman"/>
          <w:sz w:val="24"/>
          <w:szCs w:val="24"/>
        </w:rPr>
        <w:t>Stress criteria: The focus is on the summer months when potential evapotranspiration (</w:t>
      </w:r>
      <m:oMath>
        <m:r>
          <m:rPr>
            <m:sty m:val="p"/>
          </m:rPr>
          <w:rPr>
            <w:rFonts w:ascii="Cambria Math" w:hAnsi="Cambria Math" w:cs="Times New Roman"/>
            <w:sz w:val="24"/>
            <w:szCs w:val="24"/>
          </w:rPr>
          <m:t>E</m:t>
        </m:r>
        <m:sSub>
          <m:sSubPr>
            <m:ctrlPr>
              <w:rPr>
                <w:rFonts w:ascii="Cambria Math" w:hAnsi="Cambria Math" w:cs="Times New Roman"/>
                <w:sz w:val="24"/>
                <w:szCs w:val="24"/>
              </w:rPr>
            </m:ctrlPr>
          </m:sSubPr>
          <m:e>
            <m:r>
              <m:rPr>
                <m:sty m:val="p"/>
              </m:rPr>
              <w:rPr>
                <w:rFonts w:ascii="Cambria Math" w:hAnsi="Cambria Math" w:cs="Times New Roman"/>
                <w:sz w:val="24"/>
                <w:szCs w:val="24"/>
              </w:rPr>
              <m:t>T</m:t>
            </m:r>
          </m:e>
          <m:sub>
            <m:r>
              <m:rPr>
                <m:sty m:val="p"/>
              </m:rPr>
              <w:rPr>
                <w:rFonts w:ascii="Cambria Math" w:hAnsi="Cambria Math" w:cs="Times New Roman"/>
                <w:sz w:val="24"/>
                <w:szCs w:val="24"/>
              </w:rPr>
              <m:t>0</m:t>
            </m:r>
          </m:sub>
        </m:sSub>
      </m:oMath>
      <w:r w:rsidRPr="000C01CA">
        <w:rPr>
          <w:rFonts w:ascii="Times New Roman" w:hAnsi="Times New Roman" w:cs="Times New Roman"/>
          <w:sz w:val="24"/>
          <w:szCs w:val="24"/>
        </w:rPr>
        <w:t>) exceeds precipitation, creating a critical need for irrigation and panel cooling.</w:t>
      </w:r>
    </w:p>
    <w:p w:rsidRPr="000C01CA" w:rsidR="00CD530B" w:rsidP="00102447" w:rsidRDefault="00CD530B" w14:paraId="2DF956FA" w14:textId="77777777">
      <w:pPr>
        <w:spacing w:line="360" w:lineRule="auto"/>
        <w:jc w:val="both"/>
        <w:rPr>
          <w:rFonts w:ascii="Times New Roman" w:hAnsi="Times New Roman" w:cs="Times New Roman"/>
          <w:b/>
          <w:sz w:val="24"/>
          <w:szCs w:val="24"/>
        </w:rPr>
      </w:pPr>
      <w:r w:rsidRPr="000C01CA">
        <w:rPr>
          <w:rFonts w:ascii="Times New Roman" w:hAnsi="Times New Roman" w:cs="Times New Roman"/>
          <w:b/>
          <w:sz w:val="24"/>
          <w:szCs w:val="24"/>
        </w:rPr>
        <w:t>IV.2.</w:t>
      </w:r>
      <w:r w:rsidRPr="000C01CA">
        <w:rPr>
          <w:rFonts w:ascii="Times New Roman" w:hAnsi="Times New Roman" w:cs="Times New Roman"/>
          <w:b/>
          <w:sz w:val="24"/>
          <w:szCs w:val="24"/>
        </w:rPr>
        <w:tab/>
      </w:r>
      <w:r w:rsidRPr="000C01CA" w:rsidR="00254829">
        <w:rPr>
          <w:rFonts w:ascii="Times New Roman" w:hAnsi="Times New Roman" w:cs="Times New Roman"/>
          <w:b/>
          <w:sz w:val="24"/>
          <w:szCs w:val="24"/>
        </w:rPr>
        <w:t>Photovoltaic (PV) Conversion Modeling</w:t>
      </w:r>
    </w:p>
    <w:p w:rsidR="009F7062" w:rsidP="00102447" w:rsidRDefault="00CC142B" w14:paraId="2AD58F18" w14:textId="394D2061">
      <w:pPr>
        <w:spacing w:line="360" w:lineRule="auto"/>
        <w:ind w:firstLine="720"/>
        <w:jc w:val="both"/>
        <w:rPr>
          <w:rFonts w:ascii="Times New Roman" w:hAnsi="Times New Roman" w:cs="Times New Roman"/>
          <w:sz w:val="24"/>
          <w:szCs w:val="24"/>
        </w:rPr>
      </w:pPr>
      <w:r w:rsidRPr="000C01CA">
        <w:rPr>
          <w:rFonts w:ascii="Times New Roman" w:hAnsi="Times New Roman" w:cs="Times New Roman"/>
          <w:sz w:val="24"/>
          <w:szCs w:val="24"/>
        </w:rPr>
        <w:t>Accurate modeling of megawatt-scale hybrid systems requires precise sizing of PV panels.</w:t>
      </w:r>
      <w:r w:rsidRPr="000C01CA" w:rsidR="00254829">
        <w:rPr>
          <w:rFonts w:ascii="Times New Roman" w:hAnsi="Times New Roman" w:cs="Times New Roman"/>
          <w:sz w:val="24"/>
          <w:szCs w:val="24"/>
        </w:rPr>
        <w:t xml:space="preserve"> This is often achieved using sophisticated models such as the double-diode (DD) model</w:t>
      </w:r>
      <w:r w:rsidRPr="000C01CA" w:rsidR="00C251B0">
        <w:rPr>
          <w:rFonts w:ascii="Times New Roman" w:hAnsi="Times New Roman" w:cs="Times New Roman"/>
          <w:sz w:val="24"/>
          <w:szCs w:val="24"/>
        </w:rPr>
        <w:t xml:space="preserve"> </w:t>
      </w:r>
      <w:r w:rsidRPr="000C01CA" w:rsidR="000703F4">
        <w:rPr>
          <w:rFonts w:ascii="Times New Roman" w:hAnsi="Times New Roman" w:cs="Times New Roman"/>
          <w:sz w:val="24"/>
          <w:szCs w:val="24"/>
        </w:rPr>
        <w:fldChar w:fldCharType="begin"/>
      </w:r>
      <w:r w:rsidRPr="000C01CA" w:rsidR="000703F4">
        <w:rPr>
          <w:rFonts w:ascii="Times New Roman" w:hAnsi="Times New Roman" w:cs="Times New Roman"/>
          <w:sz w:val="24"/>
          <w:szCs w:val="24"/>
        </w:rPr>
        <w:instrText xml:space="preserve"> ADDIN ZOTERO_ITEM CSL_CITATION {"citationID":"rQpyBDly","properties":{"formattedCitation":"[21]","plainCitation":"[21]","noteIndex":0},"citationItems":[{"id":31,"uris":["http://zotero.org/users/local/NWCAR5we/items/E2JHSKFU"],"itemData":{"id":31,"type":"article-journal","abstract":"This paper aims to investigate a hybrid photovoltaic (PV) biogas on-grid energy system in Al-Ghabawi territory, Amman, Jordan. The system is accomplished by assessing the system’s reliability and economic viability. Realistic hourly measurements of solar irradiance, ambient temperature, municipal solid waste, and load demand in 2020 were obtained from Jordanian governmental entities. This helps in investigating the proposed system on a real megawatt-scale retroﬁtting power system. Three case scenarios were performed: loss of power supply probability (LPSP) with total net present cost (TNPC), LPSP with an annualized cost of the system (ACS), and TNPC with the index of reliability (IR). Pareto frontiers were obtained using multi-objective feasibility enhanced particle swarm optimization (MOFEPSO) algorithm. The system’s decision variables were the number of PV panels (Npv) and the number of biogas plant working hours per day (tbiogas). Moreover, three non-dominant Pareto frontier solutions are discussed, including reliable, affordable, and best solutions obtained by fuzzy logic. Double-diode (DD) solar PV model was implemented to obtain an accurate sizing of the proposed system. For instance, the best solution of the third case is held at TNPC of 64.504 million USD/yr and IR of 96.048%. These ﬁndings were revealed at 33,459 panels and 12.498 h/day. Further, system emissions for each scenario have been tested. Finally, decision makers are invited to adopt to the ﬁndings and energy management strategy of this paper to ﬁnd reliable and cost-effective best solutions.","container-title":"Sustainability","DOI":"10.3390/su14020685","ISSN":"2071-1050","issue":"2","journalAbbreviation":"Sustainability","language":"en","page":"685","source":"DOI.org (Crossref)","title":"Optimal Allocation of a Hybrid Photovoltaic Biogas Energy System Using Multi-Objective Feasibility Enhanced Particle Swarm Algorithm","volume":"14","author":[{"family":"Al-Masri","given":"Hussein M. K."},{"family":"Al-Sharqi","given":"Abed A."},{"family":"Magableh","given":"Sharaf K."},{"family":"Al-Shetwi","given":"Ali Q."},{"family":"Abdolrasol","given":"Maher G. M."},{"family":"Ustun","given":"Taha Selim"}],"issued":{"date-parts":[["2022",1,9]]}}}],"schema":"https://github.com/citation-style-language/schema/raw/master/csl-citation.json"} </w:instrText>
      </w:r>
      <w:r w:rsidRPr="000C01CA" w:rsidR="000703F4">
        <w:rPr>
          <w:rFonts w:ascii="Times New Roman" w:hAnsi="Times New Roman" w:cs="Times New Roman"/>
          <w:sz w:val="24"/>
          <w:szCs w:val="24"/>
        </w:rPr>
        <w:fldChar w:fldCharType="separate"/>
      </w:r>
      <w:r w:rsidRPr="000C01CA" w:rsidR="000703F4">
        <w:rPr>
          <w:rFonts w:ascii="Times New Roman" w:hAnsi="Times New Roman" w:cs="Times New Roman"/>
          <w:sz w:val="24"/>
        </w:rPr>
        <w:t>[21]</w:t>
      </w:r>
      <w:r w:rsidRPr="000C01CA" w:rsidR="000703F4">
        <w:rPr>
          <w:rFonts w:ascii="Times New Roman" w:hAnsi="Times New Roman" w:cs="Times New Roman"/>
          <w:sz w:val="24"/>
          <w:szCs w:val="24"/>
        </w:rPr>
        <w:fldChar w:fldCharType="end"/>
      </w:r>
      <w:r w:rsidRPr="000C01CA" w:rsidR="00254829">
        <w:rPr>
          <w:rFonts w:ascii="Times New Roman" w:hAnsi="Times New Roman" w:cs="Times New Roman"/>
          <w:sz w:val="24"/>
          <w:szCs w:val="24"/>
        </w:rPr>
        <w:t xml:space="preserve">. The output power, </w:t>
      </w:r>
      <m:oMath>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PV</m:t>
            </m:r>
          </m:sub>
        </m:sSub>
      </m:oMath>
      <w:r w:rsidRPr="000C01CA" w:rsidR="00254829">
        <w:rPr>
          <w:rFonts w:ascii="Times New Roman" w:hAnsi="Times New Roman" w:cs="Times New Roman"/>
          <w:sz w:val="24"/>
          <w:szCs w:val="24"/>
        </w:rPr>
        <w:t>, depends on the received irradiance and the cell temperature.</w:t>
      </w:r>
    </w:p>
    <w:p w:rsidRPr="00B30D16" w:rsidR="00B5390D" w:rsidP="00B5390D" w:rsidRDefault="00940BE4" w14:paraId="703ACFE5" w14:textId="1D76F8F5">
      <w:pPr>
        <w:spacing w:line="360" w:lineRule="auto"/>
        <w:jc w:val="center"/>
        <w:rPr>
          <w:rFonts w:ascii="Times New Roman" w:hAnsi="Times New Roman" w:cs="Times New Roman" w:eastAsiaTheme="minorEastAsia"/>
          <w:iCs/>
          <w:sz w:val="24"/>
          <w:szCs w:val="24"/>
        </w:rPr>
      </w:pPr>
      <w:r>
        <w:rPr>
          <w:rFonts w:ascii="Times New Roman" w:hAnsi="Times New Roman" w:cs="Times New Roman"/>
          <w:iCs/>
          <w:sz w:val="24"/>
          <w:szCs w:val="24"/>
        </w:rPr>
        <w:softHyphen/>
      </w:r>
      <w:r>
        <w:rPr>
          <w:rFonts w:ascii="Times New Roman" w:hAnsi="Times New Roman" w:cs="Times New Roman"/>
          <w:iCs/>
          <w:sz w:val="24"/>
          <w:szCs w:val="24"/>
        </w:rPr>
        <w:softHyphen/>
      </w:r>
      <m:oMath>
        <m:eqArr>
          <m:eqArrPr>
            <m:maxDist m:val="1"/>
            <m:ctrlPr>
              <w:rPr>
                <w:rFonts w:ascii="Cambria Math" w:hAnsi="Cambria Math" w:cs="Times New Roman"/>
                <w:i/>
                <w:sz w:val="24"/>
                <w:szCs w:val="24"/>
              </w:rPr>
            </m:ctrlPr>
          </m:eqArrPr>
          <m:e>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PV</m:t>
                </m:r>
              </m:sub>
            </m:sSub>
            <m:r>
              <m:rPr>
                <m:sty m:val="p"/>
              </m:rP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STC</m:t>
                </m:r>
              </m:sub>
            </m:sSub>
            <m:f>
              <m:fPr>
                <m:ctrlPr>
                  <w:rPr>
                    <w:rFonts w:ascii="Cambria Math" w:hAnsi="Cambria Math" w:cs="Times New Roman"/>
                    <w:i/>
                    <w:iCs/>
                    <w:sz w:val="24"/>
                    <w:szCs w:val="24"/>
                  </w:rPr>
                </m:ctrlPr>
              </m:fPr>
              <m:num>
                <m:sSub>
                  <m:sSubPr>
                    <m:ctrlPr>
                      <w:rPr>
                        <w:rFonts w:ascii="Cambria Math" w:hAnsi="Cambria Math" w:cs="Times New Roman"/>
                        <w:i/>
                        <w:iCs/>
                        <w:sz w:val="24"/>
                        <w:szCs w:val="24"/>
                      </w:rPr>
                    </m:ctrlPr>
                  </m:sSubPr>
                  <m:e>
                    <m:r>
                      <w:rPr>
                        <w:rFonts w:ascii="Cambria Math" w:hAnsi="Cambria Math" w:cs="Times New Roman"/>
                        <w:sz w:val="24"/>
                        <w:szCs w:val="24"/>
                      </w:rPr>
                      <m:t>G</m:t>
                    </m:r>
                  </m:e>
                  <m:sub>
                    <m:r>
                      <w:rPr>
                        <w:rFonts w:ascii="Cambria Math" w:hAnsi="Cambria Math" w:cs="Times New Roman"/>
                        <w:sz w:val="24"/>
                        <w:szCs w:val="24"/>
                      </w:rPr>
                      <m:t>front</m:t>
                    </m:r>
                  </m:sub>
                </m:sSub>
                <m:r>
                  <m:rPr>
                    <m:sty m:val="p"/>
                  </m:rP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G</m:t>
                    </m:r>
                  </m:e>
                  <m:sub>
                    <m:r>
                      <w:rPr>
                        <w:rFonts w:ascii="Cambria Math" w:hAnsi="Cambria Math" w:cs="Times New Roman"/>
                        <w:sz w:val="24"/>
                        <w:szCs w:val="24"/>
                      </w:rPr>
                      <m:t>rear</m:t>
                    </m:r>
                  </m:sub>
                </m:sSub>
                <m:r>
                  <m:rPr>
                    <m:sty m:val="p"/>
                  </m:rPr>
                  <w:rPr>
                    <w:rFonts w:ascii="Cambria Math" w:hAnsi="Cambria Math" w:cs="Times New Roman"/>
                    <w:sz w:val="24"/>
                    <w:szCs w:val="24"/>
                  </w:rPr>
                  <m:t>*</m:t>
                </m:r>
                <m:r>
                  <w:rPr>
                    <w:rFonts w:ascii="Cambria Math" w:hAnsi="Cambria Math" w:cs="Times New Roman"/>
                    <w:sz w:val="24"/>
                    <w:szCs w:val="24"/>
                  </w:rPr>
                  <m:t>ρ</m:t>
                </m:r>
                <m:r>
                  <m:rPr>
                    <m:sty m:val="p"/>
                  </m:rPr>
                  <w:rPr>
                    <w:rFonts w:ascii="Cambria Math" w:hAnsi="Cambria Math" w:cs="Times New Roman"/>
                    <w:sz w:val="24"/>
                    <w:szCs w:val="24"/>
                  </w:rPr>
                  <m:t>*(1-</m:t>
                </m:r>
                <m:sSub>
                  <m:sSubPr>
                    <m:ctrlPr>
                      <w:rPr>
                        <w:rFonts w:ascii="Cambria Math" w:hAnsi="Cambria Math" w:cs="Times New Roman"/>
                        <w:i/>
                        <w:iCs/>
                        <w:sz w:val="24"/>
                        <w:szCs w:val="24"/>
                      </w:rPr>
                    </m:ctrlPr>
                  </m:sSubPr>
                  <m:e>
                    <m:r>
                      <w:rPr>
                        <w:rFonts w:ascii="Cambria Math" w:hAnsi="Cambria Math" w:cs="Times New Roman"/>
                        <w:sz w:val="24"/>
                        <w:szCs w:val="24"/>
                      </w:rPr>
                      <m:t>η</m:t>
                    </m:r>
                  </m:e>
                  <m:sub>
                    <m:r>
                      <w:rPr>
                        <w:rFonts w:ascii="Cambria Math" w:hAnsi="Cambria Math" w:cs="Times New Roman"/>
                        <w:sz w:val="24"/>
                        <w:szCs w:val="24"/>
                      </w:rPr>
                      <m:t>loss</m:t>
                    </m:r>
                  </m:sub>
                </m:sSub>
                <m:r>
                  <m:rPr>
                    <m:sty m:val="p"/>
                  </m:rPr>
                  <w:rPr>
                    <w:rFonts w:ascii="Cambria Math" w:hAnsi="Cambria Math" w:cs="Times New Roman"/>
                    <w:sz w:val="24"/>
                    <w:szCs w:val="24"/>
                  </w:rPr>
                  <m:t>)</m:t>
                </m:r>
              </m:num>
              <m:den>
                <m:r>
                  <m:rPr>
                    <m:sty m:val="p"/>
                  </m:rPr>
                  <w:rPr>
                    <w:rFonts w:ascii="Cambria Math" w:hAnsi="Cambria Math" w:cs="Times New Roman"/>
                    <w:sz w:val="24"/>
                    <w:szCs w:val="24"/>
                  </w:rPr>
                  <m:t>1000</m:t>
                </m:r>
              </m:den>
            </m:f>
            <m:d>
              <m:dPr>
                <m:begChr m:val="["/>
                <m:endChr m:val="]"/>
                <m:ctrlPr>
                  <w:rPr>
                    <w:rFonts w:ascii="Cambria Math" w:hAnsi="Cambria Math" w:cs="Times New Roman"/>
                    <w:i/>
                    <w:sz w:val="24"/>
                    <w:szCs w:val="24"/>
                  </w:rPr>
                </m:ctrlPr>
              </m:dPr>
              <m:e>
                <m:r>
                  <m:rPr>
                    <m:sty m:val="p"/>
                  </m:rPr>
                  <w:rPr>
                    <w:rFonts w:ascii="Cambria Math" w:hAnsi="Cambria Math" w:cs="Times New Roman"/>
                    <w:sz w:val="24"/>
                    <w:szCs w:val="24"/>
                  </w:rPr>
                  <m:t>1+</m:t>
                </m:r>
                <m:sSub>
                  <m:sSubPr>
                    <m:ctrlPr>
                      <w:rPr>
                        <w:rFonts w:ascii="Cambria Math" w:hAnsi="Cambria Math" w:cs="Times New Roman"/>
                        <w:i/>
                        <w:iCs/>
                        <w:sz w:val="24"/>
                        <w:szCs w:val="24"/>
                      </w:rPr>
                    </m:ctrlPr>
                  </m:sSubPr>
                  <m:e>
                    <m:r>
                      <w:rPr>
                        <w:rFonts w:ascii="Cambria Math" w:hAnsi="Cambria Math" w:cs="Times New Roman"/>
                        <w:sz w:val="24"/>
                        <w:szCs w:val="24"/>
                      </w:rPr>
                      <m:t>β</m:t>
                    </m:r>
                  </m:e>
                  <m:sub>
                    <m:r>
                      <w:rPr>
                        <w:rFonts w:ascii="Cambria Math" w:hAnsi="Cambria Math" w:cs="Times New Roman"/>
                        <w:sz w:val="24"/>
                        <w:szCs w:val="24"/>
                      </w:rPr>
                      <m:t>p</m:t>
                    </m:r>
                  </m:sub>
                </m:sSub>
                <m:r>
                  <m:rPr>
                    <m:sty m:val="p"/>
                  </m:rPr>
                  <w:rPr>
                    <w:rFonts w:ascii="Cambria Math" w:hAnsi="Cambria Math" w:cs="Times New Roman"/>
                    <w:sz w:val="24"/>
                    <w:szCs w:val="24"/>
                  </w:rPr>
                  <m:t>*</m:t>
                </m:r>
                <m:d>
                  <m:dPr>
                    <m:ctrlPr>
                      <w:rPr>
                        <w:rFonts w:ascii="Cambria Math" w:hAnsi="Cambria Math" w:cs="Times New Roman"/>
                        <w:i/>
                        <w:sz w:val="24"/>
                        <w:szCs w:val="24"/>
                      </w:rPr>
                    </m:ctrlPr>
                  </m:dPr>
                  <m:e>
                    <m:sSub>
                      <m:sSubPr>
                        <m:ctrlPr>
                          <w:rPr>
                            <w:rFonts w:ascii="Cambria Math" w:hAnsi="Cambria Math" w:cs="Times New Roman"/>
                            <w:i/>
                            <w:iCs/>
                            <w:sz w:val="24"/>
                            <w:szCs w:val="24"/>
                          </w:rPr>
                        </m:ctrlPr>
                      </m:sSubPr>
                      <m:e>
                        <m:r>
                          <w:rPr>
                            <w:rFonts w:ascii="Cambria Math" w:hAnsi="Cambria Math" w:cs="Times New Roman"/>
                            <w:sz w:val="24"/>
                            <w:szCs w:val="24"/>
                          </w:rPr>
                          <m:t>T</m:t>
                        </m:r>
                      </m:e>
                      <m:sub>
                        <m:r>
                          <w:rPr>
                            <w:rFonts w:ascii="Cambria Math" w:hAnsi="Cambria Math" w:cs="Times New Roman"/>
                            <w:sz w:val="24"/>
                            <w:szCs w:val="24"/>
                          </w:rPr>
                          <m:t>cell</m:t>
                        </m:r>
                      </m:sub>
                    </m:sSub>
                    <m:r>
                      <m:rPr>
                        <m:sty m:val="p"/>
                      </m:rPr>
                      <w:rPr>
                        <w:rFonts w:ascii="Cambria Math" w:hAnsi="Cambria Math" w:cs="Times New Roman"/>
                        <w:sz w:val="24"/>
                        <w:szCs w:val="24"/>
                      </w:rPr>
                      <m:t>-25</m:t>
                    </m:r>
                  </m:e>
                </m:d>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2</m:t>
                </m:r>
              </m:e>
            </m:d>
            <m:ctrlPr>
              <w:rPr>
                <w:rFonts w:ascii="Cambria Math" w:hAnsi="Cambria Math" w:cs="Times New Roman"/>
                <w:i/>
                <w:iCs/>
                <w:sz w:val="24"/>
                <w:szCs w:val="24"/>
              </w:rPr>
            </m:ctrlPr>
          </m:e>
        </m:eqArr>
      </m:oMath>
    </w:p>
    <w:p w:rsidRPr="00283173" w:rsidR="009F7062" w:rsidP="00102447" w:rsidRDefault="00283173" w14:paraId="0FE5F5F6" w14:textId="687010A0">
      <w:pPr>
        <w:spacing w:line="360" w:lineRule="auto"/>
        <w:jc w:val="both"/>
        <w:rPr>
          <w:rFonts w:ascii="Times New Roman" w:hAnsi="Times New Roman" w:cs="Times New Roman" w:eastAsiaTheme="minor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T</m:t>
                  </m:r>
                </m:e>
                <m:sub>
                  <m:r>
                    <w:rPr>
                      <w:rFonts w:ascii="Cambria Math" w:hAnsi="Cambria Math"/>
                    </w:rPr>
                    <m:t>cell</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amb</m:t>
                  </m:r>
                </m:sub>
              </m:sSub>
              <m:r>
                <w:rPr>
                  <w:rFonts w:ascii="Cambria Math" w:hAnsi="Cambria Math"/>
                </w:rPr>
                <m:t xml:space="preserve">+ </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G</m:t>
                          </m:r>
                        </m:e>
                        <m:sub>
                          <m:r>
                            <w:rPr>
                              <w:rFonts w:ascii="Cambria Math" w:hAnsi="Cambria Math"/>
                            </w:rPr>
                            <m:t>eff</m:t>
                          </m:r>
                        </m:sub>
                      </m:sSub>
                    </m:num>
                    <m:den>
                      <m:sSub>
                        <m:sSubPr>
                          <m:ctrlPr>
                            <w:rPr>
                              <w:rFonts w:ascii="Cambria Math" w:hAnsi="Cambria Math"/>
                              <w:i/>
                            </w:rPr>
                          </m:ctrlPr>
                        </m:sSubPr>
                        <m:e>
                          <m:r>
                            <w:rPr>
                              <w:rFonts w:ascii="Cambria Math" w:hAnsi="Cambria Math"/>
                            </w:rPr>
                            <m:t>G</m:t>
                          </m:r>
                        </m:e>
                        <m:sub>
                          <m:r>
                            <w:rPr>
                              <w:rFonts w:ascii="Cambria Math" w:hAnsi="Cambria Math"/>
                            </w:rPr>
                            <m:t>NOCT</m:t>
                          </m:r>
                        </m:sub>
                      </m:sSub>
                    </m:den>
                  </m:f>
                </m:e>
              </m:d>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NOCT</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am</m:t>
                      </m:r>
                      <m:sSub>
                        <m:sSubPr>
                          <m:ctrlPr>
                            <w:rPr>
                              <w:rFonts w:ascii="Cambria Math" w:hAnsi="Cambria Math"/>
                              <w:i/>
                            </w:rPr>
                          </m:ctrlPr>
                        </m:sSubPr>
                        <m:e>
                          <m:r>
                            <w:rPr>
                              <w:rFonts w:ascii="Cambria Math" w:hAnsi="Cambria Math"/>
                            </w:rPr>
                            <m:t>b</m:t>
                          </m:r>
                        </m:e>
                        <m:sub>
                          <m:r>
                            <w:rPr>
                              <w:rFonts w:ascii="Cambria Math" w:hAnsi="Cambria Math"/>
                            </w:rPr>
                            <m:t>20</m:t>
                          </m:r>
                        </m:sub>
                      </m:sSub>
                    </m:sub>
                  </m:sSub>
                </m:e>
              </m:d>
              <m:r>
                <w:rPr>
                  <w:rFonts w:ascii="Cambria Math" w:hAnsi="Cambria Math"/>
                </w:rPr>
                <m:t>#</m:t>
              </m:r>
              <m:d>
                <m:dPr>
                  <m:ctrlPr>
                    <w:rPr>
                      <w:rFonts w:ascii="Cambria Math" w:hAnsi="Cambria Math"/>
                      <w:i/>
                    </w:rPr>
                  </m:ctrlPr>
                </m:dPr>
                <m:e>
                  <m:r>
                    <w:rPr>
                      <w:rFonts w:ascii="Cambria Math" w:hAnsi="Cambria Math"/>
                    </w:rPr>
                    <m:t>3</m:t>
                  </m:r>
                </m:e>
              </m:d>
            </m:e>
          </m:eqArr>
        </m:oMath>
      </m:oMathPara>
    </w:p>
    <w:p w:rsidRPr="000C01CA" w:rsidR="00CD530B" w:rsidP="00102447" w:rsidRDefault="00254829" w14:paraId="290BEA6E" w14:textId="4E31E9DB">
      <w:pPr>
        <w:pStyle w:val="NormalWeb"/>
        <w:spacing w:line="360" w:lineRule="auto"/>
        <w:jc w:val="both"/>
        <w:rPr>
          <w:lang w:val="en-US"/>
        </w:rPr>
      </w:pPr>
      <w:proofErr w:type="gramStart"/>
      <w:r w:rsidRPr="000C01CA">
        <w:rPr>
          <w:lang w:val="en-US"/>
        </w:rPr>
        <w:t>Where</w:t>
      </w:r>
      <w:proofErr w:type="gramEnd"/>
    </w:p>
    <w:p w:rsidRPr="000C01CA" w:rsidR="00254829" w:rsidP="00102447" w:rsidRDefault="00FF3FBC" w14:paraId="492D4777" w14:textId="77777777">
      <w:pPr>
        <w:pStyle w:val="ListParagraph"/>
        <w:numPr>
          <w:ilvl w:val="0"/>
          <w:numId w:val="10"/>
        </w:numPr>
        <w:spacing w:line="360" w:lineRule="auto"/>
        <w:jc w:val="both"/>
        <w:rPr>
          <w:rFonts w:ascii="Times New Roman" w:hAnsi="Times New Roman" w:cs="Times New Roman"/>
          <w:sz w:val="24"/>
          <w:szCs w:val="24"/>
        </w:rPr>
      </w:pPr>
      <m:oMath>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STC</m:t>
            </m:r>
          </m:sub>
        </m:sSub>
      </m:oMath>
      <w:r w:rsidRPr="000C01CA" w:rsidR="00254829">
        <w:rPr>
          <w:rFonts w:ascii="Times New Roman" w:hAnsi="Times New Roman" w:cs="Times New Roman"/>
          <w:sz w:val="24"/>
          <w:szCs w:val="24"/>
        </w:rPr>
        <w:t>: Peak power under standard conditions.</w:t>
      </w:r>
    </w:p>
    <w:p w:rsidRPr="000C01CA" w:rsidR="00254829" w:rsidP="00102447" w:rsidRDefault="00FF3FBC" w14:paraId="7C11D02F" w14:textId="77777777">
      <w:pPr>
        <w:pStyle w:val="ListParagraph"/>
        <w:numPr>
          <w:ilvl w:val="0"/>
          <w:numId w:val="10"/>
        </w:numPr>
        <w:spacing w:line="360" w:lineRule="auto"/>
        <w:jc w:val="both"/>
        <w:rPr>
          <w:rFonts w:ascii="Times New Roman" w:hAnsi="Times New Roman" w:cs="Times New Roman"/>
          <w:sz w:val="24"/>
          <w:szCs w:val="24"/>
        </w:rPr>
      </w:pPr>
      <m:oMath>
        <m:sSub>
          <m:sSubPr>
            <m:ctrlPr>
              <w:rPr>
                <w:rFonts w:ascii="Cambria Math" w:hAnsi="Cambria Math" w:cs="Times New Roman"/>
                <w:sz w:val="24"/>
                <w:szCs w:val="24"/>
              </w:rPr>
            </m:ctrlPr>
          </m:sSubPr>
          <m:e>
            <m:r>
              <m:rPr>
                <m:sty m:val="p"/>
              </m:rPr>
              <w:rPr>
                <w:rFonts w:ascii="Cambria Math" w:hAnsi="Cambria Math" w:cs="Times New Roman"/>
                <w:sz w:val="24"/>
                <w:szCs w:val="24"/>
              </w:rPr>
              <m:t>G</m:t>
            </m:r>
          </m:e>
          <m:sub>
            <m:r>
              <m:rPr>
                <m:sty m:val="p"/>
              </m:rPr>
              <w:rPr>
                <w:rFonts w:ascii="Cambria Math" w:hAnsi="Cambria Math" w:cs="Times New Roman"/>
                <w:sz w:val="24"/>
                <w:szCs w:val="24"/>
              </w:rPr>
              <m:t>front</m:t>
            </m:r>
          </m:sub>
        </m:sSub>
      </m:oMath>
      <w:r w:rsidRPr="000C01CA" w:rsidR="00254829">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rear</m:t>
            </m:r>
          </m:sub>
        </m:sSub>
      </m:oMath>
      <w:r w:rsidRPr="000C01CA" w:rsidR="00254829">
        <w:rPr>
          <w:rFonts w:ascii="Times New Roman" w:hAnsi="Times New Roman" w:cs="Times New Roman"/>
          <w:sz w:val="24"/>
          <w:szCs w:val="24"/>
        </w:rPr>
        <w:t>: Irradiance on the front and rear surfaces (W/m²).</w:t>
      </w:r>
    </w:p>
    <w:p w:rsidRPr="000C01CA" w:rsidR="00254829" w:rsidP="00102447" w:rsidRDefault="00496DA3" w14:paraId="517728B6" w14:textId="77777777">
      <w:pPr>
        <w:pStyle w:val="ListParagraph"/>
        <w:numPr>
          <w:ilvl w:val="0"/>
          <w:numId w:val="10"/>
        </w:numPr>
        <w:spacing w:line="360" w:lineRule="auto"/>
        <w:jc w:val="both"/>
        <w:rPr>
          <w:rFonts w:ascii="Times New Roman" w:hAnsi="Times New Roman" w:cs="Times New Roman"/>
          <w:sz w:val="24"/>
          <w:szCs w:val="24"/>
        </w:rPr>
      </w:pPr>
      <m:oMath>
        <m:r>
          <m:rPr>
            <m:sty m:val="p"/>
          </m:rPr>
          <w:rPr>
            <w:rFonts w:ascii="Cambria Math" w:hAnsi="Cambria Math" w:cs="Times New Roman"/>
            <w:sz w:val="24"/>
            <w:szCs w:val="24"/>
          </w:rPr>
          <m:t>ρ</m:t>
        </m:r>
      </m:oMath>
      <w:r w:rsidRPr="000C01CA" w:rsidR="00254829">
        <w:rPr>
          <w:rFonts w:ascii="Times New Roman" w:hAnsi="Times New Roman" w:cs="Times New Roman"/>
          <w:sz w:val="24"/>
          <w:szCs w:val="24"/>
        </w:rPr>
        <w:t>: Bifaciality factor of the module.</w:t>
      </w:r>
    </w:p>
    <w:p w:rsidRPr="000C01CA" w:rsidR="00254829" w:rsidP="00102447" w:rsidRDefault="00FF3FBC" w14:paraId="6361B3F1" w14:textId="77777777">
      <w:pPr>
        <w:pStyle w:val="ListParagraph"/>
        <w:numPr>
          <w:ilvl w:val="0"/>
          <w:numId w:val="10"/>
        </w:numPr>
        <w:spacing w:line="360" w:lineRule="auto"/>
        <w:jc w:val="both"/>
        <w:rPr>
          <w:rFonts w:ascii="Times New Roman" w:hAnsi="Times New Roman" w:cs="Times New Roman"/>
          <w:sz w:val="24"/>
          <w:szCs w:val="24"/>
        </w:rPr>
      </w:pPr>
      <m:oMath>
        <m:sSub>
          <m:sSubPr>
            <m:ctrlPr>
              <w:rPr>
                <w:rFonts w:ascii="Cambria Math" w:hAnsi="Cambria Math" w:cs="Times New Roman"/>
                <w:sz w:val="24"/>
                <w:szCs w:val="24"/>
              </w:rPr>
            </m:ctrlPr>
          </m:sSubPr>
          <m:e>
            <m:r>
              <m:rPr>
                <m:sty m:val="p"/>
              </m:rPr>
              <w:rPr>
                <w:rFonts w:ascii="Cambria Math" w:hAnsi="Cambria Math" w:cs="Times New Roman"/>
                <w:sz w:val="24"/>
                <w:szCs w:val="24"/>
              </w:rPr>
              <m:t>β</m:t>
            </m:r>
          </m:e>
          <m:sub>
            <m:r>
              <m:rPr>
                <m:sty m:val="p"/>
              </m:rPr>
              <w:rPr>
                <w:rFonts w:ascii="Cambria Math" w:hAnsi="Cambria Math" w:cs="Times New Roman"/>
                <w:sz w:val="24"/>
                <w:szCs w:val="24"/>
              </w:rPr>
              <m:t>p</m:t>
            </m:r>
          </m:sub>
        </m:sSub>
      </m:oMath>
      <w:r w:rsidRPr="000C01CA" w:rsidR="00254829">
        <w:rPr>
          <w:rFonts w:ascii="Times New Roman" w:hAnsi="Times New Roman" w:cs="Times New Roman"/>
          <w:sz w:val="24"/>
          <w:szCs w:val="24"/>
        </w:rPr>
        <w:t>: Power temperature coefficient.</w:t>
      </w:r>
    </w:p>
    <w:p w:rsidRPr="000C01CA" w:rsidR="00254829" w:rsidP="00102447" w:rsidRDefault="00FF3FBC" w14:paraId="338C2FDA" w14:textId="77777777">
      <w:pPr>
        <w:pStyle w:val="ListParagraph"/>
        <w:numPr>
          <w:ilvl w:val="0"/>
          <w:numId w:val="10"/>
        </w:numPr>
        <w:spacing w:line="360" w:lineRule="auto"/>
        <w:jc w:val="both"/>
        <w:rPr>
          <w:rFonts w:ascii="Times New Roman" w:hAnsi="Times New Roman" w:cs="Times New Roman"/>
          <w:sz w:val="24"/>
          <w:szCs w:val="24"/>
        </w:rPr>
      </w:pPr>
      <m:oMath>
        <m:sSub>
          <m:sSubPr>
            <m:ctrlPr>
              <w:rPr>
                <w:rFonts w:ascii="Cambria Math" w:hAnsi="Cambria Math" w:cs="Times New Roman"/>
                <w:sz w:val="24"/>
                <w:szCs w:val="24"/>
              </w:rPr>
            </m:ctrlPr>
          </m:sSubPr>
          <m:e>
            <m:r>
              <m:rPr>
                <m:sty m:val="p"/>
              </m:rPr>
              <w:rPr>
                <w:rFonts w:ascii="Cambria Math" w:hAnsi="Cambria Math" w:cs="Times New Roman"/>
                <w:sz w:val="24"/>
                <w:szCs w:val="24"/>
              </w:rPr>
              <m:t>T</m:t>
            </m:r>
          </m:e>
          <m:sub>
            <m:r>
              <m:rPr>
                <m:sty m:val="p"/>
              </m:rPr>
              <w:rPr>
                <w:rFonts w:ascii="Cambria Math" w:hAnsi="Cambria Math" w:cs="Times New Roman"/>
                <w:sz w:val="24"/>
                <w:szCs w:val="24"/>
              </w:rPr>
              <m:t>cell</m:t>
            </m:r>
          </m:sub>
        </m:sSub>
      </m:oMath>
      <w:r w:rsidRPr="000C01CA" w:rsidR="00254829">
        <w:rPr>
          <w:rFonts w:ascii="Times New Roman" w:hAnsi="Times New Roman" w:cs="Times New Roman"/>
          <w:sz w:val="24"/>
          <w:szCs w:val="24"/>
        </w:rPr>
        <w:t>: Cell temperature.</w:t>
      </w:r>
    </w:p>
    <w:p w:rsidRPr="000C01CA" w:rsidR="009B4B97" w:rsidP="00102447" w:rsidRDefault="00FF3FBC" w14:paraId="2EAE5E4F" w14:textId="77777777">
      <w:pPr>
        <w:pStyle w:val="ListParagraph"/>
        <w:numPr>
          <w:ilvl w:val="0"/>
          <w:numId w:val="10"/>
        </w:num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eff</m:t>
            </m:r>
          </m:sub>
        </m:sSub>
      </m:oMath>
      <w:r w:rsidRPr="000C01CA" w:rsidR="009B4B97">
        <w:rPr>
          <w:rFonts w:ascii="Times New Roman" w:hAnsi="Times New Roman" w:cs="Times New Roman"/>
          <w:sz w:val="24"/>
          <w:szCs w:val="24"/>
        </w:rPr>
        <w:t> : Effective irradiance on the module.</w:t>
      </w:r>
    </w:p>
    <w:p w:rsidRPr="000C01CA" w:rsidR="009B4B97" w:rsidP="00102447" w:rsidRDefault="00FF3FBC" w14:paraId="3D23BA03" w14:textId="77777777">
      <w:pPr>
        <w:pStyle w:val="ListParagraph"/>
        <w:numPr>
          <w:ilvl w:val="0"/>
          <w:numId w:val="10"/>
        </w:num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NOCT</m:t>
            </m:r>
          </m:sub>
        </m:sSub>
      </m:oMath>
      <w:r w:rsidRPr="000C01CA" w:rsidR="009B4B97">
        <w:rPr>
          <w:rFonts w:ascii="Times New Roman" w:hAnsi="Times New Roman" w:cs="Times New Roman"/>
          <w:sz w:val="24"/>
          <w:szCs w:val="24"/>
        </w:rPr>
        <w:t> : Nominal operating temperature of the cell (usually 45±2°C).</w:t>
      </w:r>
    </w:p>
    <w:p w:rsidRPr="000C01CA" w:rsidR="009B4B97" w:rsidP="00102447" w:rsidRDefault="00FF3FBC" w14:paraId="76044918" w14:textId="77777777">
      <w:pPr>
        <w:pStyle w:val="ListParagraph"/>
        <w:numPr>
          <w:ilvl w:val="0"/>
          <w:numId w:val="10"/>
        </w:num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am</m:t>
            </m:r>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20</m:t>
                </m:r>
              </m:sub>
            </m:sSub>
          </m:sub>
        </m:sSub>
      </m:oMath>
      <w:r w:rsidRPr="000C01CA" w:rsidR="009B4B97">
        <w:rPr>
          <w:rFonts w:ascii="Times New Roman" w:hAnsi="Times New Roman" w:cs="Times New Roman"/>
          <w:sz w:val="24"/>
          <w:szCs w:val="24"/>
        </w:rPr>
        <w:t> : 20°C.</w:t>
      </w:r>
    </w:p>
    <w:p w:rsidRPr="000C01CA" w:rsidR="00254829" w:rsidP="00102447" w:rsidRDefault="00254829" w14:paraId="15B76C1B" w14:textId="23EEBA70">
      <w:pPr>
        <w:spacing w:line="360" w:lineRule="auto"/>
        <w:jc w:val="both"/>
        <w:rPr>
          <w:rFonts w:ascii="Times New Roman" w:hAnsi="Times New Roman" w:cs="Times New Roman"/>
          <w:sz w:val="24"/>
          <w:szCs w:val="24"/>
        </w:rPr>
      </w:pPr>
      <w:r w:rsidRPr="000C01CA">
        <w:rPr>
          <w:rFonts w:ascii="Times New Roman" w:hAnsi="Times New Roman" w:cs="Times New Roman"/>
          <w:sz w:val="24"/>
          <w:szCs w:val="24"/>
        </w:rPr>
        <w:t xml:space="preserve">The specific challenge for AV lies in determining the incident solar radiation (G) reaching the cell and the ground. </w:t>
      </w:r>
      <w:r w:rsidRPr="000C01CA" w:rsidR="006A2435">
        <w:rPr>
          <w:rFonts w:ascii="Times New Roman" w:hAnsi="Times New Roman" w:cs="Times New Roman"/>
          <w:sz w:val="24"/>
          <w:szCs w:val="24"/>
        </w:rPr>
        <w:t>Accurate sizing requires modeling key variables like solar position, panel orientation (tilt and azimuth), and shading geometry</w:t>
      </w:r>
      <w:r w:rsidRPr="000C01CA">
        <w:rPr>
          <w:rFonts w:ascii="Times New Roman" w:hAnsi="Times New Roman" w:cs="Times New Roman"/>
          <w:sz w:val="24"/>
          <w:szCs w:val="24"/>
        </w:rPr>
        <w:t>. In more confined structures, such as PV greenhouses, this incident radiation has a direct impact on internal heat balances, potentially increasing the internal temperature and affecting humidity</w:t>
      </w:r>
      <w:r w:rsidRPr="000C01CA" w:rsidR="00496DA3">
        <w:rPr>
          <w:rFonts w:ascii="Times New Roman" w:hAnsi="Times New Roman" w:cs="Times New Roman"/>
          <w:sz w:val="24"/>
          <w:szCs w:val="24"/>
        </w:rPr>
        <w:t xml:space="preserve"> </w:t>
      </w:r>
      <w:r w:rsidRPr="000C01CA" w:rsidR="000703F4">
        <w:rPr>
          <w:rFonts w:ascii="Times New Roman" w:hAnsi="Times New Roman" w:cs="Times New Roman"/>
          <w:sz w:val="24"/>
          <w:szCs w:val="24"/>
        </w:rPr>
        <w:fldChar w:fldCharType="begin"/>
      </w:r>
      <w:r w:rsidRPr="000C01CA" w:rsidR="000703F4">
        <w:rPr>
          <w:rFonts w:ascii="Times New Roman" w:hAnsi="Times New Roman" w:cs="Times New Roman"/>
          <w:sz w:val="24"/>
          <w:szCs w:val="24"/>
        </w:rPr>
        <w:instrText xml:space="preserve"> ADDIN ZOTERO_ITEM CSL_CITATION {"citationID":"jZk69jE1","properties":{"formattedCitation":"[29]","plainCitation":"[29]","noteIndex":0},"citationItems":[{"id":44,"uris":["http://zotero.org/users/local/NWCAR5we/items/RSU8GX52"],"itemData":{"id":44,"type":"article-journal","abstract":"We developed an agrivoltaic greenhouse (a ‘test cell’) that partially trapped waste heat from two photovoltaic (PV) panels. These panels served as parts of the roof of the enclosure to extend the growing season. Relative humidity, internal air temperature, incident solar radiation, wind speed, and wind direction were measured for one year. A locally 1-D transient heat and moisture transport model, as well as a shadowing model, was developed and validated with experimental data. The models were used to investigate the effects of altering various parameters of the greenhouse in a scalability study. The design kept test cell air temperatures generally above ambient throughout the year, with the test cell temperature below freezing for 36% less of the year than ambient. Plant growth experiments showed that kale, Brassica oleraceae, a shade-tolerant plant, can be grown within the test cell throughout the winter. The simulations showed that enlarging the greenhouse will increase cell air temperatures but that powering an electric load from the PV panels will reduce cell air temperatures.","container-title":"Sustainability","DOI":"10.3390/su14106154","ISSN":"2071-1050","issue":"10","journalAbbreviation":"Sustainability","language":"en","page":"6154","source":"DOI.org (Crossref)","title":"A Validated Model, Scalability, and Plant Growth Results for an Agrivoltaic Greenhouse","volume":"14","author":[{"family":"Evans","given":"Michael E."},{"family":"Langley","given":"J. Adam"},{"family":"Shapiro","given":"Finley R."},{"family":"Jones","given":"Gerard F."}],"issued":{"date-parts":[["2022",5,19]]}}}],"schema":"https://github.com/citation-style-language/schema/raw/master/csl-citation.json"} </w:instrText>
      </w:r>
      <w:r w:rsidRPr="000C01CA" w:rsidR="000703F4">
        <w:rPr>
          <w:rFonts w:ascii="Times New Roman" w:hAnsi="Times New Roman" w:cs="Times New Roman"/>
          <w:sz w:val="24"/>
          <w:szCs w:val="24"/>
        </w:rPr>
        <w:fldChar w:fldCharType="separate"/>
      </w:r>
      <w:r w:rsidRPr="000C01CA" w:rsidR="000703F4">
        <w:rPr>
          <w:rFonts w:ascii="Times New Roman" w:hAnsi="Times New Roman" w:cs="Times New Roman"/>
          <w:sz w:val="24"/>
        </w:rPr>
        <w:t>[29]</w:t>
      </w:r>
      <w:r w:rsidRPr="000C01CA" w:rsidR="000703F4">
        <w:rPr>
          <w:rFonts w:ascii="Times New Roman" w:hAnsi="Times New Roman" w:cs="Times New Roman"/>
          <w:sz w:val="24"/>
          <w:szCs w:val="24"/>
        </w:rPr>
        <w:fldChar w:fldCharType="end"/>
      </w:r>
      <w:r w:rsidRPr="000C01CA">
        <w:rPr>
          <w:rFonts w:ascii="Times New Roman" w:hAnsi="Times New Roman" w:cs="Times New Roman"/>
          <w:sz w:val="24"/>
          <w:szCs w:val="24"/>
        </w:rPr>
        <w:t>.</w:t>
      </w:r>
    </w:p>
    <w:p w:rsidRPr="000C01CA" w:rsidR="00CD530B" w:rsidP="43844335" w:rsidRDefault="00CD530B" w14:paraId="38BB09BF" w14:textId="272E1E35">
      <w:pPr>
        <w:spacing w:line="360" w:lineRule="auto"/>
        <w:jc w:val="both"/>
        <w:rPr>
          <w:rFonts w:ascii="Times New Roman" w:hAnsi="Times New Roman" w:cs="Times New Roman"/>
          <w:b w:val="1"/>
          <w:bCs w:val="1"/>
          <w:sz w:val="24"/>
          <w:szCs w:val="24"/>
          <w:lang w:val="en-US"/>
        </w:rPr>
      </w:pPr>
      <w:r w:rsidRPr="43844335" w:rsidR="00CD530B">
        <w:rPr>
          <w:rFonts w:ascii="Times New Roman" w:hAnsi="Times New Roman" w:cs="Times New Roman"/>
          <w:b w:val="1"/>
          <w:bCs w:val="1"/>
          <w:sz w:val="24"/>
          <w:szCs w:val="24"/>
          <w:lang w:val="en-US"/>
        </w:rPr>
        <w:t>IV.3.</w:t>
      </w:r>
      <w:r>
        <w:tab/>
      </w:r>
      <w:r w:rsidRPr="43844335" w:rsidR="00254829">
        <w:rPr>
          <w:rFonts w:ascii="Times New Roman" w:hAnsi="Times New Roman" w:cs="Times New Roman"/>
          <w:b w:val="1"/>
          <w:bCs w:val="1"/>
          <w:sz w:val="24"/>
          <w:szCs w:val="24"/>
          <w:lang w:val="en-US"/>
        </w:rPr>
        <w:t>E</w:t>
      </w:r>
      <w:r w:rsidRPr="43844335" w:rsidR="00CD530B">
        <w:rPr>
          <w:rFonts w:ascii="Times New Roman" w:hAnsi="Times New Roman" w:cs="Times New Roman"/>
          <w:b w:val="1"/>
          <w:bCs w:val="1"/>
          <w:sz w:val="24"/>
          <w:szCs w:val="24"/>
          <w:lang w:val="en-US"/>
        </w:rPr>
        <w:t>vapotranspiration (ET</w:t>
      </w:r>
      <w:r w:rsidRPr="43844335" w:rsidR="00460B5A">
        <w:rPr>
          <w:rFonts w:ascii="Times New Roman" w:hAnsi="Times New Roman" w:cs="Times New Roman"/>
          <w:b w:val="1"/>
          <w:bCs w:val="1"/>
          <w:sz w:val="24"/>
          <w:szCs w:val="24"/>
          <w:lang w:val="en-US"/>
        </w:rPr>
        <w:t>) :</w:t>
      </w:r>
      <w:r w:rsidRPr="43844335" w:rsidR="00CD530B">
        <w:rPr>
          <w:rFonts w:ascii="Times New Roman" w:hAnsi="Times New Roman" w:cs="Times New Roman"/>
          <w:b w:val="1"/>
          <w:bCs w:val="1"/>
          <w:sz w:val="24"/>
          <w:szCs w:val="24"/>
          <w:lang w:val="en-US"/>
        </w:rPr>
        <w:t xml:space="preserve"> Penman-Monteith FAO-56</w:t>
      </w:r>
    </w:p>
    <w:p w:rsidRPr="000C01CA" w:rsidR="00254829" w:rsidP="00102447" w:rsidRDefault="00CC142B" w14:paraId="7A71B83A" w14:textId="018A905D">
      <w:pPr>
        <w:spacing w:line="360" w:lineRule="auto"/>
        <w:ind w:firstLine="720"/>
        <w:jc w:val="both"/>
        <w:rPr>
          <w:rFonts w:ascii="Times New Roman" w:hAnsi="Times New Roman" w:cs="Times New Roman"/>
          <w:sz w:val="24"/>
          <w:szCs w:val="24"/>
        </w:rPr>
      </w:pPr>
      <w:r w:rsidRPr="000C01CA">
        <w:rPr>
          <w:rFonts w:ascii="Times New Roman" w:hAnsi="Times New Roman" w:cs="Times New Roman"/>
          <w:sz w:val="24"/>
          <w:szCs w:val="24"/>
        </w:rPr>
        <w:t>Evapotranspiration (ET) is the main flow of water from the soil surface and canopy to the atmosphere</w:t>
      </w:r>
      <w:r w:rsidRPr="000C01CA" w:rsidR="00254829">
        <w:rPr>
          <w:rFonts w:ascii="Times New Roman" w:hAnsi="Times New Roman" w:cs="Times New Roman"/>
          <w:sz w:val="24"/>
          <w:szCs w:val="24"/>
        </w:rPr>
        <w:t>. To model the impact of APV on irrigation requirements, the Penman-Monteith equation, formulated by the FAO (FAO-56), is the standard and validated method for calculating reference evapotranspiration (</w:t>
      </w:r>
      <m:oMath>
        <m:r>
          <m:rPr>
            <m:sty m:val="p"/>
          </m:rPr>
          <w:rPr>
            <w:rFonts w:ascii="Cambria Math" w:hAnsi="Cambria Math" w:cs="Times New Roman"/>
            <w:sz w:val="24"/>
            <w:szCs w:val="24"/>
          </w:rPr>
          <m:t>E</m:t>
        </m:r>
        <m:sSub>
          <m:sSubPr>
            <m:ctrlPr>
              <w:rPr>
                <w:rFonts w:ascii="Cambria Math" w:hAnsi="Cambria Math" w:cs="Times New Roman"/>
                <w:sz w:val="24"/>
                <w:szCs w:val="24"/>
              </w:rPr>
            </m:ctrlPr>
          </m:sSubPr>
          <m:e>
            <m:r>
              <m:rPr>
                <m:sty m:val="p"/>
              </m:rPr>
              <w:rPr>
                <w:rFonts w:ascii="Cambria Math" w:hAnsi="Cambria Math" w:cs="Times New Roman"/>
                <w:sz w:val="24"/>
                <w:szCs w:val="24"/>
              </w:rPr>
              <m:t>T</m:t>
            </m:r>
          </m:e>
          <m:sub>
            <m:r>
              <m:rPr>
                <m:sty m:val="p"/>
              </m:rPr>
              <w:rPr>
                <w:rFonts w:ascii="Cambria Math" w:hAnsi="Cambria Math" w:cs="Times New Roman"/>
                <w:sz w:val="24"/>
                <w:szCs w:val="24"/>
              </w:rPr>
              <m:t>0</m:t>
            </m:r>
          </m:sub>
        </m:sSub>
      </m:oMath>
      <w:r w:rsidRPr="000C01CA" w:rsidR="00254829">
        <w:rPr>
          <w:rFonts w:ascii="Times New Roman" w:hAnsi="Times New Roman" w:cs="Times New Roman"/>
          <w:sz w:val="24"/>
          <w:szCs w:val="24"/>
        </w:rPr>
        <w:t>)</w:t>
      </w:r>
      <w:r w:rsidRPr="000C01CA" w:rsidR="00071BCE">
        <w:rPr>
          <w:rFonts w:ascii="Times New Roman" w:hAnsi="Times New Roman" w:cs="Times New Roman"/>
          <w:sz w:val="24"/>
          <w:szCs w:val="24"/>
        </w:rPr>
        <w:t xml:space="preserve"> </w:t>
      </w:r>
      <w:r w:rsidRPr="000C01CA" w:rsidR="000703F4">
        <w:rPr>
          <w:rFonts w:ascii="Times New Roman" w:hAnsi="Times New Roman" w:cs="Times New Roman"/>
          <w:sz w:val="24"/>
          <w:szCs w:val="24"/>
        </w:rPr>
        <w:fldChar w:fldCharType="begin"/>
      </w:r>
      <w:r w:rsidRPr="000C01CA" w:rsidR="000703F4">
        <w:rPr>
          <w:rFonts w:ascii="Times New Roman" w:hAnsi="Times New Roman" w:cs="Times New Roman"/>
          <w:sz w:val="24"/>
          <w:szCs w:val="24"/>
        </w:rPr>
        <w:instrText xml:space="preserve"> ADDIN ZOTERO_ITEM CSL_CITATION {"citationID":"hLUKoEtM","properties":{"formattedCitation":"[30]","plainCitation":"[30]","noteIndex":0},"citationItems":[{"id":69,"uris":["http://zotero.org/users/local/NWCAR5we/items/63TS2Q8K"],"itemData":{"id":69,"type":"webpage","title":"Chapter 2 - FAO Penman-Monteith equation","URL":"https://www.fao.org/4/x0490e/x0490e06.htm","accessed":{"date-parts":[["2025",12,22]]}}}],"schema":"https://github.com/citation-style-language/schema/raw/master/csl-citation.json"} </w:instrText>
      </w:r>
      <w:r w:rsidRPr="000C01CA" w:rsidR="000703F4">
        <w:rPr>
          <w:rFonts w:ascii="Times New Roman" w:hAnsi="Times New Roman" w:cs="Times New Roman"/>
          <w:sz w:val="24"/>
          <w:szCs w:val="24"/>
        </w:rPr>
        <w:fldChar w:fldCharType="separate"/>
      </w:r>
      <w:r w:rsidRPr="000C01CA" w:rsidR="000703F4">
        <w:rPr>
          <w:rFonts w:ascii="Times New Roman" w:hAnsi="Times New Roman" w:cs="Times New Roman"/>
          <w:sz w:val="24"/>
        </w:rPr>
        <w:t>[30]</w:t>
      </w:r>
      <w:r w:rsidRPr="000C01CA" w:rsidR="000703F4">
        <w:rPr>
          <w:rFonts w:ascii="Times New Roman" w:hAnsi="Times New Roman" w:cs="Times New Roman"/>
          <w:sz w:val="24"/>
          <w:szCs w:val="24"/>
        </w:rPr>
        <w:fldChar w:fldCharType="end"/>
      </w:r>
      <w:r w:rsidRPr="000C01CA" w:rsidR="00254829">
        <w:rPr>
          <w:rFonts w:ascii="Times New Roman" w:hAnsi="Times New Roman" w:cs="Times New Roman"/>
          <w:sz w:val="24"/>
          <w:szCs w:val="24"/>
        </w:rPr>
        <w:t>. This equation incorporates all the parameters that govern energy exchange and latent heat flux</w:t>
      </w:r>
      <w:r w:rsidRPr="000C01CA" w:rsidR="00071BCE">
        <w:rPr>
          <w:rFonts w:ascii="Times New Roman" w:hAnsi="Times New Roman" w:cs="Times New Roman"/>
          <w:sz w:val="24"/>
          <w:szCs w:val="24"/>
        </w:rPr>
        <w:t xml:space="preserve"> </w:t>
      </w:r>
      <w:r w:rsidRPr="000C01CA" w:rsidR="000703F4">
        <w:rPr>
          <w:rFonts w:ascii="Times New Roman" w:hAnsi="Times New Roman" w:cs="Times New Roman"/>
          <w:sz w:val="24"/>
          <w:szCs w:val="24"/>
        </w:rPr>
        <w:fldChar w:fldCharType="begin"/>
      </w:r>
      <w:r w:rsidRPr="000C01CA" w:rsidR="000703F4">
        <w:rPr>
          <w:rFonts w:ascii="Times New Roman" w:hAnsi="Times New Roman" w:cs="Times New Roman"/>
          <w:sz w:val="24"/>
          <w:szCs w:val="24"/>
        </w:rPr>
        <w:instrText xml:space="preserve"> ADDIN ZOTERO_ITEM CSL_CITATION {"citationID":"LeuVEQP2","properties":{"formattedCitation":"[30]","plainCitation":"[30]","noteIndex":0},"citationItems":[{"id":69,"uris":["http://zotero.org/users/local/NWCAR5we/items/63TS2Q8K"],"itemData":{"id":69,"type":"webpage","title":"Chapter 2 - FAO Penman-Monteith equation","URL":"https://www.fao.org/4/x0490e/x0490e06.htm","accessed":{"date-parts":[["2025",12,22]]}}}],"schema":"https://github.com/citation-style-language/schema/raw/master/csl-citation.json"} </w:instrText>
      </w:r>
      <w:r w:rsidRPr="000C01CA" w:rsidR="000703F4">
        <w:rPr>
          <w:rFonts w:ascii="Times New Roman" w:hAnsi="Times New Roman" w:cs="Times New Roman"/>
          <w:sz w:val="24"/>
          <w:szCs w:val="24"/>
        </w:rPr>
        <w:fldChar w:fldCharType="separate"/>
      </w:r>
      <w:r w:rsidRPr="000C01CA" w:rsidR="000703F4">
        <w:rPr>
          <w:rFonts w:ascii="Times New Roman" w:hAnsi="Times New Roman" w:cs="Times New Roman"/>
          <w:sz w:val="24"/>
        </w:rPr>
        <w:t>[30]</w:t>
      </w:r>
      <w:r w:rsidRPr="000C01CA" w:rsidR="000703F4">
        <w:rPr>
          <w:rFonts w:ascii="Times New Roman" w:hAnsi="Times New Roman" w:cs="Times New Roman"/>
          <w:sz w:val="24"/>
          <w:szCs w:val="24"/>
        </w:rPr>
        <w:fldChar w:fldCharType="end"/>
      </w:r>
      <w:r w:rsidRPr="000C01CA" w:rsidR="007F620B">
        <w:rPr>
          <w:rFonts w:ascii="Times New Roman" w:hAnsi="Times New Roman" w:cs="Times New Roman"/>
          <w:sz w:val="24"/>
          <w:szCs w:val="24"/>
        </w:rPr>
        <w:t>.</w:t>
      </w:r>
    </w:p>
    <w:p w:rsidR="00254829" w:rsidP="00102447" w:rsidRDefault="00254829" w14:paraId="1AB1CA7C" w14:textId="77777777">
      <w:pPr>
        <w:spacing w:line="360" w:lineRule="auto"/>
        <w:jc w:val="both"/>
        <w:rPr>
          <w:rFonts w:ascii="Times New Roman" w:hAnsi="Times New Roman" w:cs="Times New Roman"/>
          <w:sz w:val="24"/>
          <w:szCs w:val="24"/>
        </w:rPr>
      </w:pPr>
      <w:r w:rsidRPr="000C01CA">
        <w:rPr>
          <w:rFonts w:ascii="Times New Roman" w:hAnsi="Times New Roman" w:cs="Times New Roman"/>
          <w:sz w:val="24"/>
          <w:szCs w:val="24"/>
        </w:rPr>
        <w:t>The Penman-Monteith equation is expressed as:</w:t>
      </w:r>
    </w:p>
    <w:p w:rsidRPr="0030353E" w:rsidR="00084720" w:rsidP="00102447" w:rsidRDefault="0030353E" w14:paraId="14BF1F48" w14:textId="6BC69D05">
      <w:pPr>
        <w:spacing w:line="360" w:lineRule="auto"/>
        <w:jc w:val="both"/>
        <w:rPr>
          <w:rFonts w:ascii="Times New Roman" w:hAnsi="Times New Roman" w:cs="Times New Roman" w:eastAsiaTheme="minorEastAsia"/>
          <w:sz w:val="24"/>
          <w:szCs w:val="24"/>
        </w:rPr>
      </w:pPr>
      <m:oMathPara>
        <m:oMath>
          <m:eqArr>
            <m:eqArrPr>
              <m:maxDist m:val="1"/>
              <m:ctrlPr>
                <w:rPr>
                  <w:rFonts w:ascii="Cambria Math" w:hAnsi="Cambria Math" w:cs="Times New Roman"/>
                  <w:i/>
                  <w:sz w:val="24"/>
                  <w:szCs w:val="24"/>
                </w:rPr>
              </m:ctrlPr>
            </m:eqArrPr>
            <m:e>
              <m:sSub>
                <m:sSubPr>
                  <m:ctrlPr>
                    <w:rPr>
                      <w:rFonts w:ascii="Cambria Math" w:hAnsi="Cambria Math" w:cs="Times New Roman"/>
                      <w:i/>
                      <w:sz w:val="24"/>
                      <w:szCs w:val="24"/>
                    </w:rPr>
                  </m:ctrlPr>
                </m:sSubPr>
                <m:e>
                  <m:r>
                    <w:rPr>
                      <w:rFonts w:ascii="Cambria Math" w:hAnsi="Cambria Math" w:cs="Times New Roman"/>
                      <w:sz w:val="24"/>
                      <w:szCs w:val="24"/>
                    </w:rPr>
                    <m:t>ET</m:t>
                  </m:r>
                </m:e>
                <m:sub>
                  <m:r>
                    <m:rPr>
                      <m:sty m:val="p"/>
                    </m:rPr>
                    <w:rPr>
                      <w:rFonts w:ascii="Cambria Math" w:hAnsi="Cambria Math" w:cs="Times New Roman"/>
                      <w:sz w:val="24"/>
                      <w:szCs w:val="24"/>
                    </w:rPr>
                    <m:t>0</m:t>
                  </m:r>
                </m:sub>
              </m:sSub>
              <m:r>
                <m:rPr>
                  <m:sty m:val="p"/>
                </m:rPr>
                <w:rPr>
                  <w:rFonts w:ascii="Cambria Math" w:hAnsi="Cambria Math" w:cs="Times New Roman"/>
                  <w:sz w:val="24"/>
                  <w:szCs w:val="24"/>
                </w:rPr>
                <m:t>=</m:t>
              </m:r>
              <m:f>
                <m:fPr>
                  <m:ctrlPr>
                    <w:rPr>
                      <w:rFonts w:ascii="Cambria Math" w:hAnsi="Cambria Math" w:cs="Times New Roman"/>
                      <w:i/>
                      <w:sz w:val="24"/>
                      <w:szCs w:val="24"/>
                    </w:rPr>
                  </m:ctrlPr>
                </m:fPr>
                <m:num>
                  <m:r>
                    <m:rPr>
                      <m:sty m:val="p"/>
                    </m:rPr>
                    <w:rPr>
                      <w:rFonts w:ascii="Cambria Math" w:hAnsi="Cambria Math" w:cs="Times New Roman"/>
                      <w:sz w:val="24"/>
                      <w:szCs w:val="24"/>
                    </w:rPr>
                    <m:t>0.408*∆*</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n</m:t>
                          </m:r>
                        </m:sub>
                      </m:sSub>
                      <m:r>
                        <m:rPr>
                          <m:sty m:val="p"/>
                        </m:rPr>
                        <w:rPr>
                          <w:rFonts w:ascii="Cambria Math" w:hAnsi="Cambria Math" w:cs="Times New Roman"/>
                          <w:sz w:val="24"/>
                          <w:szCs w:val="24"/>
                        </w:rPr>
                        <m:t>-</m:t>
                      </m:r>
                      <m:r>
                        <w:rPr>
                          <w:rFonts w:ascii="Cambria Math" w:hAnsi="Cambria Math" w:cs="Times New Roman"/>
                          <w:sz w:val="24"/>
                          <w:szCs w:val="24"/>
                        </w:rPr>
                        <m:t>G</m:t>
                      </m:r>
                    </m:e>
                  </m:d>
                  <m:r>
                    <m:rPr>
                      <m:sty m:val="p"/>
                    </m:rPr>
                    <w:rPr>
                      <w:rFonts w:ascii="Cambria Math" w:hAnsi="Cambria Math" w:cs="Times New Roman"/>
                      <w:sz w:val="24"/>
                      <w:szCs w:val="24"/>
                    </w:rPr>
                    <m:t>+</m:t>
                  </m:r>
                  <m:r>
                    <w:rPr>
                      <w:rFonts w:ascii="Cambria Math" w:hAnsi="Cambria Math" w:cs="Times New Roman"/>
                      <w:sz w:val="24"/>
                      <w:szCs w:val="24"/>
                    </w:rPr>
                    <m:t>γ</m:t>
                  </m:r>
                  <m:r>
                    <m:rPr>
                      <m:sty m:val="p"/>
                    </m:rP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n</m:t>
                          </m:r>
                        </m:sub>
                      </m:sSub>
                    </m:num>
                    <m:den>
                      <m:r>
                        <w:rPr>
                          <w:rFonts w:ascii="Cambria Math" w:hAnsi="Cambria Math" w:cs="Times New Roman"/>
                          <w:sz w:val="24"/>
                          <w:szCs w:val="24"/>
                        </w:rPr>
                        <m:t>T</m:t>
                      </m:r>
                      <m:r>
                        <m:rPr>
                          <m:sty m:val="p"/>
                        </m:rPr>
                        <w:rPr>
                          <w:rFonts w:ascii="Cambria Math" w:hAnsi="Cambria Math" w:cs="Times New Roman"/>
                          <w:sz w:val="24"/>
                          <w:szCs w:val="24"/>
                        </w:rPr>
                        <m:t>+273</m:t>
                      </m:r>
                    </m:den>
                  </m:f>
                  <m:r>
                    <m:rPr>
                      <m:sty m:val="p"/>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u</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s</m:t>
                          </m:r>
                        </m:sub>
                      </m:sSub>
                      <m:r>
                        <m:rPr>
                          <m:sty m:val="p"/>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a</m:t>
                          </m:r>
                        </m:sub>
                      </m:sSub>
                    </m:e>
                  </m:d>
                </m:num>
                <m:den>
                  <m:r>
                    <m:rPr>
                      <m:sty m:val="p"/>
                    </m:rPr>
                    <w:rPr>
                      <w:rFonts w:ascii="Cambria Math" w:hAnsi="Cambria Math" w:cs="Times New Roman"/>
                      <w:sz w:val="24"/>
                      <w:szCs w:val="24"/>
                    </w:rPr>
                    <m:t>∆+</m:t>
                  </m:r>
                  <m:r>
                    <w:rPr>
                      <w:rFonts w:ascii="Cambria Math" w:hAnsi="Cambria Math" w:cs="Times New Roman"/>
                      <w:sz w:val="24"/>
                      <w:szCs w:val="24"/>
                    </w:rPr>
                    <m:t>γ</m:t>
                  </m:r>
                  <m:r>
                    <m:rPr>
                      <m:sty m:val="p"/>
                    </m:rPr>
                    <w:rPr>
                      <w:rFonts w:ascii="Cambria Math" w:hAnsi="Cambria Math" w:cs="Times New Roman"/>
                      <w:sz w:val="24"/>
                      <w:szCs w:val="24"/>
                    </w:rPr>
                    <m:t>*</m:t>
                  </m:r>
                  <m:d>
                    <m:dPr>
                      <m:ctrlPr>
                        <w:rPr>
                          <w:rFonts w:ascii="Cambria Math" w:hAnsi="Cambria Math" w:cs="Times New Roman"/>
                          <w:i/>
                          <w:sz w:val="24"/>
                          <w:szCs w:val="24"/>
                        </w:rPr>
                      </m:ctrlPr>
                    </m:dPr>
                    <m:e>
                      <m:r>
                        <m:rPr>
                          <m:sty m:val="p"/>
                        </m:rPr>
                        <w:rPr>
                          <w:rFonts w:ascii="Cambria Math" w:hAnsi="Cambria Math" w:cs="Times New Roman"/>
                          <w:sz w:val="24"/>
                          <w:szCs w:val="24"/>
                        </w:rPr>
                        <m:t>1+</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d</m:t>
                          </m:r>
                        </m:sub>
                      </m:sSub>
                      <m:sSub>
                        <m:sSubPr>
                          <m:ctrlPr>
                            <w:rPr>
                              <w:rFonts w:ascii="Cambria Math" w:hAnsi="Cambria Math" w:cs="Times New Roman"/>
                              <w:i/>
                              <w:sz w:val="24"/>
                              <w:szCs w:val="24"/>
                            </w:rPr>
                          </m:ctrlPr>
                        </m:sSubPr>
                        <m:e>
                          <m:r>
                            <m:rPr>
                              <m:sty m:val="p"/>
                            </m:rPr>
                            <w:rPr>
                              <w:rFonts w:ascii="Cambria Math" w:hAnsi="Cambria Math" w:cs="Times New Roman"/>
                              <w:sz w:val="24"/>
                              <w:szCs w:val="24"/>
                            </w:rPr>
                            <m:t>*</m:t>
                          </m:r>
                          <m:r>
                            <w:rPr>
                              <w:rFonts w:ascii="Cambria Math" w:hAnsi="Cambria Math" w:cs="Times New Roman"/>
                              <w:sz w:val="24"/>
                              <w:szCs w:val="24"/>
                            </w:rPr>
                            <m:t>u</m:t>
                          </m:r>
                        </m:e>
                        <m:sub>
                          <m:r>
                            <m:rPr>
                              <m:sty m:val="p"/>
                            </m:rPr>
                            <w:rPr>
                              <w:rFonts w:ascii="Cambria Math" w:hAnsi="Cambria Math" w:cs="Times New Roman"/>
                              <w:sz w:val="24"/>
                              <w:szCs w:val="24"/>
                            </w:rPr>
                            <m:t>2</m:t>
                          </m:r>
                        </m:sub>
                      </m:sSub>
                    </m:e>
                  </m:d>
                </m:den>
              </m:f>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4</m:t>
                  </m:r>
                </m:e>
              </m:d>
            </m:e>
          </m:eqArr>
        </m:oMath>
      </m:oMathPara>
    </w:p>
    <w:p w:rsidRPr="000C01CA" w:rsidR="00C5000E" w:rsidP="00102447" w:rsidRDefault="00C5000E" w14:paraId="7AE8173E" w14:textId="5202ECCA">
      <w:pPr>
        <w:spacing w:line="360" w:lineRule="auto"/>
        <w:jc w:val="both"/>
        <w:rPr>
          <w:rFonts w:ascii="Times New Roman" w:hAnsi="Times New Roman" w:cs="Times New Roman"/>
          <w:sz w:val="24"/>
          <w:szCs w:val="24"/>
        </w:rPr>
      </w:pPr>
      <w:r w:rsidRPr="000C01CA">
        <w:rPr>
          <w:rFonts w:ascii="Times New Roman" w:hAnsi="Times New Roman" w:cs="Times New Roman"/>
          <w:sz w:val="24"/>
          <w:szCs w:val="24"/>
        </w:rPr>
        <w:t>Where the physical and climatological terms are:</w:t>
      </w:r>
    </w:p>
    <w:p w:rsidRPr="000C01CA" w:rsidR="00CD530B" w:rsidP="00102447" w:rsidRDefault="00FF3FBC" w14:paraId="34D08CB3" w14:textId="77777777">
      <w:pPr>
        <w:numPr>
          <w:ilvl w:val="0"/>
          <w:numId w:val="2"/>
        </w:numPr>
        <w:spacing w:line="360" w:lineRule="auto"/>
        <w:jc w:val="both"/>
        <w:rPr>
          <w:rFonts w:ascii="Times New Roman" w:hAnsi="Times New Roman" w:cs="Times New Roman"/>
          <w:sz w:val="24"/>
          <w:szCs w:val="24"/>
        </w:rPr>
      </w:pPr>
      <m:oMath>
        <m:sSub>
          <m:sSubPr>
            <m:ctrlPr>
              <w:rPr>
                <w:rFonts w:ascii="Cambria Math" w:hAnsi="Cambria Math" w:cs="Times New Roman"/>
                <w:sz w:val="24"/>
                <w:szCs w:val="24"/>
              </w:rPr>
            </m:ctrlPr>
          </m:sSubPr>
          <m:e>
            <m:r>
              <m:rPr>
                <m:sty m:val="p"/>
              </m:rPr>
              <w:rPr>
                <w:rFonts w:ascii="Cambria Math" w:hAnsi="Cambria Math" w:cs="Times New Roman"/>
                <w:sz w:val="24"/>
                <w:szCs w:val="24"/>
              </w:rPr>
              <m:t>ET</m:t>
            </m:r>
          </m:e>
          <m:sub>
            <m:r>
              <m:rPr>
                <m:sty m:val="p"/>
              </m:rPr>
              <w:rPr>
                <w:rFonts w:ascii="Cambria Math" w:hAnsi="Cambria Math" w:cs="Times New Roman"/>
                <w:sz w:val="24"/>
                <w:szCs w:val="24"/>
              </w:rPr>
              <m:t>0</m:t>
            </m:r>
          </m:sub>
        </m:sSub>
      </m:oMath>
      <w:r w:rsidRPr="000C01CA" w:rsidR="00C5000E">
        <w:rPr>
          <w:rFonts w:ascii="Times New Roman" w:hAnsi="Times New Roman" w:cs="Times New Roman"/>
          <w:sz w:val="24"/>
          <w:szCs w:val="24"/>
        </w:rPr>
        <w:t>: Reference e</w:t>
      </w:r>
      <w:r w:rsidRPr="000C01CA" w:rsidR="00CD530B">
        <w:rPr>
          <w:rFonts w:ascii="Times New Roman" w:hAnsi="Times New Roman" w:cs="Times New Roman"/>
          <w:sz w:val="24"/>
          <w:szCs w:val="24"/>
        </w:rPr>
        <w:t>vapotranspiration (</w:t>
      </w:r>
      <m:oMath>
        <m:r>
          <m:rPr>
            <m:sty m:val="p"/>
          </m:rPr>
          <w:rPr>
            <w:rFonts w:ascii="Cambria Math" w:hAnsi="Cambria Math" w:cs="Times New Roman"/>
            <w:sz w:val="24"/>
            <w:szCs w:val="24"/>
          </w:rPr>
          <m:t xml:space="preserve">mm </m:t>
        </m:r>
        <m:sSup>
          <m:sSupPr>
            <m:ctrlPr>
              <w:rPr>
                <w:rFonts w:ascii="Cambria Math" w:hAnsi="Cambria Math" w:cs="Times New Roman"/>
                <w:sz w:val="24"/>
                <w:szCs w:val="24"/>
              </w:rPr>
            </m:ctrlPr>
          </m:sSupPr>
          <m:e>
            <m:r>
              <m:rPr>
                <m:sty m:val="p"/>
              </m:rPr>
              <w:rPr>
                <w:rFonts w:ascii="Cambria Math" w:hAnsi="Cambria Math" w:cs="Times New Roman"/>
                <w:sz w:val="24"/>
                <w:szCs w:val="24"/>
              </w:rPr>
              <m:t>day</m:t>
            </m:r>
          </m:e>
          <m:sup>
            <m:r>
              <m:rPr>
                <m:sty m:val="p"/>
              </m:rPr>
              <w:rPr>
                <w:rFonts w:ascii="Cambria Math" w:hAnsi="Cambria Math" w:cs="Times New Roman"/>
                <w:sz w:val="24"/>
                <w:szCs w:val="24"/>
              </w:rPr>
              <m:t>-1</m:t>
            </m:r>
          </m:sup>
        </m:sSup>
        <m:r>
          <m:rPr>
            <m:sty m:val="p"/>
          </m:rPr>
          <w:rPr>
            <w:rFonts w:ascii="Cambria Math" w:hAnsi="Cambria Math" w:cs="Times New Roman"/>
            <w:sz w:val="24"/>
            <w:szCs w:val="24"/>
          </w:rPr>
          <m:t xml:space="preserve"> or </m:t>
        </m:r>
        <m:sSup>
          <m:sSupPr>
            <m:ctrlPr>
              <w:rPr>
                <w:rFonts w:ascii="Cambria Math" w:hAnsi="Cambria Math" w:cs="Times New Roman"/>
                <w:sz w:val="24"/>
                <w:szCs w:val="24"/>
              </w:rPr>
            </m:ctrlPr>
          </m:sSupPr>
          <m:e>
            <m:r>
              <m:rPr>
                <m:sty m:val="p"/>
              </m:rPr>
              <w:rPr>
                <w:rFonts w:ascii="Cambria Math" w:hAnsi="Cambria Math" w:cs="Times New Roman"/>
                <w:sz w:val="24"/>
                <w:szCs w:val="24"/>
              </w:rPr>
              <m:t>h</m:t>
            </m:r>
          </m:e>
          <m:sup>
            <m:r>
              <m:rPr>
                <m:sty m:val="p"/>
              </m:rPr>
              <w:rPr>
                <w:rFonts w:ascii="Cambria Math" w:hAnsi="Cambria Math" w:cs="Times New Roman"/>
                <w:sz w:val="24"/>
                <w:szCs w:val="24"/>
              </w:rPr>
              <m:t>-1</m:t>
            </m:r>
          </m:sup>
        </m:sSup>
      </m:oMath>
      <w:proofErr w:type="gramStart"/>
      <w:r w:rsidRPr="000C01CA" w:rsidR="00CD530B">
        <w:rPr>
          <w:rFonts w:ascii="Times New Roman" w:hAnsi="Times New Roman" w:cs="Times New Roman"/>
          <w:sz w:val="24"/>
          <w:szCs w:val="24"/>
        </w:rPr>
        <w:t>) ;</w:t>
      </w:r>
      <w:proofErr w:type="gramEnd"/>
    </w:p>
    <w:p w:rsidRPr="000C01CA" w:rsidR="00CD530B" w:rsidP="00102447" w:rsidRDefault="00FF3FBC" w14:paraId="59CB420D" w14:textId="77777777">
      <w:pPr>
        <w:numPr>
          <w:ilvl w:val="0"/>
          <w:numId w:val="2"/>
        </w:numPr>
        <w:spacing w:line="360" w:lineRule="auto"/>
        <w:jc w:val="both"/>
        <w:rPr>
          <w:rFonts w:ascii="Times New Roman" w:hAnsi="Times New Roman" w:cs="Times New Roman"/>
          <w:sz w:val="24"/>
          <w:szCs w:val="24"/>
        </w:rPr>
      </w:pPr>
      <m:oMath>
        <m:sSub>
          <m:sSubPr>
            <m:ctrlPr>
              <w:rPr>
                <w:rFonts w:ascii="Cambria Math" w:hAnsi="Cambria Math" w:cs="Times New Roman"/>
                <w:sz w:val="24"/>
                <w:szCs w:val="24"/>
              </w:rPr>
            </m:ctrlPr>
          </m:sSubPr>
          <m:e>
            <m:r>
              <m:rPr>
                <m:sty m:val="p"/>
              </m:rPr>
              <w:rPr>
                <w:rFonts w:ascii="Cambria Math" w:hAnsi="Cambria Math" w:cs="Times New Roman"/>
                <w:sz w:val="24"/>
                <w:szCs w:val="24"/>
              </w:rPr>
              <m:t>R</m:t>
            </m:r>
          </m:e>
          <m:sub>
            <m:r>
              <m:rPr>
                <m:sty m:val="p"/>
              </m:rPr>
              <w:rPr>
                <w:rFonts w:ascii="Cambria Math" w:hAnsi="Cambria Math" w:cs="Times New Roman"/>
                <w:sz w:val="24"/>
                <w:szCs w:val="24"/>
              </w:rPr>
              <m:t>n</m:t>
            </m:r>
          </m:sub>
        </m:sSub>
      </m:oMath>
      <w:r w:rsidRPr="000C01CA" w:rsidR="00CD530B">
        <w:rPr>
          <w:rFonts w:ascii="Times New Roman" w:hAnsi="Times New Roman" w:cs="Times New Roman"/>
          <w:sz w:val="24"/>
          <w:szCs w:val="24"/>
        </w:rPr>
        <w:t xml:space="preserve">: </w:t>
      </w:r>
      <w:r w:rsidRPr="000C01CA" w:rsidR="00C5000E">
        <w:rPr>
          <w:rFonts w:ascii="Times New Roman" w:hAnsi="Times New Roman" w:cs="Times New Roman"/>
          <w:sz w:val="24"/>
          <w:szCs w:val="24"/>
        </w:rPr>
        <w:t xml:space="preserve">Net radiation at the surface of the reference crop </w:t>
      </w:r>
      <w:r w:rsidRPr="000C01CA" w:rsidR="00CD530B">
        <w:rPr>
          <w:rFonts w:ascii="Times New Roman" w:hAnsi="Times New Roman" w:cs="Times New Roman"/>
          <w:sz w:val="24"/>
          <w:szCs w:val="24"/>
        </w:rPr>
        <w:t>(</w:t>
      </w:r>
      <m:oMath>
        <m:sSup>
          <m:sSupPr>
            <m:ctrlPr>
              <w:rPr>
                <w:rFonts w:ascii="Cambria Math" w:hAnsi="Cambria Math" w:cs="Times New Roman"/>
                <w:sz w:val="24"/>
                <w:szCs w:val="24"/>
              </w:rPr>
            </m:ctrlPr>
          </m:sSupPr>
          <m:e>
            <m:r>
              <m:rPr>
                <m:sty m:val="p"/>
              </m:rPr>
              <w:rPr>
                <w:rFonts w:ascii="Cambria Math" w:hAnsi="Cambria Math" w:cs="Times New Roman"/>
                <w:sz w:val="24"/>
                <w:szCs w:val="24"/>
              </w:rPr>
              <m:t>MJm</m:t>
            </m:r>
          </m:e>
          <m:sup>
            <m:r>
              <m:rPr>
                <m:sty m:val="p"/>
              </m:rPr>
              <w:rPr>
                <w:rFonts w:ascii="Cambria Math" w:hAnsi="Cambria Math" w:cs="Times New Roman"/>
                <w:sz w:val="24"/>
                <w:szCs w:val="24"/>
              </w:rPr>
              <m:t>-2</m:t>
            </m:r>
          </m:sup>
        </m:sSup>
        <m:sSup>
          <m:sSupPr>
            <m:ctrlPr>
              <w:rPr>
                <w:rFonts w:ascii="Cambria Math" w:hAnsi="Cambria Math" w:cs="Times New Roman"/>
                <w:sz w:val="24"/>
                <w:szCs w:val="24"/>
              </w:rPr>
            </m:ctrlPr>
          </m:sSupPr>
          <m:e>
            <m:r>
              <m:rPr>
                <m:sty m:val="p"/>
              </m:rPr>
              <w:rPr>
                <w:rFonts w:ascii="Cambria Math" w:hAnsi="Cambria Math" w:cs="Times New Roman"/>
                <w:sz w:val="24"/>
                <w:szCs w:val="24"/>
              </w:rPr>
              <m:t>day</m:t>
            </m:r>
          </m:e>
          <m:sup>
            <m:r>
              <m:rPr>
                <m:sty m:val="p"/>
              </m:rPr>
              <w:rPr>
                <w:rFonts w:ascii="Cambria Math" w:hAnsi="Cambria Math" w:cs="Times New Roman"/>
                <w:sz w:val="24"/>
                <w:szCs w:val="24"/>
              </w:rPr>
              <m:t>-1</m:t>
            </m:r>
          </m:sup>
        </m:sSup>
        <m:r>
          <m:rPr>
            <m:sty m:val="p"/>
          </m:rPr>
          <w:rPr>
            <w:rFonts w:ascii="Cambria Math" w:hAnsi="Cambria Math" w:cs="Times New Roman"/>
            <w:sz w:val="24"/>
            <w:szCs w:val="24"/>
          </w:rPr>
          <m:t>)</m:t>
        </m:r>
      </m:oMath>
      <w:r w:rsidRPr="000C01CA" w:rsidR="00CD530B">
        <w:rPr>
          <w:rFonts w:ascii="Times New Roman" w:hAnsi="Times New Roman" w:cs="Times New Roman"/>
          <w:sz w:val="24"/>
          <w:szCs w:val="24"/>
        </w:rPr>
        <w:t>;</w:t>
      </w:r>
    </w:p>
    <w:p w:rsidRPr="000C01CA" w:rsidR="00CD530B" w:rsidP="00102447" w:rsidRDefault="00496DA3" w14:paraId="0890CB34" w14:textId="77777777">
      <w:pPr>
        <w:numPr>
          <w:ilvl w:val="0"/>
          <w:numId w:val="2"/>
        </w:numPr>
        <w:spacing w:line="360" w:lineRule="auto"/>
        <w:jc w:val="both"/>
        <w:rPr>
          <w:rFonts w:ascii="Times New Roman" w:hAnsi="Times New Roman" w:cs="Times New Roman"/>
          <w:sz w:val="24"/>
          <w:szCs w:val="24"/>
        </w:rPr>
      </w:pPr>
      <m:oMath>
        <m:r>
          <m:rPr>
            <m:sty m:val="p"/>
          </m:rPr>
          <w:rPr>
            <w:rFonts w:ascii="Cambria Math" w:hAnsi="Cambria Math" w:cs="Times New Roman"/>
            <w:sz w:val="24"/>
            <w:szCs w:val="24"/>
          </w:rPr>
          <m:t>G</m:t>
        </m:r>
      </m:oMath>
      <w:r w:rsidRPr="000C01CA" w:rsidR="00CD530B">
        <w:rPr>
          <w:rFonts w:ascii="Times New Roman" w:hAnsi="Times New Roman" w:cs="Times New Roman"/>
          <w:sz w:val="24"/>
          <w:szCs w:val="24"/>
        </w:rPr>
        <w:t xml:space="preserve">: </w:t>
      </w:r>
      <w:r w:rsidRPr="000C01CA" w:rsidR="00C5000E">
        <w:rPr>
          <w:rFonts w:ascii="Times New Roman" w:hAnsi="Times New Roman" w:cs="Times New Roman"/>
          <w:sz w:val="24"/>
          <w:szCs w:val="24"/>
        </w:rPr>
        <w:t>Ground heat flow</w:t>
      </w:r>
      <w:r w:rsidRPr="000C01CA" w:rsidR="00CD530B">
        <w:rPr>
          <w:rFonts w:ascii="Times New Roman" w:hAnsi="Times New Roman" w:cs="Times New Roman"/>
          <w:sz w:val="24"/>
          <w:szCs w:val="24"/>
        </w:rPr>
        <w:t xml:space="preserve"> (</w:t>
      </w:r>
      <m:oMath>
        <m:sSup>
          <m:sSupPr>
            <m:ctrlPr>
              <w:rPr>
                <w:rFonts w:ascii="Cambria Math" w:hAnsi="Cambria Math" w:cs="Times New Roman"/>
                <w:sz w:val="24"/>
                <w:szCs w:val="24"/>
              </w:rPr>
            </m:ctrlPr>
          </m:sSupPr>
          <m:e>
            <m:r>
              <m:rPr>
                <m:sty m:val="p"/>
              </m:rPr>
              <w:rPr>
                <w:rFonts w:ascii="Cambria Math" w:hAnsi="Cambria Math" w:cs="Times New Roman"/>
                <w:sz w:val="24"/>
                <w:szCs w:val="24"/>
              </w:rPr>
              <m:t>MJm</m:t>
            </m:r>
          </m:e>
          <m:sup>
            <m:r>
              <m:rPr>
                <m:sty m:val="p"/>
              </m:rPr>
              <w:rPr>
                <w:rFonts w:ascii="Cambria Math" w:hAnsi="Cambria Math" w:cs="Times New Roman"/>
                <w:sz w:val="24"/>
                <w:szCs w:val="24"/>
              </w:rPr>
              <m:t>-2</m:t>
            </m:r>
          </m:sup>
        </m:sSup>
        <m:sSup>
          <m:sSupPr>
            <m:ctrlPr>
              <w:rPr>
                <w:rFonts w:ascii="Cambria Math" w:hAnsi="Cambria Math" w:cs="Times New Roman"/>
                <w:sz w:val="24"/>
                <w:szCs w:val="24"/>
              </w:rPr>
            </m:ctrlPr>
          </m:sSupPr>
          <m:e>
            <m:r>
              <m:rPr>
                <m:sty m:val="p"/>
              </m:rPr>
              <w:rPr>
                <w:rFonts w:ascii="Cambria Math" w:hAnsi="Cambria Math" w:cs="Times New Roman"/>
                <w:sz w:val="24"/>
                <w:szCs w:val="24"/>
              </w:rPr>
              <m:t>day</m:t>
            </m:r>
          </m:e>
          <m:sup>
            <m:r>
              <m:rPr>
                <m:sty m:val="p"/>
              </m:rPr>
              <w:rPr>
                <w:rFonts w:ascii="Cambria Math" w:hAnsi="Cambria Math" w:cs="Times New Roman"/>
                <w:sz w:val="24"/>
                <w:szCs w:val="24"/>
              </w:rPr>
              <m:t>-1</m:t>
            </m:r>
          </m:sup>
        </m:sSup>
        <m:r>
          <m:rPr>
            <m:sty m:val="p"/>
          </m:rPr>
          <w:rPr>
            <w:rFonts w:ascii="Cambria Math" w:hAnsi="Cambria Math" w:cs="Times New Roman"/>
            <w:sz w:val="24"/>
            <w:szCs w:val="24"/>
          </w:rPr>
          <m:t>)</m:t>
        </m:r>
      </m:oMath>
      <w:r w:rsidRPr="000C01CA" w:rsidR="00CD530B">
        <w:rPr>
          <w:rFonts w:ascii="Times New Roman" w:hAnsi="Times New Roman" w:cs="Times New Roman"/>
          <w:sz w:val="24"/>
          <w:szCs w:val="24"/>
        </w:rPr>
        <w:t>;</w:t>
      </w:r>
    </w:p>
    <w:p w:rsidRPr="000C01CA" w:rsidR="00CD530B" w:rsidP="00102447" w:rsidRDefault="00496DA3" w14:paraId="6BCA535B" w14:textId="77777777">
      <w:pPr>
        <w:numPr>
          <w:ilvl w:val="0"/>
          <w:numId w:val="2"/>
        </w:numPr>
        <w:spacing w:line="360" w:lineRule="auto"/>
        <w:jc w:val="both"/>
        <w:rPr>
          <w:rFonts w:ascii="Times New Roman" w:hAnsi="Times New Roman" w:cs="Times New Roman"/>
          <w:sz w:val="24"/>
          <w:szCs w:val="24"/>
        </w:rPr>
      </w:pPr>
      <m:oMath>
        <m:r>
          <m:rPr>
            <m:sty m:val="p"/>
          </m:rPr>
          <w:rPr>
            <w:rFonts w:ascii="Cambria Math" w:hAnsi="Cambria Math" w:cs="Times New Roman"/>
            <w:sz w:val="24"/>
            <w:szCs w:val="24"/>
          </w:rPr>
          <m:t>∆</m:t>
        </m:r>
      </m:oMath>
      <w:r w:rsidRPr="000C01CA" w:rsidR="00CD530B">
        <w:rPr>
          <w:rFonts w:ascii="Times New Roman" w:hAnsi="Times New Roman" w:cs="Times New Roman"/>
          <w:sz w:val="24"/>
          <w:szCs w:val="24"/>
        </w:rPr>
        <w:t xml:space="preserve"> : </w:t>
      </w:r>
      <w:r w:rsidRPr="000C01CA" w:rsidR="00C5000E">
        <w:rPr>
          <w:rFonts w:ascii="Times New Roman" w:hAnsi="Times New Roman" w:cs="Times New Roman"/>
          <w:sz w:val="24"/>
          <w:szCs w:val="24"/>
        </w:rPr>
        <w:t xml:space="preserve">Slope of the vapor pressure curve </w:t>
      </w:r>
      <w:r w:rsidRPr="000C01CA" w:rsidR="00CD530B">
        <w:rPr>
          <w:rFonts w:ascii="Times New Roman" w:hAnsi="Times New Roman" w:cs="Times New Roman"/>
          <w:sz w:val="24"/>
          <w:szCs w:val="24"/>
        </w:rPr>
        <w:t>(</w:t>
      </w:r>
      <m:oMath>
        <m:r>
          <m:rPr>
            <m:sty m:val="p"/>
          </m:rPr>
          <w:rPr>
            <w:rFonts w:ascii="Cambria Math" w:hAnsi="Cambria Math" w:cs="Times New Roman"/>
            <w:sz w:val="24"/>
            <w:szCs w:val="24"/>
          </w:rPr>
          <m:t xml:space="preserve"> </m:t>
        </m:r>
        <m:sSup>
          <m:sSupPr>
            <m:ctrlPr>
              <w:rPr>
                <w:rFonts w:ascii="Cambria Math" w:hAnsi="Cambria Math" w:cs="Times New Roman"/>
                <w:sz w:val="24"/>
                <w:szCs w:val="24"/>
              </w:rPr>
            </m:ctrlPr>
          </m:sSupPr>
          <m:e>
            <m:r>
              <m:rPr>
                <m:sty m:val="p"/>
              </m:rPr>
              <w:rPr>
                <w:rFonts w:ascii="Cambria Math" w:hAnsi="Cambria Math" w:cs="Times New Roman"/>
                <w:sz w:val="24"/>
                <w:szCs w:val="24"/>
              </w:rPr>
              <m:t>kPA°C</m:t>
            </m:r>
          </m:e>
          <m:sup>
            <m:r>
              <m:rPr>
                <m:sty m:val="p"/>
              </m:rPr>
              <w:rPr>
                <w:rFonts w:ascii="Cambria Math" w:hAnsi="Cambria Math" w:cs="Times New Roman"/>
                <w:sz w:val="24"/>
                <w:szCs w:val="24"/>
              </w:rPr>
              <m:t>-1</m:t>
            </m:r>
          </m:sup>
        </m:sSup>
        <m:r>
          <m:rPr>
            <m:sty m:val="p"/>
          </m:rPr>
          <w:rPr>
            <w:rFonts w:ascii="Cambria Math" w:hAnsi="Cambria Math" w:cs="Times New Roman"/>
            <w:sz w:val="24"/>
            <w:szCs w:val="24"/>
          </w:rPr>
          <m:t>)</m:t>
        </m:r>
      </m:oMath>
      <w:r w:rsidRPr="000C01CA" w:rsidR="00CD530B">
        <w:rPr>
          <w:rFonts w:ascii="Times New Roman" w:hAnsi="Times New Roman" w:cs="Times New Roman"/>
          <w:sz w:val="24"/>
          <w:szCs w:val="24"/>
        </w:rPr>
        <w:t>;</w:t>
      </w:r>
    </w:p>
    <w:p w:rsidRPr="000C01CA" w:rsidR="00CD530B" w:rsidP="00102447" w:rsidRDefault="00496DA3" w14:paraId="2C43A7E5" w14:textId="77777777">
      <w:pPr>
        <w:numPr>
          <w:ilvl w:val="0"/>
          <w:numId w:val="2"/>
        </w:numPr>
        <w:spacing w:line="360" w:lineRule="auto"/>
        <w:jc w:val="both"/>
        <w:rPr>
          <w:rFonts w:ascii="Times New Roman" w:hAnsi="Times New Roman" w:cs="Times New Roman"/>
          <w:sz w:val="24"/>
          <w:szCs w:val="24"/>
          <w:lang w:val="fr-FR"/>
        </w:rPr>
      </w:pPr>
      <m:oMath>
        <m:r>
          <m:rPr>
            <m:sty m:val="p"/>
          </m:rPr>
          <w:rPr>
            <w:rFonts w:ascii="Cambria Math" w:hAnsi="Cambria Math" w:cs="Times New Roman"/>
            <w:sz w:val="24"/>
            <w:szCs w:val="24"/>
          </w:rPr>
          <m:t>γ</m:t>
        </m:r>
      </m:oMath>
      <w:r w:rsidRPr="000C01CA" w:rsidR="00C5000E">
        <w:rPr>
          <w:rFonts w:ascii="Times New Roman" w:hAnsi="Times New Roman" w:cs="Times New Roman"/>
          <w:sz w:val="24"/>
          <w:szCs w:val="24"/>
          <w:lang w:val="fr-FR"/>
        </w:rPr>
        <w:t xml:space="preserve"> : Psychrometric constant</w:t>
      </w:r>
      <w:r w:rsidRPr="000C01CA" w:rsidR="00CD530B">
        <w:rPr>
          <w:rFonts w:ascii="Times New Roman" w:hAnsi="Times New Roman" w:cs="Times New Roman"/>
          <w:sz w:val="24"/>
          <w:szCs w:val="24"/>
          <w:lang w:val="fr-FR"/>
        </w:rPr>
        <w:t xml:space="preserve"> (</w:t>
      </w:r>
      <m:oMath>
        <m:r>
          <m:rPr>
            <m:sty m:val="p"/>
          </m:rPr>
          <w:rPr>
            <w:rFonts w:ascii="Cambria Math" w:hAnsi="Cambria Math" w:cs="Times New Roman"/>
            <w:sz w:val="24"/>
            <w:szCs w:val="24"/>
            <w:lang w:val="fr-FR"/>
          </w:rPr>
          <m:t xml:space="preserve"> </m:t>
        </m:r>
        <m:sSup>
          <m:sSupPr>
            <m:ctrlPr>
              <w:rPr>
                <w:rFonts w:ascii="Cambria Math" w:hAnsi="Cambria Math" w:cs="Times New Roman"/>
                <w:sz w:val="24"/>
                <w:szCs w:val="24"/>
              </w:rPr>
            </m:ctrlPr>
          </m:sSupPr>
          <m:e>
            <m:r>
              <m:rPr>
                <m:sty m:val="p"/>
              </m:rPr>
              <w:rPr>
                <w:rFonts w:ascii="Cambria Math" w:hAnsi="Cambria Math" w:cs="Times New Roman"/>
                <w:sz w:val="24"/>
                <w:szCs w:val="24"/>
                <w:lang w:val="fr-FR"/>
              </w:rPr>
              <m:t>kPA°C</m:t>
            </m:r>
          </m:e>
          <m:sup>
            <m:r>
              <m:rPr>
                <m:sty m:val="p"/>
              </m:rPr>
              <w:rPr>
                <w:rFonts w:ascii="Cambria Math" w:hAnsi="Cambria Math" w:cs="Times New Roman"/>
                <w:sz w:val="24"/>
                <w:szCs w:val="24"/>
                <w:lang w:val="fr-FR"/>
              </w:rPr>
              <m:t>-1</m:t>
            </m:r>
          </m:sup>
        </m:sSup>
        <m:r>
          <m:rPr>
            <m:sty m:val="p"/>
          </m:rPr>
          <w:rPr>
            <w:rFonts w:ascii="Cambria Math" w:hAnsi="Cambria Math" w:cs="Times New Roman"/>
            <w:sz w:val="24"/>
            <w:szCs w:val="24"/>
            <w:lang w:val="fr-FR"/>
          </w:rPr>
          <m:t>)</m:t>
        </m:r>
      </m:oMath>
      <w:r w:rsidRPr="000C01CA" w:rsidR="00CD530B">
        <w:rPr>
          <w:rFonts w:ascii="Times New Roman" w:hAnsi="Times New Roman" w:cs="Times New Roman"/>
          <w:sz w:val="24"/>
          <w:szCs w:val="24"/>
          <w:lang w:val="fr-FR"/>
        </w:rPr>
        <w:t>;</w:t>
      </w:r>
    </w:p>
    <w:p w:rsidRPr="000C01CA" w:rsidR="00CD530B" w:rsidP="00102447" w:rsidRDefault="00FF3FBC" w14:paraId="41FD566F" w14:textId="77777777">
      <w:pPr>
        <w:numPr>
          <w:ilvl w:val="0"/>
          <w:numId w:val="2"/>
        </w:numPr>
        <w:spacing w:line="360" w:lineRule="auto"/>
        <w:jc w:val="both"/>
        <w:rPr>
          <w:rFonts w:ascii="Times New Roman" w:hAnsi="Times New Roman" w:cs="Times New Roman"/>
          <w:sz w:val="24"/>
          <w:szCs w:val="24"/>
        </w:rPr>
      </w:pPr>
      <m:oMath>
        <m:sSub>
          <m:sSubPr>
            <m:ctrlPr>
              <w:rPr>
                <w:rFonts w:ascii="Cambria Math" w:hAnsi="Cambria Math" w:cs="Times New Roman"/>
                <w:sz w:val="24"/>
                <w:szCs w:val="24"/>
              </w:rPr>
            </m:ctrlPr>
          </m:sSubPr>
          <m:e>
            <m:r>
              <m:rPr>
                <m:sty m:val="p"/>
              </m:rPr>
              <w:rPr>
                <w:rFonts w:ascii="Cambria Math" w:hAnsi="Cambria Math" w:cs="Times New Roman"/>
                <w:sz w:val="24"/>
                <w:szCs w:val="24"/>
              </w:rPr>
              <m:t>u</m:t>
            </m:r>
          </m:e>
          <m:sub>
            <m:r>
              <m:rPr>
                <m:sty m:val="p"/>
              </m:rPr>
              <w:rPr>
                <w:rFonts w:ascii="Cambria Math" w:hAnsi="Cambria Math" w:cs="Times New Roman"/>
                <w:sz w:val="24"/>
                <w:szCs w:val="24"/>
              </w:rPr>
              <m:t>2</m:t>
            </m:r>
          </m:sub>
        </m:sSub>
      </m:oMath>
      <w:r w:rsidRPr="000C01CA" w:rsidR="00CD530B">
        <w:rPr>
          <w:rFonts w:ascii="Times New Roman" w:hAnsi="Times New Roman" w:cs="Times New Roman"/>
          <w:sz w:val="24"/>
          <w:szCs w:val="24"/>
        </w:rPr>
        <w:t xml:space="preserve"> : </w:t>
      </w:r>
      <w:r w:rsidRPr="000C01CA" w:rsidR="00C5000E">
        <w:rPr>
          <w:rFonts w:ascii="Times New Roman" w:hAnsi="Times New Roman" w:cs="Times New Roman"/>
          <w:sz w:val="24"/>
          <w:szCs w:val="24"/>
        </w:rPr>
        <w:t>Wind speed at two (02) meters</w:t>
      </w:r>
      <w:r w:rsidRPr="000C01CA" w:rsidR="00CD530B">
        <w:rPr>
          <w:rFonts w:ascii="Times New Roman" w:hAnsi="Times New Roman" w:cs="Times New Roman"/>
          <w:sz w:val="24"/>
          <w:szCs w:val="24"/>
        </w:rPr>
        <w:t xml:space="preserve"> </w:t>
      </w:r>
      <m:oMath>
        <m:r>
          <m:rPr>
            <m:sty m:val="p"/>
          </m:rPr>
          <w:rPr>
            <w:rFonts w:ascii="Cambria Math" w:hAnsi="Cambria Math" w:cs="Times New Roman"/>
            <w:sz w:val="24"/>
            <w:szCs w:val="24"/>
          </w:rPr>
          <m:t>(</m:t>
        </m:r>
        <m:sSup>
          <m:sSupPr>
            <m:ctrlPr>
              <w:rPr>
                <w:rFonts w:ascii="Cambria Math" w:hAnsi="Cambria Math" w:cs="Times New Roman"/>
                <w:sz w:val="24"/>
                <w:szCs w:val="24"/>
              </w:rPr>
            </m:ctrlPr>
          </m:sSupPr>
          <m:e>
            <m:r>
              <m:rPr>
                <m:sty m:val="p"/>
              </m:rPr>
              <w:rPr>
                <w:rFonts w:ascii="Cambria Math" w:hAnsi="Cambria Math" w:cs="Times New Roman"/>
                <w:sz w:val="24"/>
                <w:szCs w:val="24"/>
              </w:rPr>
              <m:t>m.s</m:t>
            </m:r>
          </m:e>
          <m:sup>
            <m:r>
              <m:rPr>
                <m:sty m:val="p"/>
              </m:rPr>
              <w:rPr>
                <w:rFonts w:ascii="Cambria Math" w:hAnsi="Cambria Math" w:cs="Times New Roman"/>
                <w:sz w:val="24"/>
                <w:szCs w:val="24"/>
              </w:rPr>
              <m:t>-1</m:t>
            </m:r>
          </m:sup>
        </m:sSup>
        <m:r>
          <m:rPr>
            <m:sty m:val="p"/>
          </m:rPr>
          <w:rPr>
            <w:rFonts w:ascii="Cambria Math" w:hAnsi="Cambria Math" w:cs="Times New Roman"/>
            <w:sz w:val="24"/>
            <w:szCs w:val="24"/>
          </w:rPr>
          <m:t>)</m:t>
        </m:r>
      </m:oMath>
      <w:r w:rsidRPr="000C01CA" w:rsidR="00CD530B">
        <w:rPr>
          <w:rFonts w:ascii="Times New Roman" w:hAnsi="Times New Roman" w:cs="Times New Roman"/>
          <w:sz w:val="24"/>
          <w:szCs w:val="24"/>
        </w:rPr>
        <w:t>;</w:t>
      </w:r>
    </w:p>
    <w:p w:rsidRPr="000C01CA" w:rsidR="00CD530B" w:rsidP="00102447" w:rsidRDefault="00496DA3" w14:paraId="225498D9" w14:textId="77777777">
      <w:pPr>
        <w:numPr>
          <w:ilvl w:val="0"/>
          <w:numId w:val="2"/>
        </w:numPr>
        <w:spacing w:line="360" w:lineRule="auto"/>
        <w:jc w:val="both"/>
        <w:rPr>
          <w:rFonts w:ascii="Times New Roman" w:hAnsi="Times New Roman" w:cs="Times New Roman"/>
          <w:sz w:val="24"/>
          <w:szCs w:val="24"/>
        </w:rPr>
      </w:pPr>
      <m:oMath>
        <m:r>
          <m:rPr>
            <m:sty m:val="p"/>
          </m:rPr>
          <w:rPr>
            <w:rFonts w:ascii="Cambria Math" w:hAnsi="Cambria Math" w:cs="Times New Roman"/>
            <w:sz w:val="24"/>
            <w:szCs w:val="24"/>
          </w:rPr>
          <m:t>T</m:t>
        </m:r>
      </m:oMath>
      <w:r w:rsidRPr="000C01CA" w:rsidR="00CD530B">
        <w:rPr>
          <w:rFonts w:ascii="Times New Roman" w:hAnsi="Times New Roman" w:cs="Times New Roman"/>
          <w:sz w:val="24"/>
          <w:szCs w:val="24"/>
        </w:rPr>
        <w:t xml:space="preserve">: </w:t>
      </w:r>
      <w:r w:rsidRPr="000C01CA" w:rsidR="00C5000E">
        <w:rPr>
          <w:rFonts w:ascii="Times New Roman" w:hAnsi="Times New Roman" w:cs="Times New Roman"/>
          <w:sz w:val="24"/>
          <w:szCs w:val="24"/>
        </w:rPr>
        <w:t>Average air temperature</w:t>
      </w:r>
      <w:r w:rsidRPr="000C01CA" w:rsidR="00CD530B">
        <w:rPr>
          <w:rFonts w:ascii="Times New Roman" w:hAnsi="Times New Roman" w:cs="Times New Roman"/>
          <w:sz w:val="24"/>
          <w:szCs w:val="24"/>
        </w:rPr>
        <w:t xml:space="preserve"> </w:t>
      </w:r>
      <m:oMath>
        <m:r>
          <m:rPr>
            <m:sty m:val="p"/>
          </m:rPr>
          <w:rPr>
            <w:rFonts w:ascii="Cambria Math" w:hAnsi="Cambria Math" w:cs="Times New Roman"/>
            <w:sz w:val="24"/>
            <w:szCs w:val="24"/>
          </w:rPr>
          <m:t>(°C)</m:t>
        </m:r>
      </m:oMath>
      <w:r w:rsidRPr="000C01CA" w:rsidR="00CD530B">
        <w:rPr>
          <w:rFonts w:ascii="Times New Roman" w:hAnsi="Times New Roman" w:cs="Times New Roman"/>
          <w:sz w:val="24"/>
          <w:szCs w:val="24"/>
        </w:rPr>
        <w:t>;</w:t>
      </w:r>
    </w:p>
    <w:p w:rsidRPr="000C01CA" w:rsidR="00CD530B" w:rsidP="00102447" w:rsidRDefault="00496DA3" w14:paraId="22788930" w14:textId="77777777">
      <w:pPr>
        <w:numPr>
          <w:ilvl w:val="0"/>
          <w:numId w:val="2"/>
        </w:numPr>
        <w:spacing w:line="360" w:lineRule="auto"/>
        <w:jc w:val="both"/>
        <w:rPr>
          <w:rFonts w:ascii="Times New Roman" w:hAnsi="Times New Roman" w:cs="Times New Roman"/>
          <w:sz w:val="24"/>
          <w:szCs w:val="24"/>
        </w:rPr>
      </w:pPr>
      <m:oMath>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e</m:t>
            </m:r>
          </m:e>
          <m:sub>
            <m:r>
              <m:rPr>
                <m:sty m:val="p"/>
              </m:rPr>
              <w:rPr>
                <w:rFonts w:ascii="Cambria Math" w:hAnsi="Cambria Math" w:cs="Times New Roman"/>
                <w:sz w:val="24"/>
                <w:szCs w:val="24"/>
              </w:rPr>
              <m:t>s</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e</m:t>
            </m:r>
          </m:e>
          <m:sub>
            <m:r>
              <m:rPr>
                <m:sty m:val="p"/>
              </m:rPr>
              <w:rPr>
                <w:rFonts w:ascii="Cambria Math" w:hAnsi="Cambria Math" w:cs="Times New Roman"/>
                <w:sz w:val="24"/>
                <w:szCs w:val="24"/>
              </w:rPr>
              <m:t>a</m:t>
            </m:r>
          </m:sub>
        </m:sSub>
      </m:oMath>
      <w:r w:rsidRPr="000C01CA" w:rsidR="002D3FDD">
        <w:rPr>
          <w:rFonts w:ascii="Times New Roman" w:hAnsi="Times New Roman" w:cs="Times New Roman"/>
          <w:sz w:val="24"/>
          <w:szCs w:val="24"/>
        </w:rPr>
        <w:t>):</w:t>
      </w:r>
      <w:r w:rsidRPr="000C01CA" w:rsidR="00CD530B">
        <w:rPr>
          <w:rFonts w:ascii="Times New Roman" w:hAnsi="Times New Roman" w:cs="Times New Roman"/>
          <w:sz w:val="24"/>
          <w:szCs w:val="24"/>
        </w:rPr>
        <w:t xml:space="preserve"> </w:t>
      </w:r>
      <w:r w:rsidRPr="000C01CA" w:rsidR="00C5000E">
        <w:rPr>
          <w:rFonts w:ascii="Times New Roman" w:hAnsi="Times New Roman" w:cs="Times New Roman"/>
          <w:sz w:val="24"/>
          <w:szCs w:val="24"/>
        </w:rPr>
        <w:t xml:space="preserve">Vapor pressure deficit </w:t>
      </w:r>
      <w:r w:rsidRPr="000C01CA" w:rsidR="00CD530B">
        <w:rPr>
          <w:rFonts w:ascii="Times New Roman" w:hAnsi="Times New Roman" w:cs="Times New Roman"/>
          <w:sz w:val="24"/>
          <w:szCs w:val="24"/>
        </w:rPr>
        <w:t>(kPa</w:t>
      </w:r>
      <w:r w:rsidRPr="000C01CA" w:rsidR="002D3FDD">
        <w:rPr>
          <w:rFonts w:ascii="Times New Roman" w:hAnsi="Times New Roman" w:cs="Times New Roman"/>
          <w:sz w:val="24"/>
          <w:szCs w:val="24"/>
        </w:rPr>
        <w:t>);</w:t>
      </w:r>
    </w:p>
    <w:p w:rsidRPr="000C01CA" w:rsidR="00C5000E" w:rsidP="00102447" w:rsidRDefault="00FF3FBC" w14:paraId="365959CA" w14:textId="77777777">
      <w:pPr>
        <w:numPr>
          <w:ilvl w:val="0"/>
          <w:numId w:val="2"/>
        </w:numPr>
        <w:spacing w:line="360" w:lineRule="auto"/>
        <w:jc w:val="both"/>
        <w:rPr>
          <w:rFonts w:ascii="Times New Roman" w:hAnsi="Times New Roman" w:cs="Times New Roman"/>
          <w:sz w:val="24"/>
          <w:szCs w:val="24"/>
        </w:rPr>
      </w:pPr>
      <m:oMath>
        <m:sSub>
          <m:sSubPr>
            <m:ctrlPr>
              <w:rPr>
                <w:rFonts w:ascii="Cambria Math" w:hAnsi="Cambria Math" w:cs="Times New Roman"/>
                <w:sz w:val="24"/>
                <w:szCs w:val="24"/>
              </w:rPr>
            </m:ctrlPr>
          </m:sSubPr>
          <m:e>
            <m:r>
              <m:rPr>
                <m:sty m:val="p"/>
              </m:rPr>
              <w:rPr>
                <w:rFonts w:ascii="Cambria Math" w:hAnsi="Cambria Math" w:cs="Times New Roman"/>
                <w:sz w:val="24"/>
                <w:szCs w:val="24"/>
              </w:rPr>
              <m:t>C</m:t>
            </m:r>
          </m:e>
          <m:sub>
            <m:r>
              <m:rPr>
                <m:sty m:val="p"/>
              </m:rPr>
              <w:rPr>
                <w:rFonts w:ascii="Cambria Math" w:hAnsi="Cambria Math" w:cs="Times New Roman"/>
                <w:sz w:val="24"/>
                <w:szCs w:val="24"/>
              </w:rPr>
              <m:t>n</m:t>
            </m:r>
          </m:sub>
        </m:sSub>
      </m:oMath>
      <w:r w:rsidRPr="000C01CA" w:rsidR="00CD530B">
        <w:rPr>
          <w:rFonts w:ascii="Times New Roman" w:hAnsi="Times New Roman" w:cs="Times New Roman"/>
          <w:sz w:val="24"/>
          <w:szCs w:val="24"/>
        </w:rPr>
        <w:t xml:space="preserve"> et </w:t>
      </w:r>
      <m:oMath>
        <m:sSub>
          <m:sSubPr>
            <m:ctrlPr>
              <w:rPr>
                <w:rFonts w:ascii="Cambria Math" w:hAnsi="Cambria Math" w:cs="Times New Roman"/>
                <w:sz w:val="24"/>
                <w:szCs w:val="24"/>
              </w:rPr>
            </m:ctrlPr>
          </m:sSubPr>
          <m:e>
            <m:r>
              <m:rPr>
                <m:sty m:val="p"/>
              </m:rPr>
              <w:rPr>
                <w:rFonts w:ascii="Cambria Math" w:hAnsi="Cambria Math" w:cs="Times New Roman"/>
                <w:sz w:val="24"/>
                <w:szCs w:val="24"/>
              </w:rPr>
              <m:t>C</m:t>
            </m:r>
          </m:e>
          <m:sub>
            <m:r>
              <m:rPr>
                <m:sty m:val="p"/>
              </m:rPr>
              <w:rPr>
                <w:rFonts w:ascii="Cambria Math" w:hAnsi="Cambria Math" w:cs="Times New Roman"/>
                <w:sz w:val="24"/>
                <w:szCs w:val="24"/>
              </w:rPr>
              <m:t>d</m:t>
            </m:r>
          </m:sub>
        </m:sSub>
      </m:oMath>
      <w:r w:rsidRPr="000C01CA" w:rsidR="00C5000E">
        <w:rPr>
          <w:rFonts w:ascii="Times New Roman" w:hAnsi="Times New Roman" w:cs="Times New Roman" w:eastAsiaTheme="minorEastAsia"/>
          <w:sz w:val="24"/>
          <w:szCs w:val="24"/>
        </w:rPr>
        <w:t xml:space="preserve"> </w:t>
      </w:r>
      <w:r w:rsidRPr="000C01CA" w:rsidR="00C5000E">
        <w:rPr>
          <w:rFonts w:ascii="Times New Roman" w:hAnsi="Times New Roman" w:cs="Times New Roman"/>
          <w:sz w:val="24"/>
          <w:szCs w:val="24"/>
        </w:rPr>
        <w:t>are constant coefficients depending on the calculation period (daily or hourly).</w:t>
      </w:r>
    </w:p>
    <w:p w:rsidR="00C5000E" w:rsidP="00102447" w:rsidRDefault="00C5000E" w14:paraId="413CC80C" w14:textId="77777777">
      <w:pPr>
        <w:spacing w:line="360" w:lineRule="auto"/>
        <w:jc w:val="both"/>
        <w:rPr>
          <w:rFonts w:ascii="Times New Roman" w:hAnsi="Times New Roman" w:cs="Times New Roman"/>
          <w:sz w:val="24"/>
          <w:szCs w:val="24"/>
        </w:rPr>
      </w:pPr>
      <w:r w:rsidRPr="000C01CA">
        <w:rPr>
          <w:rFonts w:ascii="Times New Roman" w:hAnsi="Times New Roman" w:cs="Times New Roman"/>
          <w:sz w:val="24"/>
          <w:szCs w:val="24"/>
        </w:rPr>
        <w:t xml:space="preserve">The actual evapotranspiration of crops </w:t>
      </w:r>
      <m:oMath>
        <m:r>
          <m:rPr>
            <m:sty m:val="p"/>
          </m:rPr>
          <w:rPr>
            <w:rFonts w:ascii="Cambria Math" w:hAnsi="Cambria Math" w:cs="Times New Roman"/>
            <w:sz w:val="24"/>
            <w:szCs w:val="24"/>
          </w:rPr>
          <m:t>E</m:t>
        </m:r>
        <m:sSub>
          <m:sSubPr>
            <m:ctrlPr>
              <w:rPr>
                <w:rFonts w:ascii="Cambria Math" w:hAnsi="Cambria Math" w:cs="Times New Roman"/>
                <w:sz w:val="24"/>
                <w:szCs w:val="24"/>
              </w:rPr>
            </m:ctrlPr>
          </m:sSubPr>
          <m:e>
            <m:r>
              <m:rPr>
                <m:sty m:val="p"/>
              </m:rPr>
              <w:rPr>
                <w:rFonts w:ascii="Cambria Math" w:hAnsi="Cambria Math" w:cs="Times New Roman"/>
                <w:sz w:val="24"/>
                <w:szCs w:val="24"/>
              </w:rPr>
              <m:t>T</m:t>
            </m:r>
          </m:e>
          <m:sub>
            <m:r>
              <m:rPr>
                <m:sty m:val="p"/>
              </m:rPr>
              <w:rPr>
                <w:rFonts w:ascii="Cambria Math" w:hAnsi="Cambria Math" w:cs="Times New Roman"/>
                <w:sz w:val="24"/>
                <w:szCs w:val="24"/>
              </w:rPr>
              <m:t>c</m:t>
            </m:r>
          </m:sub>
        </m:sSub>
      </m:oMath>
      <w:r w:rsidRPr="000C01CA">
        <w:rPr>
          <w:rFonts w:ascii="Times New Roman" w:hAnsi="Times New Roman" w:cs="Times New Roman"/>
          <w:sz w:val="24"/>
          <w:szCs w:val="24"/>
        </w:rPr>
        <w:t xml:space="preserve"> is then calculated using the crop coefficient (</w:t>
      </w:r>
      <m:oMath>
        <m:sSub>
          <m:sSubPr>
            <m:ctrlPr>
              <w:rPr>
                <w:rFonts w:ascii="Cambria Math" w:hAnsi="Cambria Math" w:cs="Times New Roman"/>
                <w:sz w:val="24"/>
                <w:szCs w:val="24"/>
              </w:rPr>
            </m:ctrlPr>
          </m:sSubPr>
          <m:e>
            <m:r>
              <m:rPr>
                <m:sty m:val="p"/>
              </m:rPr>
              <w:rPr>
                <w:rFonts w:ascii="Cambria Math" w:hAnsi="Cambria Math" w:cs="Times New Roman"/>
                <w:sz w:val="24"/>
                <w:szCs w:val="24"/>
              </w:rPr>
              <m:t>K</m:t>
            </m:r>
          </m:e>
          <m:sub>
            <m:r>
              <m:rPr>
                <m:sty m:val="p"/>
              </m:rPr>
              <w:rPr>
                <w:rFonts w:ascii="Cambria Math" w:hAnsi="Cambria Math" w:cs="Times New Roman"/>
                <w:sz w:val="24"/>
                <w:szCs w:val="24"/>
              </w:rPr>
              <m:t>c</m:t>
            </m:r>
          </m:sub>
        </m:sSub>
      </m:oMath>
      <w:r w:rsidRPr="000C01CA">
        <w:rPr>
          <w:rFonts w:ascii="Times New Roman" w:hAnsi="Times New Roman" w:cs="Times New Roman"/>
          <w:sz w:val="24"/>
          <w:szCs w:val="24"/>
        </w:rPr>
        <w:t xml:space="preserve">): </w:t>
      </w:r>
    </w:p>
    <w:p w:rsidRPr="006C7AA1" w:rsidR="00445B87" w:rsidP="00102447" w:rsidRDefault="006C7AA1" w14:paraId="173D1075" w14:textId="4D24FFCA">
      <w:pPr>
        <w:spacing w:line="360" w:lineRule="auto"/>
        <w:jc w:val="both"/>
        <w:rPr>
          <w:rFonts w:ascii="Times New Roman" w:hAnsi="Times New Roman" w:cs="Times New Roman" w:eastAsiaTheme="minorEastAsia"/>
          <w:sz w:val="24"/>
          <w:szCs w:val="24"/>
        </w:rPr>
      </w:pPr>
      <m:oMathPara>
        <m:oMath>
          <m:eqArr>
            <m:eqArrPr>
              <m:maxDist m:val="1"/>
              <m:ctrlPr>
                <w:rPr>
                  <w:rFonts w:ascii="Cambria Math" w:hAnsi="Cambria Math" w:cs="Times New Roman"/>
                  <w:i/>
                  <w:sz w:val="24"/>
                  <w:szCs w:val="24"/>
                </w:rPr>
              </m:ctrlPr>
            </m:eqArrPr>
            <m:e>
              <m:sSub>
                <m:sSubPr>
                  <m:ctrlPr>
                    <w:rPr>
                      <w:rFonts w:ascii="Cambria Math" w:hAnsi="Cambria Math" w:cs="Times New Roman"/>
                      <w:sz w:val="24"/>
                      <w:szCs w:val="24"/>
                    </w:rPr>
                  </m:ctrlPr>
                </m:sSubPr>
                <m:e>
                  <m:r>
                    <m:rPr>
                      <m:sty m:val="p"/>
                    </m:rPr>
                    <w:rPr>
                      <w:rFonts w:ascii="Cambria Math" w:hAnsi="Cambria Math" w:cs="Times New Roman"/>
                      <w:sz w:val="24"/>
                      <w:szCs w:val="24"/>
                    </w:rPr>
                    <m:t>ET</m:t>
                  </m:r>
                </m:e>
                <m:sub>
                  <m:r>
                    <m:rPr>
                      <m:sty m:val="p"/>
                    </m:rPr>
                    <w:rPr>
                      <w:rFonts w:ascii="Cambria Math" w:hAnsi="Cambria Math" w:cs="Times New Roman"/>
                      <w:sz w:val="24"/>
                      <w:szCs w:val="24"/>
                    </w:rPr>
                    <m:t>c</m:t>
                  </m:r>
                </m:sub>
              </m:sSub>
              <m:r>
                <m:rPr>
                  <m:sty m:val="p"/>
                </m:rPr>
                <w:rPr>
                  <w:rFonts w:ascii="Cambria Math" w:hAnsi="Cambria Math" w:cs="Times New Roman"/>
                  <w:sz w:val="24"/>
                  <w:szCs w:val="24"/>
                </w:rPr>
                <m:t xml:space="preserve">= </m:t>
              </m:r>
              <m:sSub>
                <m:sSubPr>
                  <m:ctrlPr>
                    <w:rPr>
                      <w:rFonts w:ascii="Cambria Math" w:hAnsi="Cambria Math" w:cs="Times New Roman"/>
                      <w:sz w:val="24"/>
                      <w:szCs w:val="24"/>
                    </w:rPr>
                  </m:ctrlPr>
                </m:sSubPr>
                <m:e>
                  <m:r>
                    <m:rPr>
                      <m:sty m:val="p"/>
                    </m:rPr>
                    <w:rPr>
                      <w:rFonts w:ascii="Cambria Math" w:hAnsi="Cambria Math" w:cs="Times New Roman"/>
                      <w:sz w:val="24"/>
                      <w:szCs w:val="24"/>
                    </w:rPr>
                    <m:t>K</m:t>
                  </m:r>
                </m:e>
                <m:sub>
                  <m:r>
                    <m:rPr>
                      <m:sty m:val="p"/>
                    </m:rPr>
                    <w:rPr>
                      <w:rFonts w:ascii="Cambria Math" w:hAnsi="Cambria Math" w:cs="Times New Roman"/>
                      <w:sz w:val="24"/>
                      <w:szCs w:val="24"/>
                    </w:rPr>
                    <m:t>c</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ET</m:t>
                  </m:r>
                </m:e>
                <m:sub>
                  <m:r>
                    <m:rPr>
                      <m:sty m:val="p"/>
                    </m:rPr>
                    <w:rPr>
                      <w:rFonts w:ascii="Cambria Math" w:hAnsi="Cambria Math" w:cs="Times New Roman"/>
                      <w:sz w:val="24"/>
                      <w:szCs w:val="24"/>
                    </w:rPr>
                    <m:t>0</m:t>
                  </m:r>
                </m:sub>
              </m:sSub>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5</m:t>
                  </m:r>
                </m:e>
              </m:d>
            </m:e>
          </m:eqArr>
        </m:oMath>
      </m:oMathPara>
    </w:p>
    <w:p w:rsidR="00C5000E" w:rsidP="00102447" w:rsidRDefault="00C5000E" w14:paraId="3B2177A0" w14:textId="50E55F37">
      <w:pPr>
        <w:spacing w:line="360" w:lineRule="auto"/>
        <w:jc w:val="both"/>
        <w:rPr>
          <w:rFonts w:ascii="Times New Roman" w:hAnsi="Times New Roman" w:cs="Times New Roman"/>
          <w:sz w:val="24"/>
          <w:szCs w:val="24"/>
        </w:rPr>
      </w:pPr>
      <w:r w:rsidRPr="000C01CA" w:rsidR="00C5000E">
        <w:rPr>
          <w:rFonts w:ascii="Times New Roman" w:hAnsi="Times New Roman" w:cs="Times New Roman"/>
          <w:sz w:val="24"/>
          <w:szCs w:val="24"/>
        </w:rPr>
        <w:t>The integration of an AV system fundamentally alters the hydro</w:t>
      </w:r>
      <w:r w:rsidRPr="000C01CA" w:rsidR="00D366FF">
        <w:rPr>
          <w:rFonts w:ascii="Times New Roman" w:hAnsi="Times New Roman" w:cs="Times New Roman"/>
          <w:sz w:val="24"/>
          <w:szCs w:val="24"/>
        </w:rPr>
        <w:t>-</w:t>
      </w:r>
      <w:r w:rsidRPr="000C01CA" w:rsidR="00C5000E">
        <w:rPr>
          <w:rFonts w:ascii="Times New Roman" w:hAnsi="Times New Roman" w:cs="Times New Roman"/>
          <w:sz w:val="24"/>
          <w:szCs w:val="24"/>
        </w:rPr>
        <w:t>climatological environment. Experimental research, particularly using lysimeters, confirms that ET rates under PV systems are significantly lower than in open plots</w:t>
      </w:r>
      <w:r w:rsidRPr="000C01CA" w:rsidR="00C251B0">
        <w:rPr>
          <w:rFonts w:ascii="Times New Roman" w:hAnsi="Times New Roman" w:cs="Times New Roman"/>
          <w:sz w:val="24"/>
          <w:szCs w:val="24"/>
        </w:rPr>
        <w:t xml:space="preserve"> </w:t>
      </w:r>
      <w:r w:rsidRPr="000C01CA" w:rsidR="000703F4">
        <w:rPr>
          <w:rFonts w:ascii="Times New Roman" w:hAnsi="Times New Roman" w:cs="Times New Roman"/>
          <w:sz w:val="24"/>
          <w:szCs w:val="24"/>
        </w:rPr>
        <w:fldChar w:fldCharType="begin"/>
      </w:r>
      <w:r w:rsidRPr="000C01CA" w:rsidR="000703F4">
        <w:rPr>
          <w:rFonts w:ascii="Times New Roman" w:hAnsi="Times New Roman" w:cs="Times New Roman"/>
          <w:sz w:val="24"/>
          <w:szCs w:val="24"/>
        </w:rPr>
        <w:instrText xml:space="preserve"> ADDIN ZOTERO_ITEM CSL_CITATION {"citationID":"Esr1ganv","properties":{"formattedCitation":"[31]","plainCitation":"[31]","noteIndex":0},"citationItems":[{"id":34,"uris":["http://zotero.org/users/local/NWCAR5we/items/NPL4NL9V"],"itemData":{"id":34,"type":"article-journal","abstract":"This study investigates the impact of an agrivoltaic (APV) system on evapotranspiration (ET) and soil moisture dynamics by comparing experimental ET measurements with theoretical estimates using the FAO-56 Penman-Monteith equation. A field experiment was conducted using lysimeters to measure ET within an APV system and an open-field reference plot. The results indicate that ET rates were consistently lower in the APV system due to the shading effect of PV panels, which reduced solar radiation exposure and enhanced soil moisture retention. The exclusion of precipitation-affected data improved the accuracy of ET measurements, highlighting the necessity of precise data selection in similar studies. Although discrepancies between experimental and theoretical ET values were observed, they were attributed to measurement limitations and microclimatic variations. The findings suggest that APV systems can contribute to sustainable water management by reducing water loss and irrigation demands, particularly in arid and semi-arid regions. Further research is recommended to assess long-term impacts on crop yield and optimize APV configurations for diverse agricultural environments.","language":"en","source":"Zotero","title":"EVAPOTRANSPIRATION IN AGRIVOLTAIC ENVIRONMENT: A FIELD STUDY","author":[{"family":"Tawassulli","given":"Mahmood"}]}}],"schema":"https://github.com/citation-style-language/schema/raw/master/csl-citation.json"} </w:instrText>
      </w:r>
      <w:r w:rsidRPr="000C01CA" w:rsidR="000703F4">
        <w:rPr>
          <w:rFonts w:ascii="Times New Roman" w:hAnsi="Times New Roman" w:cs="Times New Roman"/>
          <w:sz w:val="24"/>
          <w:szCs w:val="24"/>
        </w:rPr>
        <w:fldChar w:fldCharType="separate"/>
      </w:r>
      <w:r w:rsidRPr="43844335" w:rsidR="000703F4">
        <w:rPr>
          <w:rFonts w:ascii="Times New Roman" w:hAnsi="Times New Roman" w:cs="Times New Roman"/>
          <w:sz w:val="24"/>
          <w:szCs w:val="24"/>
        </w:rPr>
        <w:t>[31]</w:t>
      </w:r>
      <w:r w:rsidRPr="000C01CA" w:rsidR="000703F4">
        <w:rPr>
          <w:rFonts w:ascii="Times New Roman" w:hAnsi="Times New Roman" w:cs="Times New Roman"/>
          <w:sz w:val="24"/>
          <w:szCs w:val="24"/>
        </w:rPr>
        <w:fldChar w:fldCharType="end"/>
      </w:r>
      <w:r w:rsidRPr="000C01CA" w:rsidR="007F620B">
        <w:rPr>
          <w:rFonts w:ascii="Times New Roman" w:hAnsi="Times New Roman" w:cs="Times New Roman"/>
          <w:sz w:val="24"/>
          <w:szCs w:val="24"/>
        </w:rPr>
        <w:t xml:space="preserve">. </w:t>
      </w:r>
      <w:r w:rsidRPr="000C01CA" w:rsidR="006A2435">
        <w:rPr>
          <w:rFonts w:ascii="Times New Roman" w:hAnsi="Times New Roman" w:cs="Times New Roman"/>
          <w:sz w:val="24"/>
          <w:szCs w:val="24"/>
        </w:rPr>
        <w:t xml:space="preserve">This </w:t>
      </w:r>
      <w:r w:rsidRPr="000C01CA" w:rsidR="006A2435">
        <w:rPr>
          <w:rFonts w:ascii="Times New Roman" w:hAnsi="Times New Roman" w:cs="Times New Roman"/>
          <w:sz w:val="24"/>
          <w:szCs w:val="24"/>
        </w:rPr>
        <w:t>observed</w:t>
      </w:r>
      <w:r w:rsidRPr="000C01CA" w:rsidR="006A2435">
        <w:rPr>
          <w:rFonts w:ascii="Times New Roman" w:hAnsi="Times New Roman" w:cs="Times New Roman"/>
          <w:sz w:val="24"/>
          <w:szCs w:val="24"/>
        </w:rPr>
        <w:t xml:space="preserve"> reduction stems primarily from the shading by PV panels, which curtails direct solar exposure and promotes higher soil moisture</w:t>
      </w:r>
      <w:r w:rsidRPr="000C01CA" w:rsidR="001E5E23">
        <w:rPr>
          <w:rFonts w:ascii="Times New Roman" w:hAnsi="Times New Roman" w:cs="Times New Roman"/>
          <w:sz w:val="24"/>
          <w:szCs w:val="24"/>
        </w:rPr>
        <w:t xml:space="preserve"> </w:t>
      </w:r>
      <w:r w:rsidRPr="000C01CA" w:rsidR="000703F4">
        <w:rPr>
          <w:rFonts w:ascii="Times New Roman" w:hAnsi="Times New Roman" w:cs="Times New Roman"/>
          <w:sz w:val="24"/>
          <w:szCs w:val="24"/>
        </w:rPr>
        <w:fldChar w:fldCharType="begin"/>
      </w:r>
      <w:r w:rsidRPr="000C01CA" w:rsidR="000703F4">
        <w:rPr>
          <w:rFonts w:ascii="Times New Roman" w:hAnsi="Times New Roman" w:cs="Times New Roman"/>
          <w:sz w:val="24"/>
          <w:szCs w:val="24"/>
        </w:rPr>
        <w:instrText xml:space="preserve"> ADDIN ZOTERO_ITEM CSL_CITATION {"citationID":"xUHSFlDj","properties":{"formattedCitation":"[31]","plainCitation":"[31]","noteIndex":0},"citationItems":[{"id":34,"uris":["http://zotero.org/users/local/NWCAR5we/items/NPL4NL9V"],"itemData":{"id":34,"type":"article-journal","abstract":"This study investigates the impact of an agrivoltaic (APV) system on evapotranspiration (ET) and soil moisture dynamics by comparing experimental ET measurements with theoretical estimates using the FAO-56 Penman-Monteith equation. A field experiment was conducted using lysimeters to measure ET within an APV system and an open-field reference plot. The results indicate that ET rates were consistently lower in the APV system due to the shading effect of PV panels, which reduced solar radiation exposure and enhanced soil moisture retention. The exclusion of precipitation-affected data improved the accuracy of ET measurements, highlighting the necessity of precise data selection in similar studies. Although discrepancies between experimental and theoretical ET values were observed, they were attributed to measurement limitations and microclimatic variations. The findings suggest that APV systems can contribute to sustainable water management by reducing water loss and irrigation demands, particularly in arid and semi-arid regions. Further research is recommended to assess long-term impacts on crop yield and optimize APV configurations for diverse agricultural environments.","language":"en","source":"Zotero","title":"EVAPOTRANSPIRATION IN AGRIVOLTAIC ENVIRONMENT: A FIELD STUDY","author":[{"family":"Tawassulli","given":"Mahmood"}]}}],"schema":"https://github.com/citation-style-language/schema/raw/master/csl-citation.json"} </w:instrText>
      </w:r>
      <w:r w:rsidRPr="000C01CA" w:rsidR="000703F4">
        <w:rPr>
          <w:rFonts w:ascii="Times New Roman" w:hAnsi="Times New Roman" w:cs="Times New Roman"/>
          <w:sz w:val="24"/>
          <w:szCs w:val="24"/>
        </w:rPr>
        <w:fldChar w:fldCharType="separate"/>
      </w:r>
      <w:r w:rsidRPr="43844335" w:rsidR="000703F4">
        <w:rPr>
          <w:rFonts w:ascii="Times New Roman" w:hAnsi="Times New Roman" w:cs="Times New Roman"/>
          <w:sz w:val="24"/>
          <w:szCs w:val="24"/>
        </w:rPr>
        <w:t>[31]</w:t>
      </w:r>
      <w:r w:rsidRPr="000C01CA" w:rsidR="000703F4">
        <w:rPr>
          <w:rFonts w:ascii="Times New Roman" w:hAnsi="Times New Roman" w:cs="Times New Roman"/>
          <w:sz w:val="24"/>
          <w:szCs w:val="24"/>
        </w:rPr>
        <w:fldChar w:fldCharType="end"/>
      </w:r>
      <w:r w:rsidRPr="000C01CA" w:rsidR="007F620B">
        <w:rPr>
          <w:rFonts w:ascii="Times New Roman" w:hAnsi="Times New Roman" w:cs="Times New Roman"/>
          <w:sz w:val="24"/>
          <w:szCs w:val="24"/>
        </w:rPr>
        <w:t>.</w:t>
      </w:r>
      <w:r w:rsidRPr="000C01CA" w:rsidR="006A2435">
        <w:rPr>
          <w:rFonts w:ascii="Times New Roman" w:hAnsi="Times New Roman" w:cs="Times New Roman"/>
          <w:sz w:val="24"/>
          <w:szCs w:val="24"/>
        </w:rPr>
        <w:t xml:space="preserve"> To capture this effect in a model, the adaptation of the Penman-Monteith equation focuses on </w:t>
      </w:r>
      <w:r w:rsidRPr="000C01CA" w:rsidR="006A2435">
        <w:rPr>
          <w:rFonts w:ascii="Times New Roman" w:hAnsi="Times New Roman" w:cs="Times New Roman"/>
          <w:sz w:val="24"/>
          <w:szCs w:val="24"/>
        </w:rPr>
        <w:t xml:space="preserve">modifying</w:t>
      </w:r>
      <w:r w:rsidRPr="000C01CA" w:rsidR="006A2435">
        <w:rPr>
          <w:rFonts w:ascii="Times New Roman" w:hAnsi="Times New Roman" w:cs="Times New Roman"/>
          <w:sz w:val="24"/>
          <w:szCs w:val="24"/>
        </w:rPr>
        <w:t xml:space="preserve"> its core energy balance term: net radiation (Rₙ). </w:t>
      </w:r>
      <w:r w:rsidRPr="000C01CA" w:rsidR="00C5000E">
        <w:rPr>
          <w:rFonts w:ascii="Times New Roman" w:hAnsi="Times New Roman" w:cs="Times New Roman"/>
          <w:sz w:val="24"/>
          <w:szCs w:val="24"/>
        </w:rPr>
        <w:t>A geometric shading factor (</w:t>
      </w:r>
      <m:oMath>
        <m:sSub>
          <m:sSubPr>
            <m:ctrlPr>
              <w:rPr>
                <w:rFonts w:ascii="Cambria Math" w:hAnsi="Cambria Math" w:cs="Times New Roman"/>
                <w:sz w:val="24"/>
                <w:szCs w:val="24"/>
              </w:rPr>
            </m:ctrlPr>
          </m:sSubPr>
          <m:e>
            <m:r>
              <m:rPr>
                <m:sty m:val="p"/>
              </m:rPr>
              <w:rPr>
                <w:rFonts w:ascii="Cambria Math" w:hAnsi="Cambria Math" w:cs="Times New Roman"/>
                <w:sz w:val="24"/>
                <w:szCs w:val="24"/>
              </w:rPr>
              <m:t>F</m:t>
            </m:r>
          </m:e>
          <m:sub>
            <m:r>
              <m:rPr>
                <m:sty m:val="p"/>
              </m:rPr>
              <w:rPr>
                <w:rFonts w:ascii="Cambria Math" w:hAnsi="Cambria Math" w:cs="Times New Roman"/>
                <w:sz w:val="24"/>
                <w:szCs w:val="24"/>
              </w:rPr>
              <m:t>shad</m:t>
            </m:r>
          </m:sub>
        </m:sSub>
      </m:oMath>
      <w:r w:rsidRPr="000C01CA" w:rsidR="00C5000E">
        <w:rPr>
          <w:rFonts w:ascii="Times New Roman" w:hAnsi="Times New Roman" w:cs="Times New Roman"/>
          <w:sz w:val="24"/>
          <w:szCs w:val="24"/>
        </w:rPr>
        <w:t xml:space="preserve">) is introduced to quantify the fraction of direct and diffuse solar radiation blocked by the panels at a given time </w:t>
      </w:r>
      <m:oMath>
        <m:r>
          <m:rPr>
            <m:sty m:val="p"/>
          </m:rPr>
          <w:rPr>
            <w:rFonts w:ascii="Cambria Math" w:hAnsi="Cambria Math" w:cs="Times New Roman"/>
            <w:sz w:val="24"/>
            <w:szCs w:val="24"/>
          </w:rPr>
          <m:t>t</m:t>
        </m:r>
      </m:oMath>
      <w:r w:rsidRPr="43844335" w:rsidR="001E5E23">
        <w:rPr>
          <w:rFonts w:ascii="Times New Roman" w:hAnsi="Times New Roman" w:eastAsia="" w:cs="Times New Roman" w:eastAsiaTheme="minorEastAsia"/>
          <w:sz w:val="24"/>
          <w:szCs w:val="24"/>
        </w:rPr>
        <w:t xml:space="preserve"> </w:t>
      </w:r>
      <w:r w:rsidRPr="000C01CA" w:rsidR="00C5000E">
        <w:rPr>
          <w:rFonts w:ascii="Times New Roman" w:hAnsi="Times New Roman" w:cs="Times New Roman"/>
          <w:sz w:val="24"/>
          <w:szCs w:val="24"/>
        </w:rPr>
        <w:t>:</w:t>
      </w:r>
    </w:p>
    <w:p w:rsidR="43844335" w:rsidP="43844335" w:rsidRDefault="43844335" w14:paraId="4A456B1E" w14:textId="3A4470A5">
      <w:pPr>
        <w:spacing w:line="360" w:lineRule="auto"/>
        <w:jc w:val="both"/>
        <w:rPr>
          <w:rFonts w:ascii="Times New Roman" w:hAnsi="Times New Roman" w:cs="Times New Roman"/>
          <w:sz w:val="24"/>
          <w:szCs w:val="24"/>
        </w:rPr>
      </w:pPr>
    </w:p>
    <w:p w:rsidRPr="001309B2" w:rsidR="006C7AA1" w:rsidP="00102447" w:rsidRDefault="001309B2" w14:paraId="1BCA6D69" w14:textId="1F5CDF35">
      <w:pPr>
        <w:spacing w:line="360" w:lineRule="auto"/>
        <w:jc w:val="both"/>
      </w:pPr>
      <m:oMathPara>
        <m:oMath>
          <m:eqArr>
            <m:eqArrPr>
              <m:maxDist m:val="1"/>
              <m:ctrlPr>
                <w:rPr>
                  <w:rFonts w:ascii="Cambria Math" w:hAnsi="Cambria Math" w:cs="Times New Roman"/>
                  <w:sz w:val="24"/>
                  <w:szCs w:val="24"/>
                </w:rPr>
              </m:ctrlPr>
            </m:eqArrPr>
            <m:e>
              <m:sSub>
                <m:sSubPr>
                  <m:ctrlPr>
                    <w:rPr>
                      <w:rFonts w:ascii="Cambria Math" w:hAnsi="Cambria Math" w:cs="Times New Roman"/>
                      <w:sz w:val="24"/>
                      <w:szCs w:val="24"/>
                    </w:rPr>
                  </m:ctrlPr>
                </m:sSubPr>
                <m:e>
                  <m:r>
                    <m:rPr>
                      <m:sty m:val="p"/>
                    </m:rPr>
                    <w:rPr>
                      <w:rFonts w:ascii="Cambria Math" w:hAnsi="Cambria Math" w:cs="Times New Roman"/>
                      <w:sz w:val="24"/>
                      <w:szCs w:val="24"/>
                    </w:rPr>
                    <m:t>R</m:t>
                  </m:r>
                </m:e>
                <m:sub>
                  <m:r>
                    <m:rPr>
                      <m:sty m:val="p"/>
                    </m:rPr>
                    <w:rPr>
                      <w:rFonts w:ascii="Cambria Math" w:hAnsi="Cambria Math" w:cs="Times New Roman"/>
                      <w:sz w:val="24"/>
                      <w:szCs w:val="24"/>
                    </w:rPr>
                    <m:t>n,APV</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R</m:t>
                  </m:r>
                </m:e>
                <m:sub>
                  <m:r>
                    <m:rPr>
                      <m:sty m:val="p"/>
                    </m:rPr>
                    <w:rPr>
                      <w:rFonts w:ascii="Cambria Math" w:hAnsi="Cambria Math" w:cs="Times New Roman"/>
                      <w:sz w:val="24"/>
                      <w:szCs w:val="24"/>
                    </w:rPr>
                    <m:t>n,open</m:t>
                  </m:r>
                </m:sub>
              </m:sSub>
              <m:r>
                <m:rPr>
                  <m:sty m:val="p"/>
                </m:rPr>
                <w:rPr>
                  <w:rFonts w:ascii="Cambria Math" w:hAnsi="Cambria Math" w:cs="Times New Roman"/>
                  <w:sz w:val="24"/>
                  <w:szCs w:val="24"/>
                </w:rPr>
                <m:t>*</m:t>
              </m:r>
              <m:d>
                <m:dPr>
                  <m:ctrlPr>
                    <w:rPr>
                      <w:rFonts w:ascii="Cambria Math" w:hAnsi="Cambria Math" w:cs="Times New Roman"/>
                      <w:sz w:val="24"/>
                      <w:szCs w:val="24"/>
                    </w:rPr>
                  </m:ctrlPr>
                </m:dPr>
                <m:e>
                  <m:r>
                    <m:rPr>
                      <m:sty m:val="p"/>
                    </m:rPr>
                    <w:rPr>
                      <w:rFonts w:ascii="Cambria Math" w:hAnsi="Cambria Math" w:cs="Times New Roman"/>
                      <w:sz w:val="24"/>
                      <w:szCs w:val="24"/>
                    </w:rPr>
                    <m:t>1-</m:t>
                  </m:r>
                  <m:sSub>
                    <m:sSubPr>
                      <m:ctrlPr>
                        <w:rPr>
                          <w:rFonts w:ascii="Cambria Math" w:hAnsi="Cambria Math" w:cs="Times New Roman"/>
                          <w:sz w:val="24"/>
                          <w:szCs w:val="24"/>
                        </w:rPr>
                      </m:ctrlPr>
                    </m:sSubPr>
                    <m:e>
                      <m:r>
                        <m:rPr>
                          <m:sty m:val="p"/>
                        </m:rPr>
                        <w:rPr>
                          <w:rFonts w:ascii="Cambria Math" w:hAnsi="Cambria Math" w:cs="Times New Roman"/>
                          <w:sz w:val="24"/>
                          <w:szCs w:val="24"/>
                        </w:rPr>
                        <m:t>F</m:t>
                      </m:r>
                    </m:e>
                    <m:sub>
                      <m:r>
                        <m:rPr>
                          <m:sty m:val="p"/>
                        </m:rPr>
                        <w:rPr>
                          <w:rFonts w:ascii="Cambria Math" w:hAnsi="Cambria Math" w:cs="Times New Roman"/>
                          <w:sz w:val="24"/>
                          <w:szCs w:val="24"/>
                        </w:rPr>
                        <m:t>shad</m:t>
                      </m:r>
                    </m:sub>
                  </m:sSub>
                </m:e>
              </m:d>
              <m:r>
                <m:rPr>
                  <m:sty m:val="p"/>
                </m:rPr>
                <w:rPr>
                  <w:rFonts w:ascii="Cambria Math" w:hAnsi="Cambria Math" w:cs="Times New Roman"/>
                  <w:sz w:val="24"/>
                  <w:szCs w:val="24"/>
                </w:rPr>
                <m:t xml:space="preserve"> </m:t>
              </m:r>
              <m:r>
                <w:rPr>
                  <w:rFonts w:ascii="Cambria Math" w:hAnsi="Cambria Math" w:cs="Times New Roman"/>
                  <w:sz w:val="24"/>
                  <w:szCs w:val="24"/>
                </w:rPr>
                <m:t>#</m:t>
              </m:r>
              <m:d>
                <m:dPr>
                  <m:ctrlPr>
                    <w:rPr>
                      <w:rFonts w:ascii="Cambria Math" w:hAnsi="Cambria Math" w:cs="Times New Roman"/>
                      <w:sz w:val="24"/>
                      <w:szCs w:val="24"/>
                    </w:rPr>
                  </m:ctrlPr>
                </m:dPr>
                <m:e>
                  <m:r>
                    <m:rPr>
                      <m:sty m:val="p"/>
                    </m:rPr>
                    <w:rPr>
                      <w:rFonts w:ascii="Cambria Math" w:hAnsi="Cambria Math" w:cs="Times New Roman"/>
                      <w:sz w:val="24"/>
                      <w:szCs w:val="24"/>
                    </w:rPr>
                    <m:t>6</m:t>
                  </m:r>
                </m:e>
              </m:d>
              <m:ctrlPr>
                <w:rPr>
                  <w:rFonts w:ascii="Cambria Math" w:hAnsi="Cambria Math" w:cs="Times New Roman"/>
                  <w:i/>
                  <w:sz w:val="24"/>
                  <w:szCs w:val="24"/>
                </w:rPr>
              </m:ctrlPr>
            </m:e>
          </m:eqArr>
        </m:oMath>
      </m:oMathPara>
      <m:oMathPara xmlns:m="http://schemas.openxmlformats.org/officeDocument/2006/math">
        <m:oMath xmlns:m="http://schemas.openxmlformats.org/officeDocument/2006/math">
          <m:sPre xmlns:m="http://schemas.openxmlformats.org/officeDocument/2006/math">
            <m:sPrePr>
              <m:ctrlPr/>
            </m:sPrePr>
            <m:sub>
              <m:sSub>
                <m:sSubPr>
                  <m:ctrlPr/>
                </m:sSubPr>
                <m:e>
                  <m:r>
                    <m:t>1</m:t>
                  </m:r>
                </m:e>
                <m:sub>
                  <m:r>
                    <m:t>5</m:t>
                  </m:r>
                </m:sub>
              </m:sSub>
            </m:sub>
            <m:sup/>
            <m:e/>
          </m:sPre>
        </m:oMath>
      </m:oMathPara>
    </w:p>
    <w:p w:rsidRPr="000C01CA" w:rsidR="00493FE5" w:rsidP="00102447" w:rsidRDefault="00493FE5" w14:paraId="2BCFC064" w14:textId="04EE773B">
      <w:pPr>
        <w:spacing w:line="360" w:lineRule="auto"/>
        <w:jc w:val="both"/>
        <w:rPr>
          <w:rFonts w:ascii="Times New Roman" w:hAnsi="Times New Roman" w:cs="Times New Roman"/>
          <w:sz w:val="24"/>
          <w:szCs w:val="24"/>
        </w:rPr>
      </w:pPr>
      <w:r w:rsidRPr="000C01CA">
        <w:rPr>
          <w:rFonts w:ascii="Times New Roman" w:hAnsi="Times New Roman" w:cs="Times New Roman"/>
          <w:sz w:val="24"/>
          <w:szCs w:val="24"/>
        </w:rPr>
        <w:t xml:space="preserve">Where </w:t>
      </w:r>
      <m:oMath>
        <m:sSub>
          <m:sSubPr>
            <m:ctrlPr>
              <w:rPr>
                <w:rFonts w:ascii="Cambria Math" w:hAnsi="Cambria Math" w:cs="Times New Roman"/>
                <w:sz w:val="24"/>
                <w:szCs w:val="24"/>
              </w:rPr>
            </m:ctrlPr>
          </m:sSubPr>
          <m:e>
            <m:r>
              <m:rPr>
                <m:sty m:val="p"/>
              </m:rPr>
              <w:rPr>
                <w:rFonts w:ascii="Cambria Math" w:hAnsi="Cambria Math" w:cs="Times New Roman"/>
                <w:sz w:val="24"/>
                <w:szCs w:val="24"/>
              </w:rPr>
              <m:t>R</m:t>
            </m:r>
          </m:e>
          <m:sub>
            <m:r>
              <m:rPr>
                <m:sty m:val="p"/>
              </m:rPr>
              <w:rPr>
                <w:rFonts w:ascii="Cambria Math" w:hAnsi="Cambria Math" w:cs="Times New Roman"/>
                <w:sz w:val="24"/>
                <w:szCs w:val="24"/>
              </w:rPr>
              <m:t>n,open</m:t>
            </m:r>
          </m:sub>
        </m:sSub>
      </m:oMath>
      <w:r w:rsidRPr="000C01CA">
        <w:rPr>
          <w:rFonts w:ascii="Times New Roman" w:hAnsi="Times New Roman" w:cs="Times New Roman"/>
          <w:sz w:val="24"/>
          <w:szCs w:val="24"/>
        </w:rPr>
        <w:t xml:space="preserve"> represents net radiation without panels. This formalism captures the observed physical impact and becomes the basis for quantifying the water savings achievable by the system, thus contributing to sustainable water management objectives, particularly in arid and semi-arid regions</w:t>
      </w:r>
      <w:r w:rsidRPr="000C01CA" w:rsidR="00C251B0">
        <w:rPr>
          <w:rFonts w:ascii="Times New Roman" w:hAnsi="Times New Roman" w:cs="Times New Roman"/>
          <w:sz w:val="24"/>
          <w:szCs w:val="24"/>
        </w:rPr>
        <w:t xml:space="preserve"> </w:t>
      </w:r>
      <w:r w:rsidRPr="000C01CA" w:rsidR="000703F4">
        <w:rPr>
          <w:rFonts w:ascii="Times New Roman" w:hAnsi="Times New Roman" w:cs="Times New Roman"/>
          <w:sz w:val="24"/>
          <w:szCs w:val="24"/>
        </w:rPr>
        <w:fldChar w:fldCharType="begin"/>
      </w:r>
      <w:r w:rsidRPr="000C01CA" w:rsidR="000703F4">
        <w:rPr>
          <w:rFonts w:ascii="Times New Roman" w:hAnsi="Times New Roman" w:cs="Times New Roman"/>
          <w:sz w:val="24"/>
          <w:szCs w:val="24"/>
        </w:rPr>
        <w:instrText xml:space="preserve"> ADDIN ZOTERO_ITEM CSL_CITATION {"citationID":"Xk0KPhtC","properties":{"formattedCitation":"[31]","plainCitation":"[31]","noteIndex":0},"citationItems":[{"id":34,"uris":["http://zotero.org/users/local/NWCAR5we/items/NPL4NL9V"],"itemData":{"id":34,"type":"article-journal","abstract":"This study investigates the impact of an agrivoltaic (APV) system on evapotranspiration (ET) and soil moisture dynamics by comparing experimental ET measurements with theoretical estimates using the FAO-56 Penman-Monteith equation. A field experiment was conducted using lysimeters to measure ET within an APV system and an open-field reference plot. The results indicate that ET rates were consistently lower in the APV system due to the shading effect of PV panels, which reduced solar radiation exposure and enhanced soil moisture retention. The exclusion of precipitation-affected data improved the accuracy of ET measurements, highlighting the necessity of precise data selection in similar studies. Although discrepancies between experimental and theoretical ET values were observed, they were attributed to measurement limitations and microclimatic variations. The findings suggest that APV systems can contribute to sustainable water management by reducing water loss and irrigation demands, particularly in arid and semi-arid regions. Further research is recommended to assess long-term impacts on crop yield and optimize APV configurations for diverse agricultural environments.","language":"en","source":"Zotero","title":"EVAPOTRANSPIRATION IN AGRIVOLTAIC ENVIRONMENT: A FIELD STUDY","author":[{"family":"Tawassulli","given":"Mahmood"}]}}],"schema":"https://github.com/citation-style-language/schema/raw/master/csl-citation.json"} </w:instrText>
      </w:r>
      <w:r w:rsidRPr="000C01CA" w:rsidR="000703F4">
        <w:rPr>
          <w:rFonts w:ascii="Times New Roman" w:hAnsi="Times New Roman" w:cs="Times New Roman"/>
          <w:sz w:val="24"/>
          <w:szCs w:val="24"/>
        </w:rPr>
        <w:fldChar w:fldCharType="separate"/>
      </w:r>
      <w:r w:rsidRPr="000C01CA" w:rsidR="000703F4">
        <w:rPr>
          <w:rFonts w:ascii="Times New Roman" w:hAnsi="Times New Roman" w:cs="Times New Roman"/>
          <w:sz w:val="24"/>
        </w:rPr>
        <w:t>[31]</w:t>
      </w:r>
      <w:r w:rsidRPr="000C01CA" w:rsidR="000703F4">
        <w:rPr>
          <w:rFonts w:ascii="Times New Roman" w:hAnsi="Times New Roman" w:cs="Times New Roman"/>
          <w:sz w:val="24"/>
          <w:szCs w:val="24"/>
        </w:rPr>
        <w:fldChar w:fldCharType="end"/>
      </w:r>
      <w:r w:rsidRPr="000C01CA">
        <w:rPr>
          <w:rFonts w:ascii="Times New Roman" w:hAnsi="Times New Roman" w:cs="Times New Roman"/>
          <w:sz w:val="24"/>
          <w:szCs w:val="24"/>
        </w:rPr>
        <w:t>.</w:t>
      </w:r>
    </w:p>
    <w:p w:rsidRPr="000C01CA" w:rsidR="00493FE5" w:rsidP="00102447" w:rsidRDefault="00493FE5" w14:paraId="22708C65" w14:textId="1404B852">
      <w:pPr>
        <w:spacing w:line="360" w:lineRule="auto"/>
        <w:jc w:val="both"/>
        <w:rPr>
          <w:rFonts w:ascii="Times New Roman" w:hAnsi="Times New Roman" w:cs="Times New Roman"/>
          <w:sz w:val="24"/>
          <w:szCs w:val="24"/>
        </w:rPr>
      </w:pPr>
      <w:r w:rsidRPr="000C01CA">
        <w:rPr>
          <w:rFonts w:ascii="Times New Roman" w:hAnsi="Times New Roman" w:cs="Times New Roman"/>
          <w:sz w:val="24"/>
          <w:szCs w:val="24"/>
        </w:rPr>
        <w:t xml:space="preserve">It is also crucial to consider that shading and environmental modification can alter the surface resistance and aerodynamics of the canopy, which may require calibration or redefinition of the crop coefficient </w:t>
      </w:r>
      <m:oMath>
        <m:sSub>
          <m:sSubPr>
            <m:ctrlPr>
              <w:rPr>
                <w:rFonts w:ascii="Cambria Math" w:hAnsi="Cambria Math" w:cs="Times New Roman"/>
                <w:sz w:val="24"/>
                <w:szCs w:val="24"/>
              </w:rPr>
            </m:ctrlPr>
          </m:sSubPr>
          <m:e>
            <m:r>
              <m:rPr>
                <m:sty m:val="p"/>
              </m:rPr>
              <w:rPr>
                <w:rFonts w:ascii="Cambria Math" w:hAnsi="Cambria Math" w:cs="Times New Roman"/>
                <w:sz w:val="24"/>
                <w:szCs w:val="24"/>
              </w:rPr>
              <m:t>K</m:t>
            </m:r>
          </m:e>
          <m:sub>
            <m:r>
              <m:rPr>
                <m:sty m:val="p"/>
              </m:rPr>
              <w:rPr>
                <w:rFonts w:ascii="Cambria Math" w:hAnsi="Cambria Math" w:cs="Times New Roman"/>
                <w:sz w:val="24"/>
                <w:szCs w:val="24"/>
              </w:rPr>
              <m:t>c</m:t>
            </m:r>
          </m:sub>
        </m:sSub>
      </m:oMath>
      <w:r w:rsidRPr="000C01CA">
        <w:rPr>
          <w:rFonts w:ascii="Times New Roman" w:hAnsi="Times New Roman" w:cs="Times New Roman"/>
          <w:sz w:val="24"/>
          <w:szCs w:val="24"/>
        </w:rPr>
        <w:t xml:space="preserve"> for the specific crop under the panels</w:t>
      </w:r>
      <w:r w:rsidRPr="000C01CA" w:rsidR="00071BCE">
        <w:rPr>
          <w:rFonts w:ascii="Times New Roman" w:hAnsi="Times New Roman" w:cs="Times New Roman"/>
          <w:sz w:val="24"/>
          <w:szCs w:val="24"/>
        </w:rPr>
        <w:t xml:space="preserve"> </w:t>
      </w:r>
      <w:r w:rsidRPr="000C01CA" w:rsidR="000703F4">
        <w:rPr>
          <w:rFonts w:ascii="Times New Roman" w:hAnsi="Times New Roman" w:cs="Times New Roman"/>
          <w:sz w:val="24"/>
          <w:szCs w:val="24"/>
        </w:rPr>
        <w:fldChar w:fldCharType="begin"/>
      </w:r>
      <w:r w:rsidRPr="000C01CA" w:rsidR="000703F4">
        <w:rPr>
          <w:rFonts w:ascii="Times New Roman" w:hAnsi="Times New Roman" w:cs="Times New Roman"/>
          <w:sz w:val="24"/>
          <w:szCs w:val="24"/>
        </w:rPr>
        <w:instrText xml:space="preserve"> ADDIN ZOTERO_ITEM CSL_CITATION {"citationID":"ejiERS1Z","properties":{"formattedCitation":"[30]","plainCitation":"[30]","noteIndex":0},"citationItems":[{"id":69,"uris":["http://zotero.org/users/local/NWCAR5we/items/63TS2Q8K"],"itemData":{"id":69,"type":"webpage","title":"Chapter 2 - FAO Penman-Monteith equation","URL":"https://www.fao.org/4/x0490e/x0490e06.htm","accessed":{"date-parts":[["2025",12,22]]}}}],"schema":"https://github.com/citation-style-language/schema/raw/master/csl-citation.json"} </w:instrText>
      </w:r>
      <w:r w:rsidRPr="000C01CA" w:rsidR="000703F4">
        <w:rPr>
          <w:rFonts w:ascii="Times New Roman" w:hAnsi="Times New Roman" w:cs="Times New Roman"/>
          <w:sz w:val="24"/>
          <w:szCs w:val="24"/>
        </w:rPr>
        <w:fldChar w:fldCharType="separate"/>
      </w:r>
      <w:r w:rsidRPr="000C01CA" w:rsidR="000703F4">
        <w:rPr>
          <w:rFonts w:ascii="Times New Roman" w:hAnsi="Times New Roman" w:cs="Times New Roman"/>
          <w:sz w:val="24"/>
        </w:rPr>
        <w:t>[30]</w:t>
      </w:r>
      <w:r w:rsidRPr="000C01CA" w:rsidR="000703F4">
        <w:rPr>
          <w:rFonts w:ascii="Times New Roman" w:hAnsi="Times New Roman" w:cs="Times New Roman"/>
          <w:sz w:val="24"/>
          <w:szCs w:val="24"/>
        </w:rPr>
        <w:fldChar w:fldCharType="end"/>
      </w:r>
      <w:r w:rsidRPr="000C01CA">
        <w:rPr>
          <w:rFonts w:ascii="Times New Roman" w:hAnsi="Times New Roman" w:cs="Times New Roman"/>
          <w:sz w:val="24"/>
          <w:szCs w:val="24"/>
        </w:rPr>
        <w:t>.</w:t>
      </w:r>
    </w:p>
    <w:p w:rsidRPr="000C01CA" w:rsidR="00CD530B" w:rsidP="00102447" w:rsidRDefault="00CD530B" w14:paraId="522846E2" w14:textId="77777777">
      <w:pPr>
        <w:spacing w:line="360" w:lineRule="auto"/>
        <w:jc w:val="both"/>
        <w:rPr>
          <w:rFonts w:ascii="Times New Roman" w:hAnsi="Times New Roman" w:cs="Times New Roman"/>
          <w:b/>
          <w:sz w:val="24"/>
          <w:szCs w:val="24"/>
        </w:rPr>
      </w:pPr>
      <w:r w:rsidRPr="000C01CA">
        <w:rPr>
          <w:rFonts w:ascii="Times New Roman" w:hAnsi="Times New Roman" w:cs="Times New Roman"/>
          <w:b/>
          <w:sz w:val="24"/>
          <w:szCs w:val="24"/>
        </w:rPr>
        <w:t>I</w:t>
      </w:r>
      <w:r w:rsidRPr="000C01CA" w:rsidR="00493FE5">
        <w:rPr>
          <w:rFonts w:ascii="Times New Roman" w:hAnsi="Times New Roman" w:cs="Times New Roman"/>
          <w:b/>
          <w:sz w:val="24"/>
          <w:szCs w:val="24"/>
        </w:rPr>
        <w:t>V.4. P</w:t>
      </w:r>
      <w:r w:rsidRPr="000C01CA">
        <w:rPr>
          <w:rFonts w:ascii="Times New Roman" w:hAnsi="Times New Roman" w:cs="Times New Roman"/>
          <w:b/>
          <w:sz w:val="24"/>
          <w:szCs w:val="24"/>
        </w:rPr>
        <w:t>erformance</w:t>
      </w:r>
      <w:r w:rsidRPr="000C01CA" w:rsidR="00493FE5">
        <w:rPr>
          <w:rFonts w:ascii="Times New Roman" w:hAnsi="Times New Roman" w:cs="Times New Roman"/>
          <w:b/>
          <w:sz w:val="24"/>
          <w:szCs w:val="24"/>
        </w:rPr>
        <w:t xml:space="preserve"> indicators</w:t>
      </w:r>
    </w:p>
    <w:p w:rsidRPr="000C01CA" w:rsidR="00493FE5" w:rsidP="00102447" w:rsidRDefault="00493FE5" w14:paraId="6E341CDF" w14:textId="77777777">
      <w:pPr>
        <w:spacing w:line="360" w:lineRule="auto"/>
        <w:ind w:firstLine="720"/>
        <w:jc w:val="both"/>
        <w:rPr>
          <w:rFonts w:ascii="Times New Roman" w:hAnsi="Times New Roman" w:cs="Times New Roman"/>
          <w:sz w:val="24"/>
          <w:szCs w:val="24"/>
        </w:rPr>
      </w:pPr>
      <w:r w:rsidRPr="000C01CA">
        <w:rPr>
          <w:rFonts w:ascii="Times New Roman" w:hAnsi="Times New Roman" w:cs="Times New Roman"/>
          <w:sz w:val="24"/>
          <w:szCs w:val="24"/>
        </w:rPr>
        <w:t>The performance of AV systems is assessed using indicators that combine energy efficiency and agricultural productivity.</w:t>
      </w:r>
    </w:p>
    <w:p w:rsidRPr="008B369E" w:rsidR="00493FE5" w:rsidP="008B369E" w:rsidRDefault="00493FE5" w14:paraId="60448FDF" w14:textId="6E7E99AB">
      <w:pPr>
        <w:pStyle w:val="ListParagraph"/>
        <w:numPr>
          <w:ilvl w:val="0"/>
          <w:numId w:val="24"/>
        </w:numPr>
        <w:spacing w:line="360" w:lineRule="auto"/>
        <w:jc w:val="both"/>
        <w:rPr>
          <w:rFonts w:ascii="Times New Roman" w:hAnsi="Times New Roman" w:cs="Times New Roman"/>
          <w:sz w:val="24"/>
          <w:szCs w:val="24"/>
        </w:rPr>
      </w:pPr>
      <w:r w:rsidRPr="008B369E">
        <w:rPr>
          <w:rFonts w:ascii="Times New Roman" w:hAnsi="Times New Roman" w:cs="Times New Roman"/>
          <w:sz w:val="24"/>
          <w:szCs w:val="24"/>
        </w:rPr>
        <w:t>Land-energy ratio (LER)</w:t>
      </w:r>
    </w:p>
    <w:p w:rsidRPr="00AF2B57" w:rsidR="007577B5" w:rsidP="00102447" w:rsidRDefault="00AF2B57" w14:paraId="320D12F0" w14:textId="1AE6BC11">
      <w:pPr>
        <w:spacing w:line="360" w:lineRule="auto"/>
        <w:jc w:val="both"/>
        <w:rPr>
          <w:rFonts w:eastAsiaTheme="minorEastAsia"/>
          <w:sz w:val="24"/>
          <w:szCs w:val="24"/>
        </w:rPr>
      </w:pPr>
      <m:oMathPara>
        <m:oMath>
          <m:eqArr>
            <m:eqArrPr>
              <m:maxDist m:val="1"/>
              <m:ctrlPr>
                <w:rPr>
                  <w:rFonts w:ascii="Cambria Math" w:hAnsi="Cambria Math" w:cs="Times New Roman"/>
                  <w:i/>
                  <w:sz w:val="24"/>
                  <w:szCs w:val="24"/>
                </w:rPr>
              </m:ctrlPr>
            </m:eqArrPr>
            <m:e>
              <m:sSub>
                <m:sSubPr>
                  <m:ctrlPr>
                    <w:rPr>
                      <w:rFonts w:ascii="Cambria Math" w:hAnsi="Cambria Math" w:cs="Times New Roman"/>
                      <w:sz w:val="24"/>
                      <w:szCs w:val="24"/>
                    </w:rPr>
                  </m:ctrlPr>
                </m:sSubPr>
                <m:e>
                  <m:r>
                    <m:rPr>
                      <m:sty m:val="p"/>
                    </m:rPr>
                    <w:rPr>
                      <w:rFonts w:ascii="Cambria Math" w:hAnsi="Cambria Math" w:cs="Times New Roman"/>
                      <w:sz w:val="24"/>
                      <w:szCs w:val="24"/>
                    </w:rPr>
                    <m:t>Y</m:t>
                  </m:r>
                </m:e>
                <m:sub>
                  <m:r>
                    <m:rPr>
                      <m:sty m:val="p"/>
                    </m:rPr>
                    <w:rPr>
                      <w:rFonts w:ascii="Cambria Math" w:hAnsi="Cambria Math" w:cs="Times New Roman"/>
                      <w:sz w:val="24"/>
                      <w:szCs w:val="24"/>
                    </w:rPr>
                    <m:t>PAR,AV</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sSub>
                    <m:sSubPr>
                      <m:ctrlPr>
                        <w:rPr>
                          <w:rFonts w:ascii="Cambria Math" w:hAnsi="Cambria Math" w:cs="Times New Roman"/>
                          <w:sz w:val="24"/>
                          <w:szCs w:val="24"/>
                        </w:rPr>
                      </m:ctrlPr>
                    </m:sSubPr>
                    <m:e>
                      <m:r>
                        <m:rPr>
                          <m:sty m:val="p"/>
                        </m:rPr>
                        <w:rPr>
                          <w:rFonts w:ascii="Cambria Math" w:hAnsi="Cambria Math" w:cs="Times New Roman"/>
                          <w:sz w:val="24"/>
                          <w:szCs w:val="24"/>
                        </w:rPr>
                        <m:t>PAR</m:t>
                      </m:r>
                    </m:e>
                    <m:sub>
                      <m:r>
                        <m:rPr>
                          <m:sty m:val="p"/>
                        </m:rPr>
                        <w:rPr>
                          <w:rFonts w:ascii="Cambria Math" w:hAnsi="Cambria Math" w:cs="Times New Roman"/>
                          <w:sz w:val="24"/>
                          <w:szCs w:val="24"/>
                        </w:rPr>
                        <m:t>Th</m:t>
                      </m:r>
                    </m:sub>
                  </m:sSub>
                </m:den>
              </m:f>
              <m:nary>
                <m:naryPr>
                  <m:limLoc m:val="subSup"/>
                  <m:ctrlPr>
                    <w:rPr>
                      <w:rFonts w:ascii="Cambria Math" w:hAnsi="Cambria Math" w:cs="Times New Roman"/>
                      <w:sz w:val="24"/>
                      <w:szCs w:val="24"/>
                    </w:rPr>
                  </m:ctrlPr>
                </m:naryPr>
                <m:sub>
                  <m:r>
                    <m:rPr>
                      <m:sty m:val="p"/>
                    </m:rPr>
                    <w:rPr>
                      <w:rFonts w:ascii="Cambria Math" w:hAnsi="Cambria Math" w:cs="Times New Roman"/>
                      <w:sz w:val="24"/>
                      <w:szCs w:val="24"/>
                    </w:rPr>
                    <m:t>0</m:t>
                  </m:r>
                </m:sub>
                <m:sup>
                  <m:r>
                    <m:rPr>
                      <m:sty m:val="p"/>
                    </m:rPr>
                    <w:rPr>
                      <w:rFonts w:ascii="Cambria Math" w:hAnsi="Cambria Math" w:cs="Times New Roman"/>
                      <w:sz w:val="24"/>
                      <w:szCs w:val="24"/>
                    </w:rPr>
                    <m:t>t</m:t>
                  </m:r>
                </m:sup>
                <m:e>
                  <m:r>
                    <m:rPr>
                      <m:sty m:val="p"/>
                    </m:rPr>
                    <w:rPr>
                      <w:rFonts w:ascii="Cambria Math" w:hAnsi="Cambria Math" w:cs="Times New Roman"/>
                      <w:sz w:val="24"/>
                      <w:szCs w:val="24"/>
                    </w:rPr>
                    <m:t>PAR</m:t>
                  </m:r>
                  <m:d>
                    <m:dPr>
                      <m:ctrlPr>
                        <w:rPr>
                          <w:rFonts w:ascii="Cambria Math" w:hAnsi="Cambria Math" w:cs="Times New Roman"/>
                          <w:sz w:val="24"/>
                          <w:szCs w:val="24"/>
                        </w:rPr>
                      </m:ctrlPr>
                    </m:dPr>
                    <m:e>
                      <m:r>
                        <m:rPr>
                          <m:sty m:val="p"/>
                        </m:rPr>
                        <w:rPr>
                          <w:rFonts w:ascii="Cambria Math" w:hAnsi="Cambria Math" w:cs="Times New Roman"/>
                          <w:sz w:val="24"/>
                          <w:szCs w:val="24"/>
                        </w:rPr>
                        <m:t>x,t</m:t>
                      </m:r>
                    </m:e>
                  </m:d>
                  <m:r>
                    <m:rPr>
                      <m:sty m:val="p"/>
                    </m:rPr>
                    <w:rPr>
                      <w:rFonts w:ascii="Cambria Math" w:hAnsi="Cambria Math" w:cs="Times New Roman"/>
                      <w:sz w:val="24"/>
                      <w:szCs w:val="24"/>
                    </w:rPr>
                    <m:t>.dt</m:t>
                  </m:r>
                </m:e>
              </m:nary>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7</m:t>
                  </m:r>
                </m:e>
              </m:d>
            </m:e>
          </m:eqArr>
        </m:oMath>
      </m:oMathPara>
    </w:p>
    <w:p w:rsidR="00086FB7" w:rsidP="00102447" w:rsidRDefault="005E5BBB" w14:paraId="45EB2F2B" w14:textId="07D98C1A">
      <w:pPr>
        <w:spacing w:line="360" w:lineRule="auto"/>
        <w:jc w:val="both"/>
        <w:rPr>
          <w:rFonts w:ascii="Times New Roman" w:hAnsi="Times New Roman" w:cs="Times New Roman"/>
          <w:sz w:val="24"/>
          <w:szCs w:val="24"/>
        </w:rPr>
      </w:pPr>
      <w:r w:rsidRPr="000C01CA">
        <w:rPr>
          <w:rFonts w:ascii="Times New Roman" w:hAnsi="Times New Roman" w:cs="Times New Roman"/>
          <w:sz w:val="24"/>
          <w:szCs w:val="24"/>
        </w:rPr>
        <w:t>H</w:t>
      </w:r>
      <w:r w:rsidRPr="000C01CA" w:rsidR="00493FE5">
        <w:rPr>
          <w:rFonts w:ascii="Times New Roman" w:hAnsi="Times New Roman" w:cs="Times New Roman"/>
          <w:sz w:val="24"/>
          <w:szCs w:val="24"/>
        </w:rPr>
        <w:t>ere</w:t>
      </w:r>
      <w:r w:rsidRPr="000C01CA">
        <w:rPr>
          <w:rFonts w:ascii="Times New Roman" w:hAnsi="Times New Roman" w:cs="Times New Roman"/>
          <w:sz w:val="24"/>
          <w:szCs w:val="24"/>
        </w:rPr>
        <w:t>,</w:t>
      </w:r>
      <w:r w:rsidRPr="000C01CA" w:rsidR="00493FE5">
        <w:rPr>
          <w:rFonts w:ascii="Times New Roman" w:hAnsi="Times New Roman" w:cs="Times New Roman"/>
          <w:sz w:val="24"/>
          <w:szCs w:val="24"/>
        </w:rPr>
        <w:t xml:space="preserve"> </w:t>
      </w:r>
      <m:oMath>
        <m:r>
          <m:rPr>
            <m:sty m:val="p"/>
          </m:rPr>
          <w:rPr>
            <w:rFonts w:ascii="Cambria Math" w:hAnsi="Cambria Math" w:cs="Times New Roman"/>
            <w:sz w:val="24"/>
            <w:szCs w:val="24"/>
          </w:rPr>
          <m:t>PA</m:t>
        </m:r>
        <m:sSub>
          <m:sSubPr>
            <m:ctrlPr>
              <w:rPr>
                <w:rFonts w:ascii="Cambria Math" w:hAnsi="Cambria Math" w:cs="Times New Roman"/>
                <w:sz w:val="24"/>
                <w:szCs w:val="24"/>
              </w:rPr>
            </m:ctrlPr>
          </m:sSubPr>
          <m:e>
            <m:r>
              <m:rPr>
                <m:sty m:val="p"/>
              </m:rPr>
              <w:rPr>
                <w:rFonts w:ascii="Cambria Math" w:hAnsi="Cambria Math" w:cs="Times New Roman"/>
                <w:sz w:val="24"/>
                <w:szCs w:val="24"/>
              </w:rPr>
              <m:t>R</m:t>
            </m:r>
          </m:e>
          <m:sub>
            <m:r>
              <m:rPr>
                <m:sty m:val="p"/>
              </m:rPr>
              <w:rPr>
                <w:rFonts w:ascii="Cambria Math" w:hAnsi="Cambria Math" w:cs="Times New Roman"/>
                <w:sz w:val="24"/>
                <w:szCs w:val="24"/>
              </w:rPr>
              <m:t xml:space="preserve">Th </m:t>
            </m:r>
          </m:sub>
        </m:sSub>
      </m:oMath>
      <w:r w:rsidRPr="000C01CA" w:rsidR="00493FE5">
        <w:rPr>
          <w:rFonts w:ascii="Times New Roman" w:hAnsi="Times New Roman" w:cs="Times New Roman"/>
          <w:sz w:val="24"/>
          <w:szCs w:val="24"/>
        </w:rPr>
        <w:t xml:space="preserve"> </w:t>
      </w:r>
      <w:r w:rsidRPr="000C01CA">
        <w:rPr>
          <w:rFonts w:ascii="Times New Roman" w:hAnsi="Times New Roman" w:cs="Times New Roman"/>
          <w:sz w:val="24"/>
          <w:szCs w:val="24"/>
        </w:rPr>
        <w:t>denotes the crop-specific photosynthetic saturation threshold and represents the fraction of incoming radiation effectively used for photosynthesis</w:t>
      </w:r>
      <w:r w:rsidRPr="000C01CA" w:rsidR="00AD4370">
        <w:rPr>
          <w:rFonts w:ascii="Times New Roman" w:hAnsi="Times New Roman" w:cs="Times New Roman"/>
          <w:sz w:val="24"/>
          <w:szCs w:val="24"/>
        </w:rPr>
        <w:t xml:space="preserve"> </w:t>
      </w:r>
      <w:r w:rsidRPr="000C01CA" w:rsidR="000703F4">
        <w:rPr>
          <w:rFonts w:ascii="Times New Roman" w:hAnsi="Times New Roman" w:cs="Times New Roman"/>
          <w:sz w:val="24"/>
          <w:szCs w:val="24"/>
        </w:rPr>
        <w:fldChar w:fldCharType="begin"/>
      </w:r>
      <w:r w:rsidRPr="000C01CA" w:rsidR="000703F4">
        <w:rPr>
          <w:rFonts w:ascii="Times New Roman" w:hAnsi="Times New Roman" w:cs="Times New Roman"/>
          <w:sz w:val="24"/>
          <w:szCs w:val="24"/>
        </w:rPr>
        <w:instrText xml:space="preserve"> ADDIN ZOTERO_ITEM CSL_CITATION {"citationID":"iHEihP6w","properties":{"formattedCitation":"[11]","plainCitation":"[11]","noteIndex":0},"citationItems":[{"id":50,"uris":["http://zotero.org/users/local/NWCAR5we/items/6JDDGFCG"],"itemData":{"id":50,"type":"article-journal","abstract":"Agrivoltaics (AV) is an emerging technology having symbiotic beneﬁts for food-energy-water needs of the growing world population and an inherent resilience against climate vulnerabilities. An AV system needs to balance the sunlight sharing between the solar panels and crops to maintain the desired food-energy yields, subject to appropriate constraints. Given the emerging diversity of monofacial and bifacial farms, the lack of a standardized crop-speciﬁc metric (to evaluate the efﬁcacy of the irradiance sharing) has made it difﬁcult to optimize/assess the performance of AV systems. Here, we introduce a new metric—light productivity factor (LPF)—that evaluates the effectiveness of irradiance sharing for a given crop type and photovoltaic (PV) array design. The metric allows us to identify optimal design parameters including the spatial PV array density, panel orientation, and single axis tracking schemes speciﬁc to the photosynthetically active radiation needs of the crop. By deﬁnition, LPF equals 1 for PV-only or crop-only systems. The AV systems enhances LPF between 1 and 2 depending on the shade sensitivity of the crop, PV array conﬁguration, and the season. While traditional ﬁxed-tilt systems increase LPF signiﬁcantly above 1, we ﬁnd LPF is maximized at 2 for shade-tolerant crops with a solar farm based on single axis sun tracking scheme. Among the ﬁxed tilt systems, east/west faced bifacial vertical solar farms is particularly promising because it produces smallest variability in the seasonal yield for shade sensitive crops, while providing LPF comparable to the standard N/S faced solar farms. Additional beneﬁts include reduced soiling and ease of movement of large-scale combine-harvester and other farming equipment.","container-title":"IEEE Journal of Photovoltaics","DOI":"10.1109/JPHOTOV.2021.3136158","ISSN":"2156-3381, 2156-3403","issue":"2","journalAbbreviation":"IEEE J. Photovoltaics","language":"en","license":"https://ieeexplore.ieee.org/Xplorehelp/downloads/license-information/IEEE.html","page":"572-580","source":"DOI.org (Crossref)","title":"Crop-Specific Optimization of Bifacial PV Arrays for Agrivoltaic Food-Energy Production: The Light-Productivity-Factor Approach","title-short":"Crop-Specific Optimization of Bifacial PV Arrays for Agrivoltaic Food-Energy Production","volume":"12","author":[{"family":"Riaz","given":"Muhammad Hussnain"},{"family":"Imran","given":"Hassan"},{"family":"Alam","given":"Habeel"},{"family":"Alam","given":"Muhammad Ashraful"},{"family":"Butt","given":"Nauman Zafar"}],"issued":{"date-parts":[["2022",3]]}}}],"schema":"https://github.com/citation-style-language/schema/raw/master/csl-citation.json"} </w:instrText>
      </w:r>
      <w:r w:rsidRPr="000C01CA" w:rsidR="000703F4">
        <w:rPr>
          <w:rFonts w:ascii="Times New Roman" w:hAnsi="Times New Roman" w:cs="Times New Roman"/>
          <w:sz w:val="24"/>
          <w:szCs w:val="24"/>
        </w:rPr>
        <w:fldChar w:fldCharType="separate"/>
      </w:r>
      <w:r w:rsidRPr="000C01CA" w:rsidR="000703F4">
        <w:rPr>
          <w:rFonts w:ascii="Times New Roman" w:hAnsi="Times New Roman" w:cs="Times New Roman"/>
          <w:sz w:val="24"/>
        </w:rPr>
        <w:t>[11]</w:t>
      </w:r>
      <w:r w:rsidRPr="000C01CA" w:rsidR="000703F4">
        <w:rPr>
          <w:rFonts w:ascii="Times New Roman" w:hAnsi="Times New Roman" w:cs="Times New Roman"/>
          <w:sz w:val="24"/>
          <w:szCs w:val="24"/>
        </w:rPr>
        <w:fldChar w:fldCharType="end"/>
      </w:r>
      <w:r w:rsidRPr="000C01CA" w:rsidR="00493FE5">
        <w:rPr>
          <w:rFonts w:ascii="Times New Roman" w:hAnsi="Times New Roman" w:cs="Times New Roman"/>
          <w:sz w:val="24"/>
          <w:szCs w:val="24"/>
        </w:rPr>
        <w:t>.</w:t>
      </w:r>
    </w:p>
    <w:p w:rsidRPr="000C01CA" w:rsidR="008B369E" w:rsidP="00102447" w:rsidRDefault="008B369E" w14:paraId="1F1808BF" w14:textId="77777777">
      <w:pPr>
        <w:spacing w:line="360" w:lineRule="auto"/>
        <w:jc w:val="both"/>
        <w:rPr>
          <w:rFonts w:ascii="Times New Roman" w:hAnsi="Times New Roman" w:cs="Times New Roman"/>
          <w:sz w:val="24"/>
          <w:szCs w:val="24"/>
        </w:rPr>
      </w:pPr>
    </w:p>
    <w:p w:rsidRPr="008B369E" w:rsidR="00493FE5" w:rsidP="008B369E" w:rsidRDefault="00493FE5" w14:paraId="17FB7BE7" w14:textId="2538BE0D">
      <w:pPr>
        <w:pStyle w:val="ListParagraph"/>
        <w:numPr>
          <w:ilvl w:val="0"/>
          <w:numId w:val="24"/>
        </w:numPr>
        <w:spacing w:line="360" w:lineRule="auto"/>
        <w:jc w:val="both"/>
        <w:rPr>
          <w:rFonts w:ascii="Times New Roman" w:hAnsi="Times New Roman" w:cs="Times New Roman"/>
          <w:sz w:val="24"/>
          <w:szCs w:val="24"/>
        </w:rPr>
      </w:pPr>
      <w:r w:rsidRPr="008B369E">
        <w:rPr>
          <w:rFonts w:ascii="Times New Roman" w:hAnsi="Times New Roman" w:cs="Times New Roman"/>
          <w:sz w:val="24"/>
          <w:szCs w:val="24"/>
        </w:rPr>
        <w:t>Light productivity factor (LPF)</w:t>
      </w:r>
    </w:p>
    <w:p w:rsidRPr="000C01CA" w:rsidR="00CD530B" w:rsidP="00102447" w:rsidRDefault="00FF3FBC" w14:paraId="25CD0916" w14:textId="77777777">
      <w:pPr>
        <w:spacing w:line="360" w:lineRule="auto"/>
        <w:jc w:val="both"/>
        <w:rPr>
          <w:rFonts w:ascii="Times New Roman" w:hAnsi="Times New Roman" w:cs="Times New Roman" w:eastAsiaTheme="minorEastAsia"/>
          <w:iCs/>
          <w:sz w:val="24"/>
          <w:szCs w:val="24"/>
        </w:rPr>
      </w:pPr>
      <m:oMathPara>
        <m:oMath>
          <m:eqArr>
            <m:eqArrPr>
              <m:maxDist m:val="1"/>
              <m:ctrlPr>
                <w:rPr>
                  <w:rFonts w:ascii="Cambria Math" w:hAnsi="Cambria Math" w:cs="Times New Roman"/>
                  <w:sz w:val="24"/>
                  <w:szCs w:val="24"/>
                </w:rPr>
              </m:ctrlPr>
            </m:eqArrPr>
            <m:e>
              <m:r>
                <m:rPr>
                  <m:sty m:val="p"/>
                </m:rPr>
                <w:rPr>
                  <w:rFonts w:ascii="Cambria Math" w:hAnsi="Cambria Math" w:cs="Times New Roman"/>
                  <w:sz w:val="24"/>
                  <w:szCs w:val="24"/>
                </w:rPr>
                <m:t>LPF=</m:t>
              </m:r>
              <m:sSub>
                <m:sSubPr>
                  <m:ctrlPr>
                    <w:rPr>
                      <w:rFonts w:ascii="Cambria Math" w:hAnsi="Cambria Math" w:cs="Times New Roman"/>
                      <w:sz w:val="24"/>
                      <w:szCs w:val="24"/>
                    </w:rPr>
                  </m:ctrlPr>
                </m:sSubPr>
                <m:e>
                  <m:r>
                    <m:rPr>
                      <m:sty m:val="p"/>
                    </m:rPr>
                    <w:rPr>
                      <w:rFonts w:ascii="Cambria Math" w:hAnsi="Cambria Math" w:cs="Times New Roman"/>
                      <w:sz w:val="24"/>
                      <w:szCs w:val="24"/>
                    </w:rPr>
                    <m:t>Y</m:t>
                  </m:r>
                </m:e>
                <m:sub>
                  <m:r>
                    <m:rPr>
                      <m:sty m:val="p"/>
                    </m:rPr>
                    <w:rPr>
                      <w:rFonts w:ascii="Cambria Math" w:hAnsi="Cambria Math" w:cs="Times New Roman"/>
                      <w:sz w:val="24"/>
                      <w:szCs w:val="24"/>
                    </w:rPr>
                    <m:t>PAR</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Y</m:t>
                  </m:r>
                </m:e>
                <m:sub>
                  <m:r>
                    <m:rPr>
                      <m:sty m:val="p"/>
                    </m:rPr>
                    <w:rPr>
                      <w:rFonts w:ascii="Cambria Math" w:hAnsi="Cambria Math" w:cs="Times New Roman"/>
                      <w:sz w:val="24"/>
                      <w:szCs w:val="24"/>
                    </w:rPr>
                    <m:t>PV</m:t>
                  </m:r>
                </m:sub>
              </m:sSub>
              <m:r>
                <m:rPr>
                  <m:sty m:val="p"/>
                </m:rPr>
                <w:rPr>
                  <w:rFonts w:ascii="Cambria Math" w:hAnsi="Cambria Math" w:cs="Times New Roman"/>
                  <w:sz w:val="24"/>
                  <w:szCs w:val="24"/>
                </w:rPr>
                <m:t>#</m:t>
              </m:r>
              <m:d>
                <m:dPr>
                  <m:ctrlPr>
                    <w:rPr>
                      <w:rFonts w:ascii="Cambria Math" w:hAnsi="Cambria Math" w:cs="Times New Roman"/>
                      <w:sz w:val="24"/>
                      <w:szCs w:val="24"/>
                    </w:rPr>
                  </m:ctrlPr>
                </m:dPr>
                <m:e>
                  <m:r>
                    <m:rPr>
                      <m:sty m:val="p"/>
                    </m:rPr>
                    <w:rPr>
                      <w:rFonts w:ascii="Cambria Math" w:hAnsi="Cambria Math" w:cs="Times New Roman"/>
                      <w:sz w:val="24"/>
                      <w:szCs w:val="24"/>
                    </w:rPr>
                    <m:t>8</m:t>
                  </m:r>
                </m:e>
              </m:d>
              <m:ctrlPr>
                <w:rPr>
                  <w:rFonts w:ascii="Cambria Math" w:hAnsi="Cambria Math" w:cs="Times New Roman"/>
                  <w:iCs/>
                  <w:sz w:val="24"/>
                  <w:szCs w:val="24"/>
                </w:rPr>
              </m:ctrlPr>
            </m:e>
          </m:eqArr>
        </m:oMath>
      </m:oMathPara>
    </w:p>
    <w:p w:rsidRPr="000C01CA" w:rsidR="00493FE5" w:rsidP="00102447" w:rsidRDefault="00493FE5" w14:paraId="289EFB3E" w14:textId="74A2C296">
      <w:pPr>
        <w:spacing w:line="360" w:lineRule="auto"/>
        <w:jc w:val="both"/>
        <w:rPr>
          <w:rFonts w:ascii="Times New Roman" w:hAnsi="Times New Roman" w:cs="Times New Roman"/>
          <w:sz w:val="24"/>
          <w:szCs w:val="24"/>
        </w:rPr>
      </w:pPr>
      <w:r w:rsidRPr="43844335" w:rsidR="667F24A5">
        <w:rPr>
          <w:rFonts w:ascii="Times New Roman" w:hAnsi="Times New Roman" w:cs="Times New Roman"/>
          <w:sz w:val="24"/>
          <w:szCs w:val="24"/>
        </w:rPr>
        <w:t>This indicator summarizes the joint performance of the system, considering crop light productivity and photovoltaic productivity [11].</w:t>
      </w:r>
    </w:p>
    <w:p w:rsidRPr="000C01CA" w:rsidR="0061561F" w:rsidP="00102447" w:rsidRDefault="0061561F" w14:paraId="76194FEA" w14:textId="77777777">
      <w:pPr>
        <w:spacing w:line="360" w:lineRule="auto"/>
        <w:jc w:val="both"/>
        <w:rPr>
          <w:rFonts w:ascii="Times New Roman" w:hAnsi="Times New Roman" w:cs="Times New Roman"/>
          <w:b/>
          <w:bCs/>
          <w:sz w:val="24"/>
          <w:szCs w:val="24"/>
        </w:rPr>
      </w:pPr>
      <w:r w:rsidRPr="000C01CA">
        <w:rPr>
          <w:rFonts w:ascii="Times New Roman" w:hAnsi="Times New Roman" w:cs="Times New Roman"/>
          <w:b/>
          <w:bCs/>
          <w:sz w:val="24"/>
          <w:szCs w:val="24"/>
        </w:rPr>
        <w:t>IV.5. Mathematical Formalism of the Anaerobic Digestion (AD) and Biogas Subsystem</w:t>
      </w:r>
    </w:p>
    <w:p w:rsidRPr="000C01CA" w:rsidR="00605D08" w:rsidP="00102447" w:rsidRDefault="0061561F" w14:paraId="441BAE68" w14:textId="77777777">
      <w:pPr>
        <w:spacing w:line="360" w:lineRule="auto"/>
        <w:ind w:firstLine="720"/>
        <w:jc w:val="both"/>
        <w:rPr>
          <w:rFonts w:ascii="Times New Roman" w:hAnsi="Times New Roman" w:cs="Times New Roman"/>
          <w:bCs/>
          <w:sz w:val="24"/>
          <w:szCs w:val="24"/>
        </w:rPr>
      </w:pPr>
      <w:r w:rsidRPr="000C01CA">
        <w:rPr>
          <w:rFonts w:ascii="Times New Roman" w:hAnsi="Times New Roman" w:cs="Times New Roman"/>
          <w:bCs/>
          <w:sz w:val="24"/>
          <w:szCs w:val="24"/>
        </w:rPr>
        <w:t xml:space="preserve">Modeling the anaerobic digestion subsystem is essential to ensure stable and predictable biogas production, a major asset in compensating for the intermittency of renewable energy sources (RES). </w:t>
      </w:r>
    </w:p>
    <w:p w:rsidRPr="000C01CA" w:rsidR="0061561F" w:rsidP="00102447" w:rsidRDefault="0061561F" w14:paraId="74FEA2EC" w14:textId="77777777">
      <w:pPr>
        <w:spacing w:line="360" w:lineRule="auto"/>
        <w:jc w:val="both"/>
        <w:rPr>
          <w:rFonts w:ascii="Times New Roman" w:hAnsi="Times New Roman" w:cs="Times New Roman"/>
          <w:b/>
          <w:bCs/>
          <w:sz w:val="24"/>
          <w:szCs w:val="24"/>
        </w:rPr>
      </w:pPr>
      <w:r w:rsidRPr="000C01CA">
        <w:rPr>
          <w:rFonts w:ascii="Times New Roman" w:hAnsi="Times New Roman" w:cs="Times New Roman"/>
          <w:b/>
          <w:bCs/>
          <w:sz w:val="24"/>
          <w:szCs w:val="24"/>
        </w:rPr>
        <w:t>IV.5.1. Stoichiometric Modeling and Energy Input Potential</w:t>
      </w:r>
    </w:p>
    <w:p w:rsidR="007577B5" w:rsidP="43844335" w:rsidRDefault="0061561F" w14:paraId="67BD1B16" w14:textId="14684CE4">
      <w:pPr>
        <w:spacing w:line="360" w:lineRule="auto"/>
        <w:ind w:firstLine="720"/>
        <w:jc w:val="both"/>
        <w:rPr>
          <w:rFonts w:ascii="Times New Roman" w:hAnsi="Times New Roman" w:cs="Times New Roman"/>
          <w:sz w:val="24"/>
          <w:szCs w:val="24"/>
        </w:rPr>
      </w:pPr>
      <w:r w:rsidRPr="43844335" w:rsidR="0061561F">
        <w:rPr>
          <w:rFonts w:ascii="Times New Roman" w:hAnsi="Times New Roman" w:cs="Times New Roman"/>
          <w:sz w:val="24"/>
          <w:szCs w:val="24"/>
        </w:rPr>
        <w:t>The chemical basis of anaerobic digestion is the conversion of organic matter (OM) in the presence of heat and in the absence of oxygen</w:t>
      </w:r>
      <w:r w:rsidRPr="43844335" w:rsidR="001D4AC1">
        <w:rPr>
          <w:rFonts w:ascii="Times New Roman" w:hAnsi="Times New Roman" w:cs="Times New Roman"/>
          <w:sz w:val="24"/>
          <w:szCs w:val="24"/>
        </w:rPr>
        <w:t xml:space="preserve"> </w:t>
      </w:r>
      <w:r w:rsidRPr="43844335">
        <w:rPr>
          <w:rFonts w:ascii="Times New Roman" w:hAnsi="Times New Roman" w:cs="Times New Roman"/>
          <w:sz w:val="24"/>
          <w:szCs w:val="24"/>
        </w:rPr>
        <w:fldChar w:fldCharType="begin"/>
      </w:r>
      <w:r w:rsidRPr="43844335">
        <w:rPr>
          <w:rFonts w:ascii="Times New Roman" w:hAnsi="Times New Roman" w:cs="Times New Roman"/>
          <w:sz w:val="24"/>
          <w:szCs w:val="24"/>
        </w:rPr>
        <w:instrText xml:space="preserve"> ADDIN ZOTERO_ITEM CSL_CITATION {"citationID":"y6bAlWI6","properties":{"formattedCitation":"[20]","plainCitation":"[20]","noteIndex":0},"citationItems":[{"id":36,"uris":["http://zotero.org/users/local/NWCAR5we/items/IQKRPGUY"],"itemData":{"id":36,"type":"article-journal","language":"en","source":"Zotero","title":"Oklahoma Cooperative Extension Service","author":[{"family":"Hamilton","given":"Douglas W"}]}}],"schema":"https://github.com/citation-style-language/schema/raw/master/csl-citation.json"} </w:instrText>
      </w:r>
      <w:r w:rsidRPr="43844335">
        <w:rPr>
          <w:rFonts w:ascii="Times New Roman" w:hAnsi="Times New Roman" w:cs="Times New Roman"/>
          <w:sz w:val="24"/>
          <w:szCs w:val="24"/>
        </w:rPr>
        <w:fldChar w:fldCharType="separate"/>
      </w:r>
      <w:r w:rsidRPr="43844335" w:rsidR="000703F4">
        <w:rPr>
          <w:rFonts w:ascii="Times New Roman" w:hAnsi="Times New Roman" w:cs="Times New Roman"/>
          <w:sz w:val="24"/>
          <w:szCs w:val="24"/>
        </w:rPr>
        <w:t>[20</w:t>
      </w:r>
      <w:r w:rsidRPr="43844335" w:rsidR="000703F4">
        <w:rPr>
          <w:rFonts w:ascii="Times New Roman" w:hAnsi="Times New Roman" w:cs="Times New Roman"/>
          <w:sz w:val="24"/>
          <w:szCs w:val="24"/>
        </w:rPr>
        <w:t>]</w:t>
      </w:r>
      <w:r w:rsidRPr="43844335">
        <w:rPr>
          <w:rFonts w:ascii="Times New Roman" w:hAnsi="Times New Roman" w:cs="Times New Roman"/>
          <w:sz w:val="24"/>
          <w:szCs w:val="24"/>
        </w:rPr>
        <w:fldChar w:fldCharType="end"/>
      </w:r>
      <w:r w:rsidRPr="43844335" w:rsidR="0061561F">
        <w:rPr>
          <w:rFonts w:ascii="Times New Roman" w:hAnsi="Times New Roman" w:cs="Times New Roman"/>
          <w:sz w:val="24"/>
          <w:szCs w:val="24"/>
        </w:rPr>
        <w:t>:</w:t>
      </w:r>
    </w:p>
    <w:p w:rsidRPr="00B75673" w:rsidR="00B75673" w:rsidP="00102447" w:rsidRDefault="00B75673" w14:paraId="69A92B31" w14:textId="77777777">
      <w:pPr>
        <w:spacing w:line="360" w:lineRule="auto"/>
        <w:ind w:firstLine="720"/>
        <w:jc w:val="both"/>
        <w:rPr>
          <w:rFonts w:ascii="Times New Roman" w:hAnsi="Times New Roman" w:cs="Times New Roman" w:eastAsiaTheme="minorEastAsia"/>
          <w:sz w:val="24"/>
          <w:szCs w:val="24"/>
        </w:rPr>
      </w:pPr>
      <m:oMathPara>
        <m:oMath>
          <m:eqArr>
            <m:eqArrPr>
              <m:maxDist m:val="1"/>
              <m:ctrlPr>
                <w:rPr>
                  <w:rFonts w:ascii="Cambria Math" w:hAnsi="Cambria Math" w:cs="Times New Roman"/>
                  <w:sz w:val="24"/>
                  <w:szCs w:val="24"/>
                </w:rPr>
              </m:ctrlPr>
            </m:eqArrPr>
            <m:e>
              <m:r>
                <m:rPr>
                  <m:sty m:val="p"/>
                </m:rPr>
                <w:rPr>
                  <w:rFonts w:ascii="Cambria Math" w:hAnsi="Cambria Math" w:cs="Times New Roman"/>
                  <w:sz w:val="24"/>
                  <w:szCs w:val="24"/>
                </w:rPr>
                <m:t>OM+</m:t>
              </m:r>
              <m:r>
                <m:rPr>
                  <m:sty m:val="p"/>
                </m:rPr>
                <w:rPr>
                  <w:rFonts w:ascii="Cambria Math" w:hAnsi="Cambria Math" w:cs="Times New Roman"/>
                  <w:sz w:val="24"/>
                  <w:szCs w:val="24"/>
                </w:rPr>
                <m:t>Heat</m:t>
              </m:r>
              <m:r>
                <m:rPr>
                  <m:sty m:val="p"/>
                </m:rPr>
                <w:rPr>
                  <w:rFonts w:ascii="Cambria Math" w:hAnsi="Cambria Math" w:cs="Times New Roman"/>
                  <w:sz w:val="24"/>
                  <w:szCs w:val="24"/>
                </w:rPr>
                <m:t xml:space="preserve"> → </m:t>
              </m:r>
              <m:sSub>
                <m:sSubPr>
                  <m:ctrlPr>
                    <w:rPr>
                      <w:rFonts w:ascii="Cambria Math" w:hAnsi="Cambria Math" w:cs="Times New Roman"/>
                      <w:sz w:val="24"/>
                      <w:szCs w:val="24"/>
                    </w:rPr>
                  </m:ctrlPr>
                </m:sSubPr>
                <m:e>
                  <m:r>
                    <m:rPr>
                      <m:sty m:val="p"/>
                    </m:rPr>
                    <w:rPr>
                      <w:rFonts w:ascii="Cambria Math" w:hAnsi="Cambria Math" w:cs="Times New Roman"/>
                      <w:sz w:val="24"/>
                      <w:szCs w:val="24"/>
                    </w:rPr>
                    <m:t>CH</m:t>
                  </m:r>
                </m:e>
                <m:sub>
                  <m:r>
                    <m:rPr>
                      <m:sty m:val="p"/>
                    </m:rPr>
                    <w:rPr>
                      <w:rFonts w:ascii="Cambria Math" w:hAnsi="Cambria Math" w:cs="Times New Roman"/>
                      <w:sz w:val="24"/>
                      <w:szCs w:val="24"/>
                    </w:rPr>
                    <m:t>4</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CO</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O+</m:t>
              </m:r>
              <m:r>
                <m:rPr>
                  <m:sty m:val="p"/>
                </m:rPr>
                <w:rPr>
                  <w:rFonts w:ascii="Cambria Math" w:hAnsi="Cambria Math" w:cs="Times New Roman"/>
                  <w:sz w:val="24"/>
                  <w:szCs w:val="24"/>
                </w:rPr>
                <m:t>E</m:t>
              </m:r>
              <m:r>
                <m:rPr>
                  <m:sty m:val="p"/>
                </m:rPr>
                <w:rPr>
                  <w:rFonts w:ascii="Cambria Math" w:hAnsi="Cambria Math" w:cs="Times New Roman"/>
                  <w:sz w:val="24"/>
                  <w:szCs w:val="24"/>
                </w:rPr>
                <m:t>nerg</m:t>
              </m:r>
              <m:r>
                <m:rPr>
                  <m:sty m:val="p"/>
                </m:rPr>
                <w:rPr>
                  <w:rFonts w:ascii="Cambria Math" w:hAnsi="Cambria Math" w:cs="Times New Roman"/>
                  <w:sz w:val="24"/>
                  <w:szCs w:val="24"/>
                </w:rPr>
                <m:t xml:space="preserve">y </m:t>
              </m:r>
              <m:r>
                <w:rPr>
                  <w:rFonts w:ascii="Cambria Math" w:hAnsi="Cambria Math" w:cs="Times New Roman"/>
                  <w:sz w:val="24"/>
                  <w:szCs w:val="24"/>
                </w:rPr>
                <m:t>#</m:t>
              </m:r>
              <m:d>
                <m:dPr>
                  <m:ctrlPr>
                    <w:rPr>
                      <w:rFonts w:ascii="Cambria Math" w:hAnsi="Cambria Math" w:cs="Times New Roman"/>
                      <w:sz w:val="24"/>
                      <w:szCs w:val="24"/>
                    </w:rPr>
                  </m:ctrlPr>
                </m:dPr>
                <m:e>
                  <m:r>
                    <m:rPr>
                      <m:sty m:val="p"/>
                    </m:rPr>
                    <w:rPr>
                      <w:rFonts w:ascii="Cambria Math" w:hAnsi="Cambria Math" w:cs="Times New Roman"/>
                      <w:sz w:val="24"/>
                      <w:szCs w:val="24"/>
                    </w:rPr>
                    <m:t>9</m:t>
                  </m:r>
                </m:e>
              </m:d>
              <m:ctrlPr>
                <w:rPr>
                  <w:rFonts w:ascii="Cambria Math" w:hAnsi="Cambria Math" w:cs="Times New Roman"/>
                  <w:i/>
                  <w:sz w:val="24"/>
                  <w:szCs w:val="24"/>
                </w:rPr>
              </m:ctrlPr>
            </m:e>
          </m:eqArr>
        </m:oMath>
      </m:oMathPara>
    </w:p>
    <w:p w:rsidR="0061561F" w:rsidP="00102447" w:rsidRDefault="0061561F" w14:paraId="677FCB3A" w14:textId="5CB4948C">
      <w:pPr>
        <w:spacing w:line="360" w:lineRule="auto"/>
        <w:jc w:val="both"/>
        <w:rPr>
          <w:rFonts w:ascii="Times New Roman" w:hAnsi="Times New Roman" w:cs="Times New Roman"/>
          <w:sz w:val="24"/>
          <w:szCs w:val="24"/>
        </w:rPr>
      </w:pPr>
      <w:r w:rsidRPr="43844335" w:rsidR="0061561F">
        <w:rPr>
          <w:rFonts w:ascii="Times New Roman" w:hAnsi="Times New Roman" w:cs="Times New Roman"/>
          <w:sz w:val="24"/>
          <w:szCs w:val="24"/>
        </w:rPr>
        <w:t>Most of the energy produced is stored in the form of methane (CH₄)</w:t>
      </w:r>
      <w:r w:rsidRPr="43844335" w:rsidR="00C251B0">
        <w:rPr>
          <w:rFonts w:ascii="Times New Roman" w:hAnsi="Times New Roman" w:cs="Times New Roman"/>
          <w:sz w:val="24"/>
          <w:szCs w:val="24"/>
        </w:rPr>
        <w:t xml:space="preserve"> </w:t>
      </w:r>
      <w:r w:rsidRPr="43844335">
        <w:rPr>
          <w:rFonts w:ascii="Times New Roman" w:hAnsi="Times New Roman" w:cs="Times New Roman"/>
          <w:sz w:val="24"/>
          <w:szCs w:val="24"/>
        </w:rPr>
        <w:fldChar w:fldCharType="begin"/>
      </w:r>
      <w:r w:rsidRPr="43844335">
        <w:rPr>
          <w:rFonts w:ascii="Times New Roman" w:hAnsi="Times New Roman" w:cs="Times New Roman"/>
          <w:sz w:val="24"/>
          <w:szCs w:val="24"/>
        </w:rPr>
        <w:instrText xml:space="preserve"> ADDIN ZOTERO_ITEM CSL_CITATION {"citationID":"I8w4W1lZ","properties":{"formattedCitation":"[20]","plainCitation":"[20]","noteIndex":0},"citationItems":[{"id":36,"uris":["http://zotero.org/users/local/NWCAR5we/items/IQKRPGUY"],"itemData":{"id":36,"type":"article-journal","language":"en","source":"Zotero","title":"Oklahoma Cooperative Extension Service","author":[{"family":"Hamilton","given":"Douglas W"}]}}],"schema":"https://github.com/citation-style-language/schema/raw/master/csl-citation.json"} </w:instrText>
      </w:r>
      <w:r w:rsidRPr="43844335">
        <w:rPr>
          <w:rFonts w:ascii="Times New Roman" w:hAnsi="Times New Roman" w:cs="Times New Roman"/>
          <w:sz w:val="24"/>
          <w:szCs w:val="24"/>
        </w:rPr>
        <w:fldChar w:fldCharType="separate"/>
      </w:r>
      <w:r w:rsidRPr="43844335" w:rsidR="000703F4">
        <w:rPr>
          <w:rFonts w:ascii="Times New Roman" w:hAnsi="Times New Roman" w:cs="Times New Roman"/>
          <w:sz w:val="24"/>
          <w:szCs w:val="24"/>
        </w:rPr>
        <w:t>[20]</w:t>
      </w:r>
      <w:r w:rsidRPr="43844335">
        <w:rPr>
          <w:rFonts w:ascii="Times New Roman" w:hAnsi="Times New Roman" w:cs="Times New Roman"/>
          <w:sz w:val="24"/>
          <w:szCs w:val="24"/>
        </w:rPr>
        <w:fldChar w:fldCharType="end"/>
      </w:r>
      <w:r w:rsidRPr="43844335" w:rsidR="0061561F">
        <w:rPr>
          <w:rFonts w:ascii="Times New Roman" w:hAnsi="Times New Roman" w:cs="Times New Roman"/>
          <w:sz w:val="24"/>
          <w:szCs w:val="24"/>
        </w:rPr>
        <w:t xml:space="preserve">. </w:t>
      </w:r>
      <w:r w:rsidRPr="43844335" w:rsidR="00BA70EE">
        <w:rPr>
          <w:rFonts w:ascii="Times New Roman" w:hAnsi="Times New Roman" w:cs="Times New Roman"/>
          <w:sz w:val="24"/>
          <w:szCs w:val="24"/>
        </w:rPr>
        <w:t xml:space="preserve">A </w:t>
      </w:r>
      <w:r w:rsidRPr="43844335" w:rsidR="5DC0BA90">
        <w:rPr>
          <w:rFonts w:ascii="Times New Roman" w:hAnsi="Times New Roman" w:cs="Times New Roman"/>
          <w:sz w:val="24"/>
          <w:szCs w:val="24"/>
        </w:rPr>
        <w:t>substrate</w:t>
      </w:r>
      <w:r w:rsidRPr="43844335" w:rsidR="00BA70EE">
        <w:rPr>
          <w:rFonts w:ascii="Times New Roman" w:hAnsi="Times New Roman" w:cs="Times New Roman"/>
          <w:sz w:val="24"/>
          <w:szCs w:val="24"/>
        </w:rPr>
        <w:t xml:space="preserve"> Biochemical Methane Potential (BMP) quantifies its practical methane yield, </w:t>
      </w:r>
      <w:r w:rsidRPr="43844335" w:rsidR="066DE0E5">
        <w:rPr>
          <w:rFonts w:ascii="Times New Roman" w:hAnsi="Times New Roman" w:cs="Times New Roman"/>
          <w:sz w:val="24"/>
          <w:szCs w:val="24"/>
        </w:rPr>
        <w:t>while</w:t>
      </w:r>
      <w:r w:rsidRPr="43844335" w:rsidR="00BA70EE">
        <w:rPr>
          <w:rFonts w:ascii="Times New Roman" w:hAnsi="Times New Roman" w:cs="Times New Roman"/>
          <w:sz w:val="24"/>
          <w:szCs w:val="24"/>
        </w:rPr>
        <w:t xml:space="preserve"> the Theoretical Methane Yield (TMY) provides a stoichiometric upper limit based on its chemical formula</w:t>
      </w:r>
      <w:r w:rsidRPr="43844335" w:rsidR="0061561F">
        <w:rPr>
          <w:rFonts w:ascii="Times New Roman" w:hAnsi="Times New Roman" w:cs="Times New Roman"/>
          <w:sz w:val="24"/>
          <w:szCs w:val="24"/>
        </w:rPr>
        <w:t xml:space="preserve">. Degradability is thus formalized </w:t>
      </w:r>
      <w:r w:rsidRPr="43844335">
        <w:rPr>
          <w:rFonts w:ascii="Times New Roman" w:hAnsi="Times New Roman" w:cs="Times New Roman"/>
          <w:sz w:val="24"/>
          <w:szCs w:val="24"/>
        </w:rPr>
        <w:fldChar w:fldCharType="begin"/>
      </w:r>
      <w:r w:rsidRPr="43844335">
        <w:rPr>
          <w:rFonts w:ascii="Times New Roman" w:hAnsi="Times New Roman" w:cs="Times New Roman"/>
          <w:sz w:val="24"/>
          <w:szCs w:val="24"/>
        </w:rPr>
        <w:instrText xml:space="preserve"> ADDIN ZOTERO_ITEM CSL_CITATION {"citationID":"KZ9MrUGr","properties":{"formattedCitation":"[24]","plainCitation":"[24]","noteIndex":0},"citationItems":[{"id":38,"uris":["http://zotero.org/users/local/NWCAR5we/items/HB7RIJGR"],"itemData":{"id":38,"type":"article-journal","container-title":"BioResources","DOI":"10.15376/biores.8.2.2487-2498","ISSN":"1930-2126","issue":"2","language":"en","page":"2487-2498","source":"DOI.org (Crossref)","title":"Biochemical Methane Potential (BMP) of Vinegar Residue and the Influence of Feed to Inoculum Ratios on Biogas Production","volume":"8","author":[{"family":"Feng","given":"Lu"},{"family":"Li","given":"Yeqing"},{"family":"Chen","given":"Chang"},{"family":"Liu","given":"Xiaoying"},{"family":"Xiao","given":"Xiao"},{"family":"Ma","given":"Xinxin"},{"family":"Zhang","given":"Ruihong"},{"family":"He","given":"Yanfeng"},{"family":"Liu","given":"Guangqing"}],"issued":{"date-parts":[["2013",3,29]]}}}],"schema":"https://github.com/citation-style-language/schema/raw/master/csl-citation.json"} </w:instrText>
      </w:r>
      <w:r w:rsidRPr="43844335">
        <w:rPr>
          <w:rFonts w:ascii="Times New Roman" w:hAnsi="Times New Roman" w:cs="Times New Roman"/>
          <w:sz w:val="24"/>
          <w:szCs w:val="24"/>
        </w:rPr>
        <w:fldChar w:fldCharType="separate"/>
      </w:r>
      <w:r w:rsidRPr="43844335" w:rsidR="000703F4">
        <w:rPr>
          <w:rFonts w:ascii="Times New Roman" w:hAnsi="Times New Roman" w:cs="Times New Roman"/>
          <w:sz w:val="24"/>
          <w:szCs w:val="24"/>
        </w:rPr>
        <w:t>[24</w:t>
      </w:r>
      <w:r w:rsidRPr="43844335" w:rsidR="000703F4">
        <w:rPr>
          <w:rFonts w:ascii="Times New Roman" w:hAnsi="Times New Roman" w:cs="Times New Roman"/>
          <w:sz w:val="24"/>
          <w:szCs w:val="24"/>
        </w:rPr>
        <w:t>]</w:t>
      </w:r>
      <w:r w:rsidRPr="43844335">
        <w:rPr>
          <w:rFonts w:ascii="Times New Roman" w:hAnsi="Times New Roman" w:cs="Times New Roman"/>
          <w:sz w:val="24"/>
          <w:szCs w:val="24"/>
        </w:rPr>
        <w:fldChar w:fldCharType="end"/>
      </w:r>
      <w:r w:rsidRPr="43844335" w:rsidR="0061561F">
        <w:rPr>
          <w:rFonts w:ascii="Times New Roman" w:hAnsi="Times New Roman" w:cs="Times New Roman"/>
          <w:sz w:val="24"/>
          <w:szCs w:val="24"/>
        </w:rPr>
        <w:t xml:space="preserve"> :</w:t>
      </w:r>
    </w:p>
    <w:p w:rsidRPr="00D14E62" w:rsidR="00D14E62" w:rsidP="00102447" w:rsidRDefault="00D14E62" w14:paraId="2AD4CB22" w14:textId="1FE35E91">
      <w:pPr>
        <w:spacing w:line="360" w:lineRule="auto"/>
        <w:jc w:val="both"/>
        <w:rPr>
          <w:rFonts w:ascii="Times New Roman" w:hAnsi="Times New Roman" w:cs="Times New Roman" w:eastAsiaTheme="minorEastAsia"/>
          <w:sz w:val="24"/>
          <w:szCs w:val="24"/>
        </w:rPr>
      </w:pPr>
      <m:oMathPara>
        <m:oMath>
          <m:eqArr>
            <m:eqArrPr>
              <m:maxDist m:val="1"/>
              <m:ctrlPr>
                <w:rPr>
                  <w:rFonts w:ascii="Cambria Math" w:hAnsi="Cambria Math" w:cs="Times New Roman"/>
                  <w:sz w:val="24"/>
                  <w:szCs w:val="24"/>
                </w:rPr>
              </m:ctrlPr>
            </m:eqArrPr>
            <m:e>
              <m:r>
                <m:rPr>
                  <m:sty m:val="p"/>
                </m:rPr>
                <w:rPr>
                  <w:rFonts w:ascii="Cambria Math" w:hAnsi="Cambria Math" w:cs="Times New Roman"/>
                  <w:sz w:val="24"/>
                  <w:szCs w:val="24"/>
                </w:rPr>
                <m:t>Degradability</m:t>
              </m:r>
              <m:d>
                <m:dPr>
                  <m:ctrlPr>
                    <w:rPr>
                      <w:rFonts w:ascii="Cambria Math" w:hAnsi="Cambria Math" w:cs="Times New Roman"/>
                      <w:sz w:val="24"/>
                      <w:szCs w:val="24"/>
                    </w:rPr>
                  </m:ctrlPr>
                </m:dPr>
                <m:e>
                  <m:r>
                    <m:rPr>
                      <m:sty m:val="p"/>
                    </m:rPr>
                    <w:rPr>
                      <w:rFonts w:ascii="Cambria Math" w:hAnsi="Cambria Math" w:cs="Times New Roman"/>
                      <w:sz w:val="24"/>
                      <w:szCs w:val="24"/>
                    </w:rPr>
                    <m:t>%</m:t>
                  </m:r>
                </m:e>
              </m:d>
              <m:r>
                <m:rPr>
                  <m:sty m:val="p"/>
                </m:rPr>
                <w:rPr>
                  <w:rFonts w:ascii="Cambria Math" w:hAnsi="Cambria Math" w:cs="Times New Roman"/>
                  <w:sz w:val="24"/>
                  <w:szCs w:val="24"/>
                </w:rPr>
                <m:t xml:space="preserve">= </m:t>
              </m:r>
              <m:f>
                <m:fPr>
                  <m:ctrlPr>
                    <w:rPr>
                      <w:rFonts w:ascii="Cambria Math" w:hAnsi="Cambria Math" w:cs="Times New Roman"/>
                      <w:sz w:val="24"/>
                      <w:szCs w:val="24"/>
                    </w:rPr>
                  </m:ctrlPr>
                </m:fPr>
                <m:num>
                  <m:r>
                    <m:rPr>
                      <m:sty m:val="p"/>
                    </m:rPr>
                    <w:rPr>
                      <w:rFonts w:ascii="Cambria Math" w:hAnsi="Cambria Math" w:cs="Times New Roman"/>
                      <w:sz w:val="24"/>
                      <w:szCs w:val="24"/>
                    </w:rPr>
                    <m:t>BMP</m:t>
                  </m:r>
                </m:num>
                <m:den>
                  <m:r>
                    <m:rPr>
                      <m:sty m:val="p"/>
                    </m:rPr>
                    <w:rPr>
                      <w:rFonts w:ascii="Cambria Math" w:hAnsi="Cambria Math" w:cs="Times New Roman"/>
                      <w:sz w:val="24"/>
                      <w:szCs w:val="24"/>
                    </w:rPr>
                    <m:t>TBMP</m:t>
                  </m:r>
                </m:den>
              </m:f>
              <m:r>
                <m:rPr>
                  <m:sty m:val="p"/>
                </m:rPr>
                <w:rPr>
                  <w:rFonts w:ascii="Cambria Math" w:hAnsi="Cambria Math" w:cs="Times New Roman"/>
                  <w:sz w:val="24"/>
                  <w:szCs w:val="24"/>
                </w:rPr>
                <m:t>*100%</m:t>
              </m:r>
              <m:r>
                <w:rPr>
                  <w:rFonts w:ascii="Cambria Math" w:hAnsi="Cambria Math" w:cs="Times New Roman"/>
                  <w:sz w:val="24"/>
                  <w:szCs w:val="24"/>
                </w:rPr>
                <m:t>#</m:t>
              </m:r>
              <m:d>
                <m:dPr>
                  <m:ctrlPr>
                    <w:rPr>
                      <w:rFonts w:ascii="Cambria Math" w:hAnsi="Cambria Math" w:cs="Times New Roman"/>
                      <w:sz w:val="24"/>
                      <w:szCs w:val="24"/>
                    </w:rPr>
                  </m:ctrlPr>
                </m:dPr>
                <m:e>
                  <m:r>
                    <m:rPr>
                      <m:sty m:val="p"/>
                    </m:rPr>
                    <w:rPr>
                      <w:rFonts w:ascii="Cambria Math" w:hAnsi="Cambria Math" w:cs="Times New Roman"/>
                      <w:sz w:val="24"/>
                      <w:szCs w:val="24"/>
                    </w:rPr>
                    <m:t>10</m:t>
                  </m:r>
                </m:e>
              </m:d>
              <m:ctrlPr>
                <w:rPr>
                  <w:rFonts w:ascii="Cambria Math" w:hAnsi="Cambria Math" w:cs="Times New Roman"/>
                  <w:i/>
                  <w:sz w:val="24"/>
                  <w:szCs w:val="24"/>
                </w:rPr>
              </m:ctrlPr>
            </m:e>
          </m:eqArr>
        </m:oMath>
      </m:oMathPara>
    </w:p>
    <w:p w:rsidRPr="000C01CA" w:rsidR="00DE61AE" w:rsidP="00102447" w:rsidRDefault="0061561F" w14:paraId="05D0BFD9" w14:textId="1F3FB059">
      <w:pPr>
        <w:spacing w:line="360" w:lineRule="auto"/>
        <w:jc w:val="both"/>
        <w:rPr>
          <w:rFonts w:ascii="Times New Roman" w:hAnsi="Times New Roman" w:cs="Times New Roman"/>
          <w:sz w:val="24"/>
          <w:szCs w:val="24"/>
        </w:rPr>
      </w:pPr>
      <w:r w:rsidRPr="43844335" w:rsidR="0061561F">
        <w:rPr>
          <w:rFonts w:ascii="Times New Roman" w:hAnsi="Times New Roman" w:cs="Times New Roman"/>
          <w:sz w:val="24"/>
          <w:szCs w:val="24"/>
        </w:rPr>
        <w:t xml:space="preserve">This ratio quantifies the maximum efficiency of the process, thereby </w:t>
      </w:r>
      <w:r w:rsidRPr="43844335" w:rsidR="328C9925">
        <w:rPr>
          <w:rFonts w:ascii="Times New Roman" w:hAnsi="Times New Roman" w:cs="Times New Roman"/>
          <w:sz w:val="24"/>
          <w:szCs w:val="24"/>
        </w:rPr>
        <w:t>figuring out</w:t>
      </w:r>
      <w:r w:rsidRPr="43844335" w:rsidR="0061561F">
        <w:rPr>
          <w:rFonts w:ascii="Times New Roman" w:hAnsi="Times New Roman" w:cs="Times New Roman"/>
          <w:sz w:val="24"/>
          <w:szCs w:val="24"/>
        </w:rPr>
        <w:t xml:space="preserve"> the size of the upstream biogas system.</w:t>
      </w:r>
    </w:p>
    <w:p w:rsidRPr="000C01CA" w:rsidR="0061561F" w:rsidP="00102447" w:rsidRDefault="0061561F" w14:paraId="6BB30DB7" w14:textId="77777777">
      <w:pPr>
        <w:spacing w:line="360" w:lineRule="auto"/>
        <w:jc w:val="both"/>
        <w:rPr>
          <w:rFonts w:ascii="Times New Roman" w:hAnsi="Times New Roman" w:cs="Times New Roman"/>
          <w:b/>
          <w:sz w:val="24"/>
          <w:szCs w:val="24"/>
        </w:rPr>
      </w:pPr>
      <w:r w:rsidRPr="000C01CA">
        <w:rPr>
          <w:rFonts w:ascii="Times New Roman" w:hAnsi="Times New Roman" w:cs="Times New Roman"/>
          <w:b/>
          <w:sz w:val="24"/>
          <w:szCs w:val="24"/>
        </w:rPr>
        <w:t>IV.5.2. Kinetic Modeling and Stability Factors</w:t>
      </w:r>
    </w:p>
    <w:p w:rsidRPr="000C01CA" w:rsidR="0061561F" w:rsidP="00102447" w:rsidRDefault="0061561F" w14:paraId="4F2225FB" w14:textId="0A30BFAB">
      <w:pPr>
        <w:spacing w:line="360" w:lineRule="auto"/>
        <w:ind w:firstLine="720"/>
        <w:jc w:val="both"/>
        <w:rPr>
          <w:rFonts w:ascii="Times New Roman" w:hAnsi="Times New Roman" w:cs="Times New Roman"/>
          <w:sz w:val="24"/>
          <w:szCs w:val="24"/>
        </w:rPr>
      </w:pPr>
      <w:r w:rsidRPr="000C01CA">
        <w:rPr>
          <w:rFonts w:ascii="Times New Roman" w:hAnsi="Times New Roman" w:cs="Times New Roman"/>
          <w:sz w:val="24"/>
          <w:szCs w:val="24"/>
        </w:rPr>
        <w:t>Kinetic models (often based on Anaerobic Digestion Model No. 1 - ADM1) describe the successive stages of hydrolysis, acidogenesis, acetogenesis, and methanogenesis, thereby linking reaction rates to methane yield</w:t>
      </w:r>
      <w:r w:rsidRPr="000C01CA" w:rsidR="00C251B0">
        <w:rPr>
          <w:rFonts w:ascii="Times New Roman" w:hAnsi="Times New Roman" w:cs="Times New Roman"/>
          <w:sz w:val="24"/>
          <w:szCs w:val="24"/>
        </w:rPr>
        <w:t xml:space="preserve"> </w:t>
      </w:r>
      <w:r w:rsidRPr="000C01CA" w:rsidR="000703F4">
        <w:rPr>
          <w:rFonts w:ascii="Times New Roman" w:hAnsi="Times New Roman" w:cs="Times New Roman"/>
          <w:sz w:val="24"/>
          <w:szCs w:val="24"/>
        </w:rPr>
        <w:fldChar w:fldCharType="begin"/>
      </w:r>
      <w:r w:rsidRPr="000C01CA" w:rsidR="000703F4">
        <w:rPr>
          <w:rFonts w:ascii="Times New Roman" w:hAnsi="Times New Roman" w:cs="Times New Roman"/>
          <w:sz w:val="24"/>
          <w:szCs w:val="24"/>
        </w:rPr>
        <w:instrText xml:space="preserve"> ADDIN ZOTERO_ITEM CSL_CITATION {"citationID":"BUVppoTy","properties":{"formattedCitation":"[22]","plainCitation":"[22]","noteIndex":0},"citationItems":[{"id":40,"uris":["http://zotero.org/users/local/NWCAR5we/items/SDWAW8WX"],"itemData":{"id":40,"type":"article-journal","abstract":"This review relates the kinetics of anaerobic digestion (AD) to energy outcomes, including typical ranges of methane yields and volumetric methane productivities (down to hourly g L−1 h−1 scales relevant for industrial plants). It further translates these relationships into practical control principles that support stable, high methane productivity. Evidence spans substrate selection and co-digestion with emphasis on carbon/nitrogen (C/N) balance, pretreatment strategies, and reactor operation, linking process constraints with operating parameters to identify interventions that raise performance while limiting inhibition. Improving substrate accessibility is the primary step: pretreatment and co-digestion shift limitation beyond hydrolysis and allow safe increases in organic loading. Typical mesophilic operation involves hydraulic retention times of about 10–40 days for food waste and 20–60 days for different types of livestock manure and slowly degradable energy crops, with stable performance achieved when the solids retention time (SRT) is maintained longer than the hydraulic retention time (HRT). Stability is further governed by sustaining a low hydrogen partial pressure through hydrogenotrophic methanogenesis. Temperature and pH define practicable operating ranges; meanwhile, mixing should minimise diffusion resistance without damaging biomass structure. Early-warning indicators—volatile fatty acids (VFAs)/alkalinity, the propionate/acetate ratio, specific methanogenic activity, methane (CH4)% and gas flow—enable timely adjustment of loading, retention, buffering, mixing intensity and micronutrient supply (Ni, Co, Fe, Mo). In practice, robust operation is generally associated with VFA/alkalinity ratios below about 0.3 and CH4 contents typically in the range of 50–70% (v/v) in biogas. The review consolidates typical feedstock characteristics and biochemical methane potential (BMP) ranges, as well as outlines common reactor types with their advantages and limitations, linking operational choices to energy yield in combined heat and power (CHP) and biomethane pathways. Reported pretreatment effects span approximately 20–100% higher methane yields; for example, 18–37% increases after mechanical size reduction, around 20–30% gains at 120–121 ◦C for thermal treatments, and in some cases nearly a two-fold increase for more severe thermal or combined methods. Priorities are set for adaptive control, micronutrient management, biomass-retention strategies, and standardised monitoring, providing a coherent route from kinetic understanding to dependable energy performance and explaining how substrate composition, pretreatment, operating parameters, and kinetic constraints jointly determine methane and energy yield, with particular emphasis on early-warning indicators.","container-title":"Energies","DOI":"10.3390/en18236262","ISSN":"1996-1073","issue":"23","journalAbbreviation":"Energies","language":"en","page":"6262","source":"DOI.org (Crossref)","title":"Kinetics and Energy Yield in Anaerobic Digestion: Effects of Substrate Composition and Fundamental Operating Conditions","title-short":"Kinetics and Energy Yield in Anaerobic Digestion","volume":"18","author":[{"family":"Pilarski","given":"Krzysztof"},{"family":"Pilarska","given":"Agnieszka A."}],"issued":{"date-parts":[["2025",11,28]]}}}],"schema":"https://github.com/citation-style-language/schema/raw/master/csl-citation.json"} </w:instrText>
      </w:r>
      <w:r w:rsidRPr="000C01CA" w:rsidR="000703F4">
        <w:rPr>
          <w:rFonts w:ascii="Times New Roman" w:hAnsi="Times New Roman" w:cs="Times New Roman"/>
          <w:sz w:val="24"/>
          <w:szCs w:val="24"/>
        </w:rPr>
        <w:fldChar w:fldCharType="separate"/>
      </w:r>
      <w:r w:rsidRPr="000C01CA" w:rsidR="000703F4">
        <w:rPr>
          <w:rFonts w:ascii="Times New Roman" w:hAnsi="Times New Roman" w:cs="Times New Roman"/>
          <w:sz w:val="24"/>
        </w:rPr>
        <w:t>[22]</w:t>
      </w:r>
      <w:r w:rsidRPr="000C01CA" w:rsidR="000703F4">
        <w:rPr>
          <w:rFonts w:ascii="Times New Roman" w:hAnsi="Times New Roman" w:cs="Times New Roman"/>
          <w:sz w:val="24"/>
          <w:szCs w:val="24"/>
        </w:rPr>
        <w:fldChar w:fldCharType="end"/>
      </w:r>
      <w:r w:rsidRPr="000C01CA">
        <w:rPr>
          <w:rFonts w:ascii="Times New Roman" w:hAnsi="Times New Roman" w:cs="Times New Roman"/>
          <w:sz w:val="24"/>
          <w:szCs w:val="24"/>
        </w:rPr>
        <w:t>.</w:t>
      </w:r>
    </w:p>
    <w:p w:rsidRPr="000C01CA" w:rsidR="0061561F" w:rsidP="00102447" w:rsidRDefault="0061561F" w14:paraId="6C17FBCD" w14:textId="6EA7F005">
      <w:pPr>
        <w:spacing w:line="360" w:lineRule="auto"/>
        <w:jc w:val="both"/>
        <w:rPr>
          <w:rFonts w:ascii="Times New Roman" w:hAnsi="Times New Roman" w:cs="Times New Roman"/>
          <w:sz w:val="24"/>
          <w:szCs w:val="24"/>
        </w:rPr>
      </w:pPr>
      <w:r w:rsidRPr="43844335" w:rsidR="0061561F">
        <w:rPr>
          <w:rFonts w:ascii="Times New Roman" w:hAnsi="Times New Roman" w:cs="Times New Roman"/>
          <w:sz w:val="24"/>
          <w:szCs w:val="24"/>
        </w:rPr>
        <w:t xml:space="preserve">Operational stability is a key factor in kinetic modeling. The model must incorporate retention time constraints. </w:t>
      </w:r>
      <w:r w:rsidRPr="43844335" w:rsidR="00BA70EE">
        <w:rPr>
          <w:rFonts w:ascii="Times New Roman" w:hAnsi="Times New Roman" w:cs="Times New Roman"/>
          <w:sz w:val="24"/>
          <w:szCs w:val="24"/>
        </w:rPr>
        <w:t xml:space="preserve">A key operational constraint is </w:t>
      </w:r>
      <w:r w:rsidRPr="43844335" w:rsidR="3CA9ADC3">
        <w:rPr>
          <w:rFonts w:ascii="Times New Roman" w:hAnsi="Times New Roman" w:cs="Times New Roman"/>
          <w:sz w:val="24"/>
          <w:szCs w:val="24"/>
        </w:rPr>
        <w:t>supporting</w:t>
      </w:r>
      <w:r w:rsidRPr="43844335" w:rsidR="00BA70EE">
        <w:rPr>
          <w:rFonts w:ascii="Times New Roman" w:hAnsi="Times New Roman" w:cs="Times New Roman"/>
          <w:sz w:val="24"/>
          <w:szCs w:val="24"/>
        </w:rPr>
        <w:t xml:space="preserve"> a </w:t>
      </w:r>
      <w:r w:rsidRPr="43844335" w:rsidR="2B2127F6">
        <w:rPr>
          <w:rFonts w:ascii="Times New Roman" w:hAnsi="Times New Roman" w:cs="Times New Roman"/>
          <w:sz w:val="24"/>
          <w:szCs w:val="24"/>
        </w:rPr>
        <w:t>solid</w:t>
      </w:r>
      <w:r w:rsidRPr="43844335" w:rsidR="00BA70EE">
        <w:rPr>
          <w:rFonts w:ascii="Times New Roman" w:hAnsi="Times New Roman" w:cs="Times New Roman"/>
          <w:sz w:val="24"/>
          <w:szCs w:val="24"/>
        </w:rPr>
        <w:t xml:space="preserve"> retention time (SRT) that sufficiently exceeds the hydraulic retention time (HRT) to prevent the washout of the critical, slow-growing methanogenic consortium</w:t>
      </w:r>
      <w:r w:rsidRPr="43844335" w:rsidR="005E5BBB">
        <w:rPr>
          <w:rFonts w:ascii="Times New Roman" w:hAnsi="Times New Roman" w:cs="Times New Roman"/>
          <w:sz w:val="24"/>
          <w:szCs w:val="24"/>
        </w:rPr>
        <w:t xml:space="preserve">. </w:t>
      </w:r>
      <w:r w:rsidRPr="43844335" w:rsidR="0061561F">
        <w:rPr>
          <w:rFonts w:ascii="Times New Roman" w:hAnsi="Times New Roman" w:cs="Times New Roman"/>
          <w:sz w:val="24"/>
          <w:szCs w:val="24"/>
        </w:rPr>
        <w:t xml:space="preserve">In addition, kinetic modeling provides early warning indicators for process control. </w:t>
      </w:r>
      <w:r w:rsidRPr="43844335" w:rsidR="00CC142B">
        <w:rPr>
          <w:rFonts w:ascii="Times New Roman" w:hAnsi="Times New Roman" w:cs="Times New Roman"/>
          <w:sz w:val="24"/>
          <w:szCs w:val="24"/>
        </w:rPr>
        <w:t xml:space="preserve">The most reliable indicator in practice is the Volatile Fatty Acids </w:t>
      </w:r>
      <w:r w:rsidRPr="43844335" w:rsidR="00CC142B">
        <w:rPr>
          <w:rFonts w:ascii="Times New Roman" w:hAnsi="Times New Roman" w:cs="Times New Roman"/>
          <w:sz w:val="24"/>
          <w:szCs w:val="24"/>
        </w:rPr>
        <w:t>to Alkalinity ratio (VFA/Alk)</w:t>
      </w:r>
      <w:r w:rsidRPr="43844335" w:rsidR="005E5BBB">
        <w:rPr>
          <w:rFonts w:ascii="Times New Roman" w:hAnsi="Times New Roman" w:cs="Times New Roman"/>
          <w:sz w:val="24"/>
          <w:szCs w:val="24"/>
        </w:rPr>
        <w:t xml:space="preserve">. </w:t>
      </w:r>
      <w:r w:rsidRPr="43844335" w:rsidR="0061561F">
        <w:rPr>
          <w:rFonts w:ascii="Times New Roman" w:hAnsi="Times New Roman" w:cs="Times New Roman"/>
          <w:sz w:val="24"/>
          <w:szCs w:val="24"/>
        </w:rPr>
        <w:t xml:space="preserve">Stable operation is </w:t>
      </w:r>
      <w:r w:rsidRPr="43844335" w:rsidR="767D2284">
        <w:rPr>
          <w:rFonts w:ascii="Times New Roman" w:hAnsi="Times New Roman" w:cs="Times New Roman"/>
          <w:sz w:val="24"/>
          <w:szCs w:val="24"/>
        </w:rPr>
        <w:t>associated</w:t>
      </w:r>
      <w:r w:rsidRPr="43844335" w:rsidR="0061561F">
        <w:rPr>
          <w:rFonts w:ascii="Times New Roman" w:hAnsi="Times New Roman" w:cs="Times New Roman"/>
          <w:sz w:val="24"/>
          <w:szCs w:val="24"/>
        </w:rPr>
        <w:t xml:space="preserve"> with VFA/Alk ratios below 0.3 and methane contents between 50% and 70% (v/v) in the biogas</w:t>
      </w:r>
      <w:r w:rsidRPr="43844335" w:rsidR="00C251B0">
        <w:rPr>
          <w:rFonts w:ascii="Times New Roman" w:hAnsi="Times New Roman" w:cs="Times New Roman"/>
          <w:sz w:val="24"/>
          <w:szCs w:val="24"/>
        </w:rPr>
        <w:t xml:space="preserve"> </w:t>
      </w:r>
      <w:r w:rsidRPr="43844335">
        <w:rPr>
          <w:rFonts w:ascii="Times New Roman" w:hAnsi="Times New Roman" w:cs="Times New Roman"/>
          <w:sz w:val="24"/>
          <w:szCs w:val="24"/>
        </w:rPr>
        <w:fldChar w:fldCharType="begin"/>
      </w:r>
      <w:r w:rsidRPr="43844335">
        <w:rPr>
          <w:rFonts w:ascii="Times New Roman" w:hAnsi="Times New Roman" w:cs="Times New Roman"/>
          <w:sz w:val="24"/>
          <w:szCs w:val="24"/>
        </w:rPr>
        <w:instrText xml:space="preserve"> ADDIN ZOTERO_ITEM CSL_CITATION {"citationID":"RMsSBIPk","properties":{"formattedCitation":"[22]","plainCitation":"[22]","noteIndex":0},"citationItems":[{"id":40,"uris":["http://zotero.org/users/local/NWCAR5we/items/SDWAW8WX"],"itemData":{"id":40,"type":"article-journal","abstract":"This review relates the kinetics of anaerobic digestion (AD) to energy outcomes, including typical ranges of methane yields and volumetric methane productivities (down to hourly g L−1 h−1 scales relevant for industrial plants). It further translates these relationships into practical control principles that support stable, high methane productivity. Evidence spans substrate selection and co-digestion with emphasis on carbon/nitrogen (C/N) balance, pretreatment strategies, and reactor operation, linking process constraints with operating parameters to identify interventions that raise performance while limiting inhibition. Improving substrate accessibility is the primary step: pretreatment and co-digestion shift limitation beyond hydrolysis and allow safe increases in organic loading. Typical mesophilic operation involves hydraulic retention times of about 10–40 days for food waste and 20–60 days for different types of livestock manure and slowly degradable energy crops, with stable performance achieved when the solids retention time (SRT) is maintained longer than the hydraulic retention time (HRT). Stability is further governed by sustaining a low hydrogen partial pressure through hydrogenotrophic methanogenesis. Temperature and pH define practicable operating ranges; meanwhile, mixing should minimise diffusion resistance without damaging biomass structure. Early-warning indicators—volatile fatty acids (VFAs)/alkalinity, the propionate/acetate ratio, specific methanogenic activity, methane (CH4)% and gas flow—enable timely adjustment of loading, retention, buffering, mixing intensity and micronutrient supply (Ni, Co, Fe, Mo). In practice, robust operation is generally associated with VFA/alkalinity ratios below about 0.3 and CH4 contents typically in the range of 50–70% (v/v) in biogas. The review consolidates typical feedstock characteristics and biochemical methane potential (BMP) ranges, as well as outlines common reactor types with their advantages and limitations, linking operational choices to energy yield in combined heat and power (CHP) and biomethane pathways. Reported pretreatment effects span approximately 20–100% higher methane yields; for example, 18–37% increases after mechanical size reduction, around 20–30% gains at 120–121 ◦C for thermal treatments, and in some cases nearly a two-fold increase for more severe thermal or combined methods. Priorities are set for adaptive control, micronutrient management, biomass-retention strategies, and standardised monitoring, providing a coherent route from kinetic understanding to dependable energy performance and explaining how substrate composition, pretreatment, operating parameters, and kinetic constraints jointly determine methane and energy yield, with particular emphasis on early-warning indicators.","container-title":"Energies","DOI":"10.3390/en18236262","ISSN":"1996-1073","issue":"23","journalAbbreviation":"Energies","language":"en","page":"6262","source":"DOI.org (Crossref)","title":"Kinetics and Energy Yield in Anaerobic Digestion: Effects of Substrate Composition and Fundamental Operating Conditions","title-short":"Kinetics and Energy Yield in Anaerobic Digestion","volume":"18","author":[{"family":"Pilarski","given":"Krzysztof"},{"family":"Pilarska","given":"Agnieszka A."}],"issued":{"date-parts":[["2025",11,28]]}}}],"schema":"https://github.com/citation-style-language/schema/raw/master/csl-citation.json"} </w:instrText>
      </w:r>
      <w:r w:rsidRPr="43844335">
        <w:rPr>
          <w:rFonts w:ascii="Times New Roman" w:hAnsi="Times New Roman" w:cs="Times New Roman"/>
          <w:sz w:val="24"/>
          <w:szCs w:val="24"/>
        </w:rPr>
        <w:fldChar w:fldCharType="separate"/>
      </w:r>
      <w:r w:rsidRPr="43844335" w:rsidR="000703F4">
        <w:rPr>
          <w:rFonts w:ascii="Times New Roman" w:hAnsi="Times New Roman" w:cs="Times New Roman"/>
          <w:sz w:val="24"/>
          <w:szCs w:val="24"/>
        </w:rPr>
        <w:t>[22]</w:t>
      </w:r>
      <w:r w:rsidRPr="43844335">
        <w:rPr>
          <w:rFonts w:ascii="Times New Roman" w:hAnsi="Times New Roman" w:cs="Times New Roman"/>
          <w:sz w:val="24"/>
          <w:szCs w:val="24"/>
        </w:rPr>
        <w:fldChar w:fldCharType="end"/>
      </w:r>
      <w:r w:rsidRPr="43844335" w:rsidR="0061561F">
        <w:rPr>
          <w:rFonts w:ascii="Times New Roman" w:hAnsi="Times New Roman" w:cs="Times New Roman"/>
          <w:sz w:val="24"/>
          <w:szCs w:val="24"/>
        </w:rPr>
        <w:t>.</w:t>
      </w:r>
    </w:p>
    <w:p w:rsidRPr="000C01CA" w:rsidR="0061561F" w:rsidP="00102447" w:rsidRDefault="0061561F" w14:paraId="6F23DDB5" w14:textId="77777777">
      <w:pPr>
        <w:spacing w:line="360" w:lineRule="auto"/>
        <w:jc w:val="both"/>
        <w:rPr>
          <w:rFonts w:ascii="Times New Roman" w:hAnsi="Times New Roman" w:cs="Times New Roman"/>
          <w:b/>
          <w:sz w:val="24"/>
          <w:szCs w:val="24"/>
        </w:rPr>
      </w:pPr>
      <w:r w:rsidRPr="000C01CA">
        <w:rPr>
          <w:rFonts w:ascii="Times New Roman" w:hAnsi="Times New Roman" w:cs="Times New Roman"/>
          <w:b/>
          <w:sz w:val="24"/>
          <w:szCs w:val="24"/>
        </w:rPr>
        <w:t xml:space="preserve">IV.5.3. Digester Heat Balance </w:t>
      </w:r>
    </w:p>
    <w:p w:rsidRPr="000C01CA" w:rsidR="0061561F" w:rsidP="00102447" w:rsidRDefault="005E5BBB" w14:paraId="4DFD5ADF" w14:textId="375EA22D">
      <w:pPr>
        <w:spacing w:line="360" w:lineRule="auto"/>
        <w:ind w:firstLine="720"/>
        <w:jc w:val="both"/>
        <w:rPr>
          <w:rFonts w:ascii="Times New Roman" w:hAnsi="Times New Roman" w:cs="Times New Roman"/>
          <w:sz w:val="24"/>
          <w:szCs w:val="24"/>
        </w:rPr>
      </w:pPr>
      <w:r w:rsidRPr="000C01CA" w:rsidR="005E5BBB">
        <w:rPr>
          <w:rFonts w:ascii="Times New Roman" w:hAnsi="Times New Roman" w:cs="Times New Roman"/>
          <w:sz w:val="24"/>
          <w:szCs w:val="24"/>
        </w:rPr>
        <w:t xml:space="preserve">Biogas production is strongly influenced by temperature, particularly under mesophilic operating conditions (</w:t>
      </w:r>
      <w:r w:rsidRPr="000C01CA" w:rsidR="17C9841C">
        <w:rPr>
          <w:rFonts w:ascii="Times New Roman" w:hAnsi="Times New Roman" w:cs="Times New Roman"/>
          <w:sz w:val="24"/>
          <w:szCs w:val="24"/>
        </w:rPr>
        <w:t xml:space="preserve">35-40</w:t>
      </w:r>
      <w:r w:rsidRPr="000C01CA" w:rsidR="0061561F">
        <w:rPr>
          <w:rFonts w:ascii="Times New Roman" w:hAnsi="Times New Roman" w:cs="Times New Roman"/>
          <w:sz w:val="24"/>
          <w:szCs w:val="24"/>
        </w:rPr>
        <w:t xml:space="preserve">°C). To obtain a constant biogas output, which is a requirement for reliable integration into a hybrid energy system, it is essential to </w:t>
      </w:r>
      <w:r w:rsidRPr="000C01CA" w:rsidR="0061561F">
        <w:rPr>
          <w:rFonts w:ascii="Times New Roman" w:hAnsi="Times New Roman" w:cs="Times New Roman"/>
          <w:sz w:val="24"/>
          <w:szCs w:val="24"/>
        </w:rPr>
        <w:t>maintain</w:t>
      </w:r>
      <w:r w:rsidRPr="000C01CA" w:rsidR="0061561F">
        <w:rPr>
          <w:rFonts w:ascii="Times New Roman" w:hAnsi="Times New Roman" w:cs="Times New Roman"/>
          <w:sz w:val="24"/>
          <w:szCs w:val="24"/>
        </w:rPr>
        <w:t xml:space="preserve"> a stable digester temperature (</w:t>
      </w:r>
      <m:oMath>
        <m:sSub>
          <m:sSubPr>
            <m:ctrlPr>
              <w:rPr>
                <w:rFonts w:ascii="Cambria Math" w:hAnsi="Cambria Math" w:cs="Times New Roman"/>
                <w:sz w:val="24"/>
                <w:szCs w:val="24"/>
              </w:rPr>
            </m:ctrlPr>
          </m:sSubPr>
          <m:e>
            <m:r>
              <m:rPr>
                <m:sty m:val="p"/>
              </m:rPr>
              <w:rPr>
                <w:rFonts w:ascii="Cambria Math" w:hAnsi="Cambria Math" w:cs="Times New Roman"/>
                <w:sz w:val="24"/>
                <w:szCs w:val="24"/>
              </w:rPr>
              <m:t>T</m:t>
            </m:r>
          </m:e>
          <m:sub>
            <m:r>
              <m:rPr>
                <m:sty m:val="p"/>
              </m:rPr>
              <w:rPr>
                <w:rFonts w:ascii="Cambria Math" w:hAnsi="Cambria Math" w:cs="Times New Roman"/>
                <w:sz w:val="24"/>
                <w:szCs w:val="24"/>
              </w:rPr>
              <m:t>Dig</m:t>
            </m:r>
          </m:sub>
        </m:sSub>
      </m:oMath>
      <w:r w:rsidRPr="000C01CA" w:rsidR="0061561F">
        <w:rPr>
          <w:rFonts w:ascii="Times New Roman" w:hAnsi="Times New Roman" w:cs="Times New Roman"/>
          <w:sz w:val="24"/>
          <w:szCs w:val="24"/>
        </w:rPr>
        <w:t>), for example at 39°C</w:t>
      </w:r>
      <w:r w:rsidRPr="000C01CA" w:rsidR="00C251B0">
        <w:rPr>
          <w:rFonts w:ascii="Times New Roman" w:hAnsi="Times New Roman" w:cs="Times New Roman"/>
          <w:sz w:val="24"/>
          <w:szCs w:val="24"/>
        </w:rPr>
        <w:t xml:space="preserve"> </w:t>
      </w:r>
      <w:r w:rsidRPr="000C01CA" w:rsidR="000703F4">
        <w:rPr>
          <w:rFonts w:ascii="Times New Roman" w:hAnsi="Times New Roman" w:cs="Times New Roman"/>
          <w:sz w:val="24"/>
          <w:szCs w:val="24"/>
        </w:rPr>
        <w:fldChar w:fldCharType="begin"/>
      </w:r>
      <w:r w:rsidRPr="000C01CA" w:rsidR="000703F4">
        <w:rPr>
          <w:rFonts w:ascii="Times New Roman" w:hAnsi="Times New Roman" w:cs="Times New Roman"/>
          <w:sz w:val="24"/>
          <w:szCs w:val="24"/>
        </w:rPr>
        <w:instrText xml:space="preserve"> ADDIN ZOTERO_ITEM CSL_CITATION {"citationID":"NznXV6ER","properties":{"formattedCitation":"[15]","plainCitation":"[15]","noteIndex":0},"citationItems":[{"id":42,"uris":["http://zotero.org/users/local/NWCAR5we/items/NETHYINB"],"itemData":{"id":42,"type":"article-journal","abstract":"This study addresses the issue of fluctuating output in cow dung-based biogas (BG) production due to temperature dependence. A thermal model is proposed and implemented in an area with abandoned BG resources, utilizing typical meteorological year (TMY) data. The model aims for constant BG output by maintaining digester temperature at 39 ◦C throughout the year. It is found that integrating heating with a 3100 CUM cow dung-based biogas digester (BD) increase the energy production capacity from 2.25 GWh/year to 3 GWh/year. Subsequently, three different cases are studied: standalone PV, PV-BG system, and PV-BG system with the heating arrangement, and they are scheduled using the area’s TMY data, according to a strategy that can fulfil highly dynamic load curves with 690 kW peak and 264 kW average demand, as reported by the Government of India, with zero loss of power supply probability (LPSP). In the proposed case, the integration of heating reduced the PV and energy storage system (ESS) sizes by 65 % and 52 %, respectively. The current system imposes a COE of INR 2.1/kWh, which is 70 % cheap than grid electricity in the surrounding areas, with the help of proper resource estimation utilizing TMY data, integration of heating, and compressed biogas (CBG) production with energy.","container-title":"Energy","DOI":"10.1016/j.energy.2023.129671","ISSN":"03605442","journalAbbreviation":"Energy","language":"en","page":"129671","source":"DOI.org (Crossref)","title":"Design and techno-economic analysis of an off-grid integrated PV-biogas system with a constant temperature digester for a cost-effective rural application","volume":"287","author":[{"family":"Pal","given":"Ankit"},{"family":"Ilango","given":"G. Saravana"}],"issued":{"date-parts":[["2024",1]]}}}],"schema":"https://github.com/citation-style-language/schema/raw/master/csl-citation.json"} </w:instrText>
      </w:r>
      <w:r w:rsidRPr="000C01CA" w:rsidR="000703F4">
        <w:rPr>
          <w:rFonts w:ascii="Times New Roman" w:hAnsi="Times New Roman" w:cs="Times New Roman"/>
          <w:sz w:val="24"/>
          <w:szCs w:val="24"/>
        </w:rPr>
        <w:fldChar w:fldCharType="separate"/>
      </w:r>
      <w:r w:rsidRPr="43844335" w:rsidR="000703F4">
        <w:rPr>
          <w:rFonts w:ascii="Times New Roman" w:hAnsi="Times New Roman" w:cs="Times New Roman"/>
          <w:sz w:val="24"/>
          <w:szCs w:val="24"/>
        </w:rPr>
        <w:t>[15]</w:t>
      </w:r>
      <w:r w:rsidRPr="000C01CA" w:rsidR="000703F4">
        <w:rPr>
          <w:rFonts w:ascii="Times New Roman" w:hAnsi="Times New Roman" w:cs="Times New Roman"/>
          <w:sz w:val="24"/>
          <w:szCs w:val="24"/>
        </w:rPr>
        <w:fldChar w:fldCharType="end"/>
      </w:r>
      <w:r w:rsidRPr="000C01CA" w:rsidR="0061561F">
        <w:rPr>
          <w:rFonts w:ascii="Times New Roman" w:hAnsi="Times New Roman" w:cs="Times New Roman"/>
          <w:sz w:val="24"/>
          <w:szCs w:val="24"/>
        </w:rPr>
        <w:t>.</w:t>
      </w:r>
    </w:p>
    <w:p w:rsidRPr="000C01CA" w:rsidR="00B77F8A" w:rsidP="00102447" w:rsidRDefault="0061561F" w14:paraId="1117C0C8" w14:textId="7924E6F8">
      <w:pPr>
        <w:spacing w:line="360" w:lineRule="auto"/>
        <w:jc w:val="both"/>
        <w:rPr>
          <w:rFonts w:ascii="Times New Roman" w:hAnsi="Times New Roman" w:cs="Times New Roman"/>
          <w:sz w:val="24"/>
          <w:szCs w:val="24"/>
        </w:rPr>
      </w:pPr>
      <w:r w:rsidRPr="000C01CA" w:rsidR="0061561F">
        <w:rPr>
          <w:rFonts w:ascii="Times New Roman" w:hAnsi="Times New Roman" w:cs="Times New Roman"/>
          <w:sz w:val="24"/>
          <w:szCs w:val="24"/>
        </w:rPr>
        <w:t xml:space="preserve">The thermal model is the gateway between the biological subsystem and the energy subsystems (PV/ESS) that can provide heating energy. </w:t>
      </w:r>
      <w:r w:rsidRPr="000C01CA" w:rsidR="005E5BBB">
        <w:rPr>
          <w:rFonts w:ascii="Times New Roman" w:hAnsi="Times New Roman" w:cs="Times New Roman"/>
          <w:sz w:val="24"/>
          <w:szCs w:val="24"/>
        </w:rPr>
        <w:t>The model computes hourly heat requirements</w:t>
      </w:r>
      <w:r w:rsidRPr="000C01CA" w:rsidR="0061561F">
        <w:rPr>
          <w:rFonts w:ascii="Times New Roman" w:hAnsi="Times New Roman" w:cs="Times New Roman"/>
          <w:sz w:val="24"/>
          <w:szCs w:val="24"/>
        </w:rPr>
        <w:t xml:space="preserve"> (</w:t>
      </w:r>
      <m:oMath>
        <m:r>
          <m:rPr>
            <m:sty m:val="p"/>
          </m:rPr>
          <w:rPr>
            <w:rFonts w:ascii="Cambria Math" w:hAnsi="Cambria Math" w:cs="Times New Roman"/>
            <w:sz w:val="24"/>
            <w:szCs w:val="24"/>
          </w:rPr>
          <m:t xml:space="preserve"> </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m:rPr>
                    <m:sty m:val="p"/>
                  </m:rPr>
                  <w:rPr>
                    <w:rFonts w:ascii="Cambria Math" w:hAnsi="Cambria Math" w:cs="Times New Roman"/>
                    <w:sz w:val="24"/>
                    <w:szCs w:val="24"/>
                  </w:rPr>
                  <m:t>Q</m:t>
                </m:r>
              </m:e>
            </m:acc>
          </m:e>
          <m:sub>
            <m:r>
              <m:rPr>
                <m:sty m:val="p"/>
              </m:rPr>
              <w:rPr>
                <w:rFonts w:ascii="Cambria Math" w:hAnsi="Cambria Math" w:cs="Times New Roman"/>
                <w:sz w:val="24"/>
                <w:szCs w:val="24"/>
              </w:rPr>
              <m:t>heat</m:t>
            </m:r>
          </m:sub>
        </m:sSub>
      </m:oMath>
      <w:r w:rsidRPr="000C01CA" w:rsidR="0061561F">
        <w:rPr>
          <w:rFonts w:ascii="Times New Roman" w:hAnsi="Times New Roman" w:cs="Times New Roman"/>
          <w:sz w:val="24"/>
          <w:szCs w:val="24"/>
        </w:rPr>
        <w:t xml:space="preserve">) </w:t>
      </w:r>
      <w:r w:rsidRPr="000C01CA" w:rsidR="005E5BBB">
        <w:rPr>
          <w:rFonts w:ascii="Times New Roman" w:hAnsi="Times New Roman" w:cs="Times New Roman"/>
          <w:sz w:val="24"/>
          <w:szCs w:val="24"/>
        </w:rPr>
        <w:t xml:space="preserve">to offset thermal losses and </w:t>
      </w:r>
      <w:r w:rsidRPr="000C01CA" w:rsidR="759B3790">
        <w:rPr>
          <w:rFonts w:ascii="Times New Roman" w:hAnsi="Times New Roman" w:cs="Times New Roman"/>
          <w:sz w:val="24"/>
          <w:szCs w:val="24"/>
        </w:rPr>
        <w:t>keep</w:t>
      </w:r>
      <w:r w:rsidRPr="000C01CA" w:rsidR="005E5BBB">
        <w:rPr>
          <w:rFonts w:ascii="Times New Roman" w:hAnsi="Times New Roman" w:cs="Times New Roman"/>
          <w:sz w:val="24"/>
          <w:szCs w:val="24"/>
        </w:rPr>
        <w:t xml:space="preserve"> energy balance within the system.</w:t>
      </w:r>
    </w:p>
    <w:p w:rsidR="0061561F" w:rsidP="00102447" w:rsidRDefault="0061561F" w14:paraId="2B30A7BE" w14:textId="77777777">
      <w:pPr>
        <w:spacing w:line="360" w:lineRule="auto"/>
        <w:jc w:val="both"/>
        <w:rPr>
          <w:rFonts w:ascii="Times New Roman" w:hAnsi="Times New Roman" w:cs="Times New Roman"/>
          <w:sz w:val="24"/>
          <w:szCs w:val="24"/>
        </w:rPr>
      </w:pPr>
      <w:r w:rsidRPr="000C01CA">
        <w:rPr>
          <w:rFonts w:ascii="Times New Roman" w:hAnsi="Times New Roman" w:cs="Times New Roman"/>
          <w:sz w:val="24"/>
          <w:szCs w:val="24"/>
        </w:rPr>
        <w:t>The general equation for the Digester Energy Balance is as follows:</w:t>
      </w:r>
    </w:p>
    <w:p w:rsidRPr="00AF3492" w:rsidR="00AF3492" w:rsidP="00102447" w:rsidRDefault="00AF3492" w14:paraId="185DDB97" w14:textId="471C6AFB">
      <w:pPr>
        <w:spacing w:line="360" w:lineRule="auto"/>
        <w:jc w:val="both"/>
        <w:rPr>
          <w:rFonts w:ascii="Times New Roman" w:hAnsi="Times New Roman" w:cs="Times New Roman" w:eastAsiaTheme="minorEastAsia"/>
          <w:sz w:val="24"/>
          <w:szCs w:val="24"/>
        </w:rPr>
      </w:pPr>
      <m:oMathPara>
        <m:oMath>
          <m:eqArr>
            <m:eqArrPr>
              <m:maxDist m:val="1"/>
              <m:ctrlPr>
                <w:rPr>
                  <w:rFonts w:ascii="Cambria Math" w:hAnsi="Cambria Math" w:cs="Times New Roman"/>
                  <w:i/>
                  <w:sz w:val="24"/>
                  <w:szCs w:val="24"/>
                </w:rPr>
              </m:ctrlPr>
            </m:eqArrPr>
            <m:e>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m:rPr>
                          <m:sty m:val="p"/>
                        </m:rPr>
                        <w:rPr>
                          <w:rFonts w:ascii="Cambria Math" w:hAnsi="Cambria Math" w:cs="Times New Roman"/>
                          <w:sz w:val="24"/>
                          <w:szCs w:val="24"/>
                        </w:rPr>
                        <m:t>Q</m:t>
                      </m:r>
                    </m:e>
                  </m:acc>
                </m:e>
                <m:sub>
                  <m:r>
                    <m:rPr>
                      <m:sty m:val="p"/>
                    </m:rPr>
                    <w:rPr>
                      <w:rFonts w:ascii="Cambria Math" w:hAnsi="Cambria Math" w:cs="Times New Roman"/>
                      <w:sz w:val="24"/>
                      <w:szCs w:val="24"/>
                    </w:rPr>
                    <m:t>heat</m:t>
                  </m:r>
                </m:sub>
              </m:sSub>
              <m:r>
                <m:rPr>
                  <m:sty m:val="p"/>
                </m:rPr>
                <w:rPr>
                  <w:rFonts w:ascii="Cambria Math" w:hAnsi="Cambria Math" w:cs="Times New Roman"/>
                  <w:sz w:val="24"/>
                  <w:szCs w:val="24"/>
                </w:rPr>
                <m:t xml:space="preserve">= </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m:rPr>
                          <m:sty m:val="p"/>
                        </m:rPr>
                        <w:rPr>
                          <w:rFonts w:ascii="Cambria Math" w:hAnsi="Cambria Math" w:cs="Times New Roman"/>
                          <w:sz w:val="24"/>
                          <w:szCs w:val="24"/>
                        </w:rPr>
                        <m:t>Q</m:t>
                      </m:r>
                    </m:e>
                  </m:acc>
                </m:e>
                <m:sub>
                  <m:r>
                    <m:rPr>
                      <m:sty m:val="p"/>
                    </m:rPr>
                    <w:rPr>
                      <w:rFonts w:ascii="Cambria Math" w:hAnsi="Cambria Math" w:cs="Times New Roman"/>
                      <w:sz w:val="24"/>
                      <w:szCs w:val="24"/>
                    </w:rPr>
                    <m:t>stored</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m:rPr>
                          <m:sty m:val="p"/>
                        </m:rPr>
                        <w:rPr>
                          <w:rFonts w:ascii="Cambria Math" w:hAnsi="Cambria Math" w:cs="Times New Roman"/>
                          <w:sz w:val="24"/>
                          <w:szCs w:val="24"/>
                        </w:rPr>
                        <m:t>Q</m:t>
                      </m:r>
                    </m:e>
                  </m:acc>
                </m:e>
                <m:sub>
                  <m:r>
                    <m:rPr>
                      <m:sty m:val="p"/>
                    </m:rPr>
                    <w:rPr>
                      <w:rFonts w:ascii="Cambria Math" w:hAnsi="Cambria Math" w:cs="Times New Roman"/>
                      <w:sz w:val="24"/>
                      <w:szCs w:val="24"/>
                    </w:rPr>
                    <m:t>loss</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m:rPr>
                          <m:sty m:val="p"/>
                        </m:rPr>
                        <w:rPr>
                          <w:rFonts w:ascii="Cambria Math" w:hAnsi="Cambria Math" w:cs="Times New Roman"/>
                          <w:sz w:val="24"/>
                          <w:szCs w:val="24"/>
                        </w:rPr>
                        <m:t>Q</m:t>
                      </m:r>
                    </m:e>
                  </m:acc>
                </m:e>
                <m:sub>
                  <m:r>
                    <m:rPr>
                      <m:sty m:val="p"/>
                    </m:rPr>
                    <w:rPr>
                      <w:rFonts w:ascii="Cambria Math" w:hAnsi="Cambria Math" w:cs="Times New Roman"/>
                      <w:sz w:val="24"/>
                      <w:szCs w:val="24"/>
                    </w:rPr>
                    <m:t>in flow</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m:rPr>
                          <m:sty m:val="p"/>
                        </m:rPr>
                        <w:rPr>
                          <w:rFonts w:ascii="Cambria Math" w:hAnsi="Cambria Math" w:cs="Times New Roman"/>
                          <w:sz w:val="24"/>
                          <w:szCs w:val="24"/>
                        </w:rPr>
                        <m:t>Q</m:t>
                      </m:r>
                    </m:e>
                  </m:acc>
                </m:e>
                <m:sub>
                  <m:r>
                    <m:rPr>
                      <m:sty m:val="p"/>
                    </m:rPr>
                    <w:rPr>
                      <w:rFonts w:ascii="Cambria Math" w:hAnsi="Cambria Math" w:cs="Times New Roman"/>
                      <w:sz w:val="24"/>
                      <w:szCs w:val="24"/>
                    </w:rPr>
                    <m:t>reaction</m:t>
                  </m:r>
                </m:sub>
              </m:sSub>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11</m:t>
                  </m:r>
                </m:e>
              </m:d>
            </m:e>
          </m:eqArr>
        </m:oMath>
      </m:oMathPara>
    </w:p>
    <w:p w:rsidRPr="00AF3492" w:rsidR="00AF3492" w:rsidP="00102447" w:rsidRDefault="00AF3492" w14:paraId="0390BB99" w14:textId="308166AC">
      <w:pPr>
        <w:spacing w:line="360" w:lineRule="auto"/>
        <w:jc w:val="both"/>
        <w:rPr>
          <w:rFonts w:ascii="Times New Roman" w:hAnsi="Times New Roman" w:cs="Times New Roman" w:eastAsiaTheme="minorEastAsia"/>
          <w:sz w:val="24"/>
          <w:szCs w:val="24"/>
        </w:rPr>
      </w:pPr>
      <m:oMathPara>
        <m:oMath>
          <m:eqArr>
            <m:eqArrPr>
              <m:maxDist m:val="1"/>
              <m:ctrlPr>
                <w:rPr>
                  <w:rFonts w:ascii="Cambria Math" w:hAnsi="Cambria Math" w:cs="Times New Roman"/>
                  <w:i/>
                  <w:sz w:val="24"/>
                  <w:szCs w:val="24"/>
                </w:rPr>
              </m:ctrlPr>
            </m:eqArrPr>
            <m:e>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m:rPr>
                          <m:sty m:val="p"/>
                        </m:rPr>
                        <w:rPr>
                          <w:rFonts w:ascii="Cambria Math" w:hAnsi="Cambria Math" w:cs="Times New Roman"/>
                          <w:sz w:val="24"/>
                          <w:szCs w:val="24"/>
                        </w:rPr>
                        <m:t>Q</m:t>
                      </m:r>
                    </m:e>
                  </m:acc>
                </m:e>
                <m:sub>
                  <m:r>
                    <m:rPr>
                      <m:sty m:val="p"/>
                    </m:rPr>
                    <w:rPr>
                      <w:rFonts w:ascii="Cambria Math" w:hAnsi="Cambria Math" w:cs="Times New Roman"/>
                      <w:sz w:val="24"/>
                      <w:szCs w:val="24"/>
                    </w:rPr>
                    <m:t>loss</m:t>
                  </m:r>
                </m:sub>
              </m:sSub>
              <m:r>
                <m:rPr>
                  <m:sty m:val="p"/>
                </m:rPr>
                <w:rPr>
                  <w:rFonts w:ascii="Cambria Math" w:hAnsi="Cambria Math" w:cs="Times New Roman"/>
                  <w:sz w:val="24"/>
                  <w:szCs w:val="24"/>
                </w:rPr>
                <m:t xml:space="preserve">= </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m:rPr>
                          <m:sty m:val="p"/>
                        </m:rPr>
                        <w:rPr>
                          <w:rFonts w:ascii="Cambria Math" w:hAnsi="Cambria Math" w:cs="Times New Roman"/>
                          <w:sz w:val="24"/>
                          <w:szCs w:val="24"/>
                        </w:rPr>
                        <m:t>Q</m:t>
                      </m:r>
                    </m:e>
                  </m:acc>
                </m:e>
                <m:sub>
                  <m:sSub>
                    <m:sSubPr>
                      <m:ctrlPr>
                        <w:rPr>
                          <w:rFonts w:ascii="Cambria Math" w:hAnsi="Cambria Math" w:cs="Times New Roman"/>
                          <w:sz w:val="24"/>
                          <w:szCs w:val="24"/>
                        </w:rPr>
                      </m:ctrlPr>
                    </m:sSubPr>
                    <m:e>
                      <m:r>
                        <m:rPr>
                          <m:sty m:val="p"/>
                        </m:rPr>
                        <w:rPr>
                          <w:rFonts w:ascii="Cambria Math" w:hAnsi="Cambria Math" w:cs="Times New Roman"/>
                          <w:sz w:val="24"/>
                          <w:szCs w:val="24"/>
                        </w:rPr>
                        <m:t>loss</m:t>
                      </m:r>
                    </m:e>
                    <m:sub>
                      <m:r>
                        <m:rPr>
                          <m:sty m:val="p"/>
                        </m:rPr>
                        <w:rPr>
                          <w:rFonts w:ascii="Cambria Math" w:hAnsi="Cambria Math" w:cs="Times New Roman"/>
                          <w:sz w:val="24"/>
                          <w:szCs w:val="24"/>
                        </w:rPr>
                        <m:t>cond</m:t>
                      </m:r>
                    </m:sub>
                  </m:sSub>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m:rPr>
                          <m:sty m:val="p"/>
                        </m:rPr>
                        <w:rPr>
                          <w:rFonts w:ascii="Cambria Math" w:hAnsi="Cambria Math" w:cs="Times New Roman"/>
                          <w:sz w:val="24"/>
                          <w:szCs w:val="24"/>
                        </w:rPr>
                        <m:t>Q</m:t>
                      </m:r>
                    </m:e>
                  </m:acc>
                </m:e>
                <m:sub>
                  <m:sSub>
                    <m:sSubPr>
                      <m:ctrlPr>
                        <w:rPr>
                          <w:rFonts w:ascii="Cambria Math" w:hAnsi="Cambria Math" w:cs="Times New Roman"/>
                          <w:sz w:val="24"/>
                          <w:szCs w:val="24"/>
                        </w:rPr>
                      </m:ctrlPr>
                    </m:sSubPr>
                    <m:e>
                      <m:r>
                        <m:rPr>
                          <m:sty m:val="p"/>
                        </m:rPr>
                        <w:rPr>
                          <w:rFonts w:ascii="Cambria Math" w:hAnsi="Cambria Math" w:cs="Times New Roman"/>
                          <w:sz w:val="24"/>
                          <w:szCs w:val="24"/>
                        </w:rPr>
                        <m:t>loss</m:t>
                      </m:r>
                    </m:e>
                    <m:sub>
                      <m:r>
                        <m:rPr>
                          <m:sty m:val="p"/>
                        </m:rPr>
                        <w:rPr>
                          <w:rFonts w:ascii="Cambria Math" w:hAnsi="Cambria Math" w:cs="Times New Roman"/>
                          <w:sz w:val="24"/>
                          <w:szCs w:val="24"/>
                        </w:rPr>
                        <m:t>evap</m:t>
                      </m:r>
                    </m:sub>
                  </m:sSub>
                </m:sub>
              </m:sSub>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m:t>
                  </m:r>
                  <m:r>
                    <w:rPr>
                      <w:rFonts w:ascii="Cambria Math" w:hAnsi="Cambria Math" w:cs="Times New Roman"/>
                      <w:sz w:val="24"/>
                      <w:szCs w:val="24"/>
                    </w:rPr>
                    <m:t>2</m:t>
                  </m:r>
                </m:e>
              </m:d>
            </m:e>
          </m:eqArr>
        </m:oMath>
      </m:oMathPara>
    </w:p>
    <w:p w:rsidRPr="00AF3492" w:rsidR="00AF3492" w:rsidP="00102447" w:rsidRDefault="00AF3492" w14:paraId="24B6A520" w14:textId="6C33C5F1">
      <w:pPr>
        <w:spacing w:line="360" w:lineRule="auto"/>
        <w:jc w:val="both"/>
        <w:rPr>
          <w:rFonts w:ascii="Times New Roman" w:hAnsi="Times New Roman" w:cs="Times New Roman" w:eastAsiaTheme="minorEastAsia"/>
          <w:sz w:val="24"/>
          <w:szCs w:val="24"/>
        </w:rPr>
      </w:pPr>
      <m:oMathPara>
        <m:oMath>
          <m:eqArr>
            <m:eqArrPr>
              <m:maxDist m:val="1"/>
              <m:ctrlPr>
                <w:rPr>
                  <w:rFonts w:ascii="Cambria Math" w:hAnsi="Cambria Math" w:cs="Times New Roman"/>
                  <w:i/>
                  <w:sz w:val="24"/>
                  <w:szCs w:val="24"/>
                </w:rPr>
              </m:ctrlPr>
            </m:eqArrPr>
            <m:e>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Q</m:t>
                      </m:r>
                    </m:e>
                  </m:acc>
                </m:e>
                <m:sub>
                  <m:r>
                    <w:rPr>
                      <w:rFonts w:ascii="Cambria Math" w:hAnsi="Cambria Math" w:cs="Times New Roman"/>
                      <w:sz w:val="24"/>
                      <w:szCs w:val="24"/>
                    </w:rPr>
                    <m:t>los</m:t>
                  </m:r>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cond</m:t>
                      </m:r>
                    </m:sub>
                  </m:sSub>
                </m:sub>
              </m:sSub>
              <m:r>
                <w:rPr>
                  <w:rFonts w:ascii="Cambria Math" w:hAnsi="Cambria Math" w:cs="Times New Roman"/>
                  <w:sz w:val="24"/>
                  <w:szCs w:val="24"/>
                </w:rPr>
                <m:t>= U * A*</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dig</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amb</m:t>
                      </m:r>
                    </m:sub>
                  </m:sSub>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m:t>
                  </m:r>
                  <m:r>
                    <w:rPr>
                      <w:rFonts w:ascii="Cambria Math" w:hAnsi="Cambria Math" w:cs="Times New Roman"/>
                      <w:sz w:val="24"/>
                      <w:szCs w:val="24"/>
                    </w:rPr>
                    <m:t>3</m:t>
                  </m:r>
                </m:e>
              </m:d>
            </m:e>
          </m:eqArr>
        </m:oMath>
      </m:oMathPara>
    </w:p>
    <w:p w:rsidRPr="00162EB8" w:rsidR="00162EB8" w:rsidP="00912C1C" w:rsidRDefault="00162EB8" w14:paraId="01D4C8D2" w14:textId="66A7BD62">
      <w:pPr>
        <w:spacing w:line="360" w:lineRule="auto"/>
        <w:jc w:val="both"/>
        <w:rPr>
          <w:rFonts w:ascii="Times New Roman" w:hAnsi="Times New Roman" w:cs="Times New Roman" w:eastAsiaTheme="minorEastAsia"/>
          <w:sz w:val="24"/>
          <w:szCs w:val="24"/>
        </w:rPr>
      </w:pPr>
      <m:oMathPara>
        <m:oMath>
          <m:eqArr>
            <m:eqArrPr>
              <m:maxDist m:val="1"/>
              <m:ctrlPr>
                <w:rPr>
                  <w:rFonts w:ascii="Cambria Math" w:hAnsi="Cambria Math" w:cs="Times New Roman"/>
                  <w:i/>
                  <w:sz w:val="24"/>
                  <w:szCs w:val="24"/>
                </w:rPr>
              </m:ctrlPr>
            </m:eqArrPr>
            <m:e>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Q</m:t>
                      </m:r>
                    </m:e>
                  </m:acc>
                </m:e>
                <m:sub>
                  <m:r>
                    <w:rPr>
                      <w:rFonts w:ascii="Cambria Math" w:hAnsi="Cambria Math" w:cs="Times New Roman"/>
                      <w:sz w:val="24"/>
                      <w:szCs w:val="24"/>
                    </w:rPr>
                    <m:t>los</m:t>
                  </m:r>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evap</m:t>
                      </m:r>
                    </m:sub>
                  </m:sSub>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evap</m:t>
                  </m:r>
                </m:sub>
              </m:sSub>
              <m:r>
                <w:rPr>
                  <w:rFonts w:ascii="Cambria Math" w:hAnsi="Cambria Math" w:cs="Times New Roman"/>
                  <w:sz w:val="24"/>
                  <w:szCs w:val="24"/>
                </w:rPr>
                <m:t xml:space="preserve">* A * </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vap</m:t>
                      </m:r>
                    </m:sub>
                  </m:sSub>
                  <m:r>
                    <w:rPr>
                      <w:rFonts w:ascii="Cambria Math" w:hAnsi="Cambria Math" w:cs="Times New Roman"/>
                      <w:sz w:val="24"/>
                      <w:szCs w:val="24"/>
                    </w:rPr>
                    <m:t>,sat</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dig</m:t>
                          </m:r>
                        </m:sub>
                      </m:sSub>
                    </m:e>
                  </m:d>
                  <m:r>
                    <w:rPr>
                      <w:rFonts w:ascii="Cambria Math" w:hAnsi="Cambria Math" w:cs="Times New Roman"/>
                      <w:sz w:val="24"/>
                      <w:szCs w:val="24"/>
                    </w:rPr>
                    <m:t xml:space="preserve">- RH * </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vap</m:t>
                      </m:r>
                    </m:sub>
                  </m:sSub>
                  <m:r>
                    <w:rPr>
                      <w:rFonts w:ascii="Cambria Math" w:hAnsi="Cambria Math" w:cs="Times New Roman"/>
                      <w:sz w:val="24"/>
                      <w:szCs w:val="24"/>
                    </w:rPr>
                    <m:t>,sat</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amb</m:t>
                          </m:r>
                        </m:sub>
                      </m:sSub>
                    </m:e>
                  </m:d>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m:t>
                  </m:r>
                  <m:r>
                    <w:rPr>
                      <w:rFonts w:ascii="Cambria Math" w:hAnsi="Cambria Math" w:cs="Times New Roman"/>
                      <w:sz w:val="24"/>
                      <w:szCs w:val="24"/>
                    </w:rPr>
                    <m:t>4</m:t>
                  </m:r>
                </m:e>
              </m:d>
            </m:e>
          </m:eqArr>
        </m:oMath>
      </m:oMathPara>
    </w:p>
    <w:p w:rsidRPr="001F2BEE" w:rsidR="007577B5" w:rsidP="00102447" w:rsidRDefault="00162EB8" w14:paraId="58C89E05" w14:textId="5F7373D2">
      <w:pPr>
        <w:spacing w:line="360" w:lineRule="auto"/>
        <w:jc w:val="both"/>
        <w:rPr>
          <w:rFonts w:ascii="Times New Roman" w:hAnsi="Times New Roman" w:cs="Times New Roman" w:eastAsiaTheme="minorEastAsia"/>
          <w:sz w:val="24"/>
          <w:szCs w:val="24"/>
        </w:rPr>
      </w:pPr>
      <m:oMathPara>
        <m:oMath>
          <m:eqArr>
            <m:eqArrPr>
              <m:maxDist m:val="1"/>
              <m:ctrlPr>
                <w:rPr>
                  <w:rFonts w:ascii="Cambria Math" w:hAnsi="Cambria Math" w:cs="Times New Roman"/>
                  <w:i/>
                  <w:sz w:val="24"/>
                  <w:szCs w:val="24"/>
                </w:rPr>
              </m:ctrlPr>
            </m:eqArrPr>
            <m:e>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Q</m:t>
                      </m:r>
                    </m:e>
                  </m:acc>
                </m:e>
                <m:sub>
                  <m:r>
                    <w:rPr>
                      <w:rFonts w:ascii="Cambria Math" w:hAnsi="Cambria Math" w:cs="Times New Roman"/>
                      <w:sz w:val="24"/>
                      <w:szCs w:val="24"/>
                    </w:rPr>
                    <m:t>i</m:t>
                  </m:r>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flow</m:t>
                      </m:r>
                    </m:sub>
                  </m:sSub>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ṁ</m:t>
                  </m:r>
                </m:e>
                <m:sub>
                  <m:r>
                    <w:rPr>
                      <w:rFonts w:ascii="Cambria Math" w:hAnsi="Cambria Math" w:cs="Times New Roman"/>
                      <w:sz w:val="24"/>
                      <w:szCs w:val="24"/>
                    </w:rPr>
                    <m:t>substrate</m:t>
                  </m:r>
                </m:sub>
              </m:sSub>
              <m:r>
                <w:rPr>
                  <w:rFonts w:ascii="Cambria Math" w:hAnsi="Cambria Math" w:cs="Times New Roman"/>
                  <w:sz w:val="24"/>
                  <w:szCs w:val="24"/>
                </w:rPr>
                <m:t>* C</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substrate</m:t>
                  </m:r>
                </m:sub>
              </m:sSub>
              <m:r>
                <w:rPr>
                  <w:rFonts w:ascii="Cambria Math" w:hAnsi="Cambria Math" w:cs="Times New Roman"/>
                  <w:sz w:val="24"/>
                  <w:szCs w:val="24"/>
                </w:rPr>
                <m:t xml:space="preserve">* </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substrate</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ref</m:t>
                      </m:r>
                    </m:sub>
                  </m:sSub>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m:t>
                  </m:r>
                  <m:r>
                    <w:rPr>
                      <w:rFonts w:ascii="Cambria Math" w:hAnsi="Cambria Math" w:cs="Times New Roman"/>
                      <w:sz w:val="24"/>
                      <w:szCs w:val="24"/>
                    </w:rPr>
                    <m:t>5</m:t>
                  </m:r>
                </m:e>
              </m:d>
            </m:e>
          </m:eqArr>
        </m:oMath>
      </m:oMathPara>
    </w:p>
    <w:p w:rsidRPr="000C01CA" w:rsidR="00CD530B" w:rsidP="00102447" w:rsidRDefault="00010776" w14:paraId="4CB1CBF9" w14:textId="77777777">
      <w:pPr>
        <w:spacing w:line="360" w:lineRule="auto"/>
        <w:jc w:val="both"/>
        <w:rPr>
          <w:rFonts w:ascii="Times New Roman" w:hAnsi="Times New Roman" w:cs="Times New Roman"/>
          <w:sz w:val="24"/>
          <w:szCs w:val="24"/>
        </w:rPr>
      </w:pPr>
      <w:r w:rsidRPr="000C01CA">
        <w:rPr>
          <w:rFonts w:ascii="Times New Roman" w:hAnsi="Times New Roman" w:cs="Times New Roman"/>
          <w:sz w:val="24"/>
          <w:szCs w:val="24"/>
        </w:rPr>
        <w:t>Where:</w:t>
      </w:r>
    </w:p>
    <w:p w:rsidRPr="000C01CA" w:rsidR="00CD530B" w:rsidP="00102447" w:rsidRDefault="00FF3FBC" w14:paraId="5BEAF848" w14:textId="03BF6D79">
      <w:pPr>
        <w:numPr>
          <w:ilvl w:val="0"/>
          <w:numId w:val="3"/>
        </w:numPr>
        <w:spacing w:line="360" w:lineRule="auto"/>
        <w:jc w:val="both"/>
        <w:rPr>
          <w:rFonts w:ascii="Times New Roman" w:hAnsi="Times New Roman" w:cs="Times New Roman"/>
          <w:sz w:val="24"/>
          <w:szCs w:val="24"/>
        </w:rPr>
      </w:pP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m:rPr>
                    <m:sty m:val="p"/>
                  </m:rPr>
                  <w:rPr>
                    <w:rFonts w:ascii="Cambria Math" w:hAnsi="Cambria Math" w:cs="Times New Roman"/>
                    <w:sz w:val="24"/>
                    <w:szCs w:val="24"/>
                  </w:rPr>
                  <m:t>Q</m:t>
                </m:r>
              </m:e>
            </m:acc>
          </m:e>
          <m:sub>
            <m:r>
              <m:rPr>
                <m:sty m:val="p"/>
              </m:rPr>
              <w:rPr>
                <w:rFonts w:ascii="Cambria Math" w:hAnsi="Cambria Math" w:cs="Times New Roman"/>
                <w:sz w:val="24"/>
                <w:szCs w:val="24"/>
              </w:rPr>
              <m:t xml:space="preserve">heat </m:t>
            </m:r>
          </m:sub>
        </m:sSub>
      </m:oMath>
      <w:r w:rsidRPr="43844335" w:rsidR="00CD530B">
        <w:rPr>
          <w:rFonts w:ascii="Times New Roman" w:hAnsi="Times New Roman" w:eastAsia="" w:cs="Times New Roman" w:eastAsiaTheme="minorEastAsia"/>
          <w:sz w:val="24"/>
          <w:szCs w:val="24"/>
        </w:rPr>
        <w:t xml:space="preserve"> </w:t>
      </w:r>
      <w:r w:rsidRPr="000C01CA" w:rsidR="0061561F">
        <w:rPr>
          <w:rFonts w:ascii="Times New Roman" w:hAnsi="Times New Roman" w:cs="Times New Roman"/>
          <w:sz w:val="24"/>
          <w:szCs w:val="24"/>
        </w:rPr>
        <w:t xml:space="preserve"> </w:t>
      </w:r>
      <w:r w:rsidRPr="000C01CA" w:rsidR="0E400E43">
        <w:rPr>
          <w:rFonts w:ascii="Times New Roman" w:hAnsi="Times New Roman" w:cs="Times New Roman"/>
          <w:sz w:val="24"/>
          <w:szCs w:val="24"/>
        </w:rPr>
        <w:t xml:space="preserve">Represents</w:t>
      </w:r>
      <w:r w:rsidRPr="000C01CA" w:rsidR="0061561F">
        <w:rPr>
          <w:rFonts w:ascii="Times New Roman" w:hAnsi="Times New Roman" w:cs="Times New Roman"/>
          <w:sz w:val="24"/>
          <w:szCs w:val="24"/>
        </w:rPr>
        <w:t xml:space="preserve"> the heat flow required by the heating system (from biogas cogeneration or other renewable energy sources).</w:t>
      </w:r>
    </w:p>
    <w:p w:rsidRPr="000C01CA" w:rsidR="00CD530B" w:rsidP="00102447" w:rsidRDefault="00FF3FBC" w14:paraId="499F24C9" w14:textId="77777777">
      <w:pPr>
        <w:numPr>
          <w:ilvl w:val="0"/>
          <w:numId w:val="3"/>
        </w:numPr>
        <w:spacing w:line="360" w:lineRule="auto"/>
        <w:jc w:val="both"/>
        <w:rPr>
          <w:rFonts w:ascii="Times New Roman" w:hAnsi="Times New Roman" w:cs="Times New Roman"/>
          <w:sz w:val="24"/>
          <w:szCs w:val="24"/>
        </w:rPr>
      </w:pP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m:rPr>
                    <m:sty m:val="p"/>
                  </m:rPr>
                  <w:rPr>
                    <w:rFonts w:ascii="Cambria Math" w:hAnsi="Cambria Math" w:cs="Times New Roman"/>
                    <w:sz w:val="24"/>
                    <w:szCs w:val="24"/>
                  </w:rPr>
                  <m:t>Q</m:t>
                </m:r>
              </m:e>
            </m:acc>
          </m:e>
          <m:sub>
            <m:r>
              <m:rPr>
                <m:sty m:val="p"/>
              </m:rPr>
              <w:rPr>
                <w:rFonts w:ascii="Cambria Math" w:hAnsi="Cambria Math" w:cs="Times New Roman"/>
                <w:sz w:val="24"/>
                <w:szCs w:val="24"/>
              </w:rPr>
              <m:t>stored</m:t>
            </m:r>
          </m:sub>
        </m:sSub>
        <m:r>
          <m:rPr>
            <m:sty m:val="p"/>
          </m:rPr>
          <w:rPr>
            <w:rFonts w:ascii="Cambria Math" w:hAnsi="Cambria Math" w:cs="Times New Roman"/>
            <w:sz w:val="24"/>
            <w:szCs w:val="24"/>
          </w:rPr>
          <m:t xml:space="preserve"> </m:t>
        </m:r>
      </m:oMath>
      <w:r w:rsidRPr="000C01CA" w:rsidR="0061561F">
        <w:rPr>
          <w:rFonts w:ascii="Times New Roman" w:hAnsi="Times New Roman" w:cs="Times New Roman"/>
          <w:sz w:val="24"/>
          <w:szCs w:val="24"/>
        </w:rPr>
        <w:t xml:space="preserve">is the change in internal energy stored in the volume of the </w:t>
      </w:r>
      <w:proofErr w:type="gramStart"/>
      <w:r w:rsidRPr="000C01CA" w:rsidR="00010776">
        <w:rPr>
          <w:rFonts w:ascii="Times New Roman" w:hAnsi="Times New Roman" w:cs="Times New Roman"/>
          <w:sz w:val="24"/>
          <w:szCs w:val="24"/>
        </w:rPr>
        <w:t>digester</w:t>
      </w:r>
      <w:r w:rsidRPr="000C01CA" w:rsidR="007F620B">
        <w:rPr>
          <w:rFonts w:ascii="Times New Roman" w:hAnsi="Times New Roman" w:cs="Times New Roman"/>
          <w:sz w:val="24"/>
          <w:szCs w:val="24"/>
        </w:rPr>
        <w:t>.</w:t>
      </w:r>
      <w:proofErr w:type="gramEnd"/>
    </w:p>
    <w:p w:rsidRPr="000C01CA" w:rsidR="00CD530B" w:rsidP="00102447" w:rsidRDefault="00FF3FBC" w14:paraId="5E4B21F1" w14:textId="77777777">
      <w:pPr>
        <w:numPr>
          <w:ilvl w:val="0"/>
          <w:numId w:val="3"/>
        </w:numPr>
        <w:spacing w:line="360" w:lineRule="auto"/>
        <w:jc w:val="both"/>
        <w:rPr>
          <w:rFonts w:ascii="Times New Roman" w:hAnsi="Times New Roman" w:cs="Times New Roman"/>
          <w:sz w:val="24"/>
          <w:szCs w:val="24"/>
        </w:rPr>
      </w:pP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m:rPr>
                    <m:sty m:val="p"/>
                  </m:rPr>
                  <w:rPr>
                    <w:rFonts w:ascii="Cambria Math" w:hAnsi="Cambria Math" w:cs="Times New Roman"/>
                    <w:sz w:val="24"/>
                    <w:szCs w:val="24"/>
                  </w:rPr>
                  <m:t>Q</m:t>
                </m:r>
              </m:e>
            </m:acc>
          </m:e>
          <m:sub>
            <m:r>
              <m:rPr>
                <m:sty m:val="p"/>
              </m:rPr>
              <w:rPr>
                <w:rFonts w:ascii="Cambria Math" w:hAnsi="Cambria Math" w:cs="Times New Roman"/>
                <w:sz w:val="24"/>
                <w:szCs w:val="24"/>
              </w:rPr>
              <m:t>loss</m:t>
            </m:r>
          </m:sub>
        </m:sSub>
        <m:r>
          <m:rPr>
            <m:sty m:val="p"/>
          </m:rPr>
          <w:rPr>
            <w:rFonts w:ascii="Cambria Math" w:hAnsi="Cambria Math" w:cs="Times New Roman"/>
            <w:sz w:val="24"/>
            <w:szCs w:val="24"/>
          </w:rPr>
          <m:t xml:space="preserve">  </m:t>
        </m:r>
      </m:oMath>
      <w:r w:rsidRPr="000C01CA" w:rsidR="00010776">
        <w:rPr>
          <w:rFonts w:ascii="Times New Roman" w:hAnsi="Times New Roman" w:cs="Times New Roman"/>
          <w:sz w:val="24"/>
          <w:szCs w:val="24"/>
        </w:rPr>
        <w:t xml:space="preserve">is the heat flow lost through conduction, convection, and evaporation, which depends directly on typical meteorological year (TMY) data and digester </w:t>
      </w:r>
      <w:proofErr w:type="gramStart"/>
      <w:r w:rsidRPr="000C01CA" w:rsidR="00010776">
        <w:rPr>
          <w:rFonts w:ascii="Times New Roman" w:hAnsi="Times New Roman" w:cs="Times New Roman"/>
          <w:sz w:val="24"/>
          <w:szCs w:val="24"/>
        </w:rPr>
        <w:t>geometry.</w:t>
      </w:r>
      <w:proofErr w:type="gramEnd"/>
    </w:p>
    <w:p w:rsidR="00CD530B" w:rsidP="00102447" w:rsidRDefault="00FF3FBC" w14:paraId="2820E150" w14:textId="1CB2D83F">
      <w:pPr>
        <w:numPr>
          <w:ilvl w:val="0"/>
          <w:numId w:val="3"/>
        </w:numPr>
        <w:spacing w:line="360" w:lineRule="auto"/>
        <w:jc w:val="both"/>
        <w:rPr>
          <w:rFonts w:ascii="Times New Roman" w:hAnsi="Times New Roman" w:cs="Times New Roman"/>
          <w:sz w:val="24"/>
          <w:szCs w:val="24"/>
        </w:rPr>
      </w:pP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m:rPr>
                    <m:sty m:val="p"/>
                  </m:rPr>
                  <w:rPr>
                    <w:rFonts w:ascii="Cambria Math" w:hAnsi="Cambria Math" w:cs="Times New Roman"/>
                    <w:sz w:val="24"/>
                    <w:szCs w:val="24"/>
                  </w:rPr>
                  <m:t>Q</m:t>
                </m:r>
              </m:e>
            </m:acc>
          </m:e>
          <m:sub>
            <m:r>
              <m:rPr>
                <m:sty m:val="p"/>
              </m:rPr>
              <w:rPr>
                <w:rFonts w:ascii="Cambria Math" w:hAnsi="Cambria Math" w:cs="Times New Roman"/>
                <w:sz w:val="24"/>
                <w:szCs w:val="24"/>
              </w:rPr>
              <m:t>in flow</m:t>
            </m:r>
          </m:sub>
        </m:sSub>
        <m:r>
          <m:rPr>
            <m:sty m:val="p"/>
          </m:rPr>
          <w:rPr>
            <w:rFonts w:ascii="Cambria Math" w:hAnsi="Cambria Math" w:cs="Times New Roman"/>
            <w:sz w:val="24"/>
            <w:szCs w:val="24"/>
          </w:rPr>
          <m:t xml:space="preserve"> </m:t>
        </m:r>
      </m:oMath>
      <w:r w:rsidRPr="000C01CA" w:rsidR="00CD530B">
        <w:rPr>
          <w:rFonts w:ascii="Times New Roman" w:hAnsi="Times New Roman" w:cs="Times New Roman" w:eastAsiaTheme="minorEastAsia"/>
          <w:sz w:val="24"/>
          <w:szCs w:val="24"/>
        </w:rPr>
        <w:t xml:space="preserve"> </w:t>
      </w:r>
      <w:r w:rsidRPr="000C01CA" w:rsidR="00010776">
        <w:rPr>
          <w:rFonts w:ascii="Times New Roman" w:hAnsi="Times New Roman" w:cs="Times New Roman"/>
          <w:sz w:val="24"/>
          <w:szCs w:val="24"/>
        </w:rPr>
        <w:t xml:space="preserve">and </w:t>
      </w:r>
      <w:r w:rsidRPr="000C01CA" w:rsidR="00CD530B">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m:rPr>
                    <m:sty m:val="p"/>
                  </m:rPr>
                  <w:rPr>
                    <w:rFonts w:ascii="Cambria Math" w:hAnsi="Cambria Math" w:cs="Times New Roman"/>
                    <w:sz w:val="24"/>
                    <w:szCs w:val="24"/>
                  </w:rPr>
                  <m:t>Q</m:t>
                </m:r>
              </m:e>
            </m:acc>
          </m:e>
          <m:sub>
            <m:r>
              <m:rPr>
                <m:sty m:val="p"/>
              </m:rPr>
              <w:rPr>
                <w:rFonts w:ascii="Cambria Math" w:hAnsi="Cambria Math" w:cs="Times New Roman"/>
                <w:sz w:val="24"/>
                <w:szCs w:val="24"/>
              </w:rPr>
              <m:t>reaction</m:t>
            </m:r>
          </m:sub>
        </m:sSub>
      </m:oMath>
      <w:r w:rsidRPr="000C01CA" w:rsidR="00CD530B">
        <w:rPr>
          <w:rFonts w:ascii="Times New Roman" w:hAnsi="Times New Roman" w:cs="Times New Roman" w:eastAsiaTheme="minorEastAsia"/>
          <w:sz w:val="24"/>
          <w:szCs w:val="24"/>
        </w:rPr>
        <w:t xml:space="preserve"> </w:t>
      </w:r>
      <w:r w:rsidRPr="000C01CA" w:rsidR="00010776">
        <w:rPr>
          <w:rFonts w:ascii="Times New Roman" w:hAnsi="Times New Roman" w:cs="Times New Roman"/>
          <w:sz w:val="24"/>
          <w:szCs w:val="24"/>
        </w:rPr>
        <w:t>are respectively the heat flows provided by the incoming substrate and the heat generated or consumed by biological reactions</w:t>
      </w:r>
      <w:r w:rsidRPr="000C01CA" w:rsidR="00496DA3">
        <w:rPr>
          <w:rFonts w:ascii="Times New Roman" w:hAnsi="Times New Roman" w:cs="Times New Roman"/>
          <w:sz w:val="24"/>
          <w:szCs w:val="24"/>
        </w:rPr>
        <w:t xml:space="preserve"> </w:t>
      </w:r>
      <w:r w:rsidRPr="000C01CA" w:rsidR="000703F4">
        <w:rPr>
          <w:rFonts w:ascii="Times New Roman" w:hAnsi="Times New Roman" w:cs="Times New Roman"/>
          <w:sz w:val="24"/>
          <w:szCs w:val="24"/>
        </w:rPr>
        <w:fldChar w:fldCharType="begin"/>
      </w:r>
      <w:r w:rsidRPr="000C01CA" w:rsidR="000703F4">
        <w:rPr>
          <w:rFonts w:ascii="Times New Roman" w:hAnsi="Times New Roman" w:cs="Times New Roman"/>
          <w:sz w:val="24"/>
          <w:szCs w:val="24"/>
        </w:rPr>
        <w:instrText xml:space="preserve"> ADDIN ZOTERO_ITEM CSL_CITATION {"citationID":"Mhs978Hn","properties":{"formattedCitation":"[15]","plainCitation":"[15]","noteIndex":0},"citationItems":[{"id":42,"uris":["http://zotero.org/users/local/NWCAR5we/items/NETHYINB"],"itemData":{"id":42,"type":"article-journal","abstract":"This study addresses the issue of fluctuating output in cow dung-based biogas (BG) production due to temperature dependence. A thermal model is proposed and implemented in an area with abandoned BG resources, utilizing typical meteorological year (TMY) data. The model aims for constant BG output by maintaining digester temperature at 39 ◦C throughout the year. It is found that integrating heating with a 3100 CUM cow dung-based biogas digester (BD) increase the energy production capacity from 2.25 GWh/year to 3 GWh/year. Subsequently, three different cases are studied: standalone PV, PV-BG system, and PV-BG system with the heating arrangement, and they are scheduled using the area’s TMY data, according to a strategy that can fulfil highly dynamic load curves with 690 kW peak and 264 kW average demand, as reported by the Government of India, with zero loss of power supply probability (LPSP). In the proposed case, the integration of heating reduced the PV and energy storage system (ESS) sizes by 65 % and 52 %, respectively. The current system imposes a COE of INR 2.1/kWh, which is 70 % cheap than grid electricity in the surrounding areas, with the help of proper resource estimation utilizing TMY data, integration of heating, and compressed biogas (CBG) production with energy.","container-title":"Energy","DOI":"10.1016/j.energy.2023.129671","ISSN":"03605442","journalAbbreviation":"Energy","language":"en","page":"129671","source":"DOI.org (Crossref)","title":"Design and techno-economic analysis of an off-grid integrated PV-biogas system with a constant temperature digester for a cost-effective rural application","volume":"287","author":[{"family":"Pal","given":"Ankit"},{"family":"Ilango","given":"G. Saravana"}],"issued":{"date-parts":[["2024",1]]}}}],"schema":"https://github.com/citation-style-language/schema/raw/master/csl-citation.json"} </w:instrText>
      </w:r>
      <w:r w:rsidRPr="000C01CA" w:rsidR="000703F4">
        <w:rPr>
          <w:rFonts w:ascii="Times New Roman" w:hAnsi="Times New Roman" w:cs="Times New Roman"/>
          <w:sz w:val="24"/>
          <w:szCs w:val="24"/>
        </w:rPr>
        <w:fldChar w:fldCharType="separate"/>
      </w:r>
      <w:r w:rsidRPr="000C01CA" w:rsidR="000703F4">
        <w:rPr>
          <w:rFonts w:ascii="Times New Roman" w:hAnsi="Times New Roman" w:cs="Times New Roman"/>
          <w:sz w:val="24"/>
        </w:rPr>
        <w:t>[15]</w:t>
      </w:r>
      <w:r w:rsidRPr="000C01CA" w:rsidR="000703F4">
        <w:rPr>
          <w:rFonts w:ascii="Times New Roman" w:hAnsi="Times New Roman" w:cs="Times New Roman"/>
          <w:sz w:val="24"/>
          <w:szCs w:val="24"/>
        </w:rPr>
        <w:fldChar w:fldCharType="end"/>
      </w:r>
      <w:r w:rsidRPr="000C01CA" w:rsidR="00010776">
        <w:rPr>
          <w:rFonts w:ascii="Times New Roman" w:hAnsi="Times New Roman" w:cs="Times New Roman"/>
          <w:sz w:val="24"/>
          <w:szCs w:val="24"/>
        </w:rPr>
        <w:t>.</w:t>
      </w:r>
    </w:p>
    <w:p w:rsidR="004A4861" w:rsidP="004A4861" w:rsidRDefault="004A4861" w14:paraId="4DF0114A" w14:textId="77777777">
      <w:pPr>
        <w:spacing w:line="360" w:lineRule="auto"/>
        <w:jc w:val="both"/>
        <w:rPr>
          <w:rFonts w:ascii="Times New Roman" w:hAnsi="Times New Roman" w:cs="Times New Roman"/>
          <w:sz w:val="24"/>
          <w:szCs w:val="24"/>
        </w:rPr>
      </w:pPr>
    </w:p>
    <w:p w:rsidRPr="000C01CA" w:rsidR="004A4861" w:rsidP="004A4861" w:rsidRDefault="004A4861" w14:paraId="1EB2E64D" w14:textId="77777777">
      <w:pPr>
        <w:spacing w:line="360" w:lineRule="auto"/>
        <w:jc w:val="both"/>
        <w:rPr>
          <w:rFonts w:ascii="Times New Roman" w:hAnsi="Times New Roman" w:cs="Times New Roman"/>
          <w:sz w:val="24"/>
          <w:szCs w:val="24"/>
        </w:rPr>
      </w:pPr>
    </w:p>
    <w:p w:rsidRPr="000C01CA" w:rsidR="00010776" w:rsidP="00102447" w:rsidRDefault="00010776" w14:paraId="219326F9" w14:textId="77777777">
      <w:pPr>
        <w:spacing w:line="360" w:lineRule="auto"/>
        <w:jc w:val="both"/>
        <w:rPr>
          <w:rFonts w:ascii="Times New Roman" w:hAnsi="Times New Roman" w:cs="Times New Roman"/>
          <w:b/>
          <w:bCs/>
          <w:sz w:val="24"/>
          <w:szCs w:val="24"/>
        </w:rPr>
      </w:pPr>
      <w:r w:rsidRPr="000C01CA">
        <w:rPr>
          <w:rFonts w:ascii="Times New Roman" w:hAnsi="Times New Roman" w:cs="Times New Roman"/>
          <w:b/>
          <w:bCs/>
          <w:sz w:val="24"/>
          <w:szCs w:val="24"/>
        </w:rPr>
        <w:t>IV.6.    Overall Performance Indicator</w:t>
      </w:r>
    </w:p>
    <w:p w:rsidR="00707828" w:rsidP="00102447" w:rsidRDefault="00010776" w14:paraId="254AD528" w14:textId="77777777">
      <w:pPr>
        <w:spacing w:line="360" w:lineRule="auto"/>
        <w:ind w:firstLine="720"/>
        <w:jc w:val="both"/>
        <w:rPr>
          <w:rFonts w:ascii="Times New Roman" w:hAnsi="Times New Roman" w:cs="Times New Roman"/>
          <w:sz w:val="24"/>
          <w:szCs w:val="24"/>
        </w:rPr>
      </w:pPr>
      <w:r w:rsidRPr="000C01CA">
        <w:rPr>
          <w:rFonts w:ascii="Times New Roman" w:hAnsi="Times New Roman" w:cs="Times New Roman"/>
          <w:sz w:val="24"/>
          <w:szCs w:val="24"/>
        </w:rPr>
        <w:t>This is the final equation that proves the efficiency of the integrated system with an integrated LER (Land Equivalent Ratio) that includes the biogas component.</w:t>
      </w:r>
    </w:p>
    <w:p w:rsidRPr="00ED66BA" w:rsidR="001F2BEE" w:rsidP="00102447" w:rsidRDefault="00ED66BA" w14:paraId="0900975F" w14:textId="34292CAF">
      <w:pPr>
        <w:spacing w:line="360" w:lineRule="auto"/>
        <w:ind w:firstLine="720"/>
        <w:jc w:val="both"/>
        <w:rPr>
          <w:rFonts w:ascii="Times New Roman" w:hAnsi="Times New Roman" w:cs="Times New Roman" w:eastAsiaTheme="minorEastAsia"/>
          <w:sz w:val="24"/>
          <w:szCs w:val="24"/>
        </w:rPr>
      </w:pPr>
      <m:oMathPara>
        <m:oMath>
          <m:eqArr>
            <m:eqArrPr>
              <m:maxDist m:val="1"/>
              <m:ctrlPr>
                <w:rPr>
                  <w:rFonts w:ascii="Cambria Math" w:hAnsi="Cambria Math" w:cs="Times New Roman"/>
                  <w:i/>
                  <w:sz w:val="24"/>
                  <w:szCs w:val="24"/>
                </w:rPr>
              </m:ctrlPr>
            </m:eqArrPr>
            <m:e>
              <m:sSub>
                <m:sSubPr>
                  <m:ctrlPr>
                    <w:rPr>
                      <w:rFonts w:ascii="Cambria Math" w:hAnsi="Cambria Math" w:cs="Times New Roman"/>
                      <w:sz w:val="24"/>
                      <w:szCs w:val="24"/>
                    </w:rPr>
                  </m:ctrlPr>
                </m:sSubPr>
                <m:e>
                  <m:r>
                    <m:rPr>
                      <m:sty m:val="p"/>
                    </m:rPr>
                    <w:rPr>
                      <w:rFonts w:ascii="Cambria Math" w:hAnsi="Cambria Math" w:cs="Times New Roman"/>
                      <w:sz w:val="24"/>
                      <w:szCs w:val="24"/>
                    </w:rPr>
                    <m:t>LER</m:t>
                  </m:r>
                </m:e>
                <m:sub>
                  <m:r>
                    <m:rPr>
                      <m:sty m:val="p"/>
                    </m:rPr>
                    <w:rPr>
                      <w:rFonts w:ascii="Cambria Math" w:hAnsi="Cambria Math" w:cs="Times New Roman"/>
                      <w:sz w:val="24"/>
                      <w:szCs w:val="24"/>
                    </w:rPr>
                    <m:t>Global</m:t>
                  </m:r>
                </m:sub>
              </m:sSub>
              <m:r>
                <m:rPr>
                  <m:sty m:val="p"/>
                </m:rPr>
                <w:rPr>
                  <w:rFonts w:ascii="Cambria Math" w:hAnsi="Cambria Math" w:cs="Times New Roman"/>
                  <w:sz w:val="24"/>
                  <w:szCs w:val="24"/>
                </w:rPr>
                <m:t> =</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Y</m:t>
                      </m:r>
                    </m:e>
                    <m:sub>
                      <m:r>
                        <m:rPr>
                          <m:sty m:val="p"/>
                        </m:rPr>
                        <w:rPr>
                          <w:rFonts w:ascii="Cambria Math" w:hAnsi="Cambria Math" w:cs="Times New Roman"/>
                          <w:sz w:val="24"/>
                          <w:szCs w:val="24"/>
                        </w:rPr>
                        <m:t>crop</m:t>
                      </m:r>
                      <m:d>
                        <m:dPr>
                          <m:ctrlPr>
                            <w:rPr>
                              <w:rFonts w:ascii="Cambria Math" w:hAnsi="Cambria Math" w:cs="Times New Roman"/>
                              <w:sz w:val="24"/>
                              <w:szCs w:val="24"/>
                            </w:rPr>
                          </m:ctrlPr>
                        </m:dPr>
                        <m:e>
                          <m:r>
                            <m:rPr>
                              <m:sty m:val="p"/>
                            </m:rPr>
                            <w:rPr>
                              <w:rFonts w:ascii="Cambria Math" w:hAnsi="Cambria Math" w:cs="Times New Roman"/>
                              <w:sz w:val="24"/>
                              <w:szCs w:val="24"/>
                            </w:rPr>
                            <m:t>AV</m:t>
                          </m:r>
                        </m:e>
                      </m:d>
                    </m:sub>
                  </m:sSub>
                </m:num>
                <m:den>
                  <m:sSub>
                    <m:sSubPr>
                      <m:ctrlPr>
                        <w:rPr>
                          <w:rFonts w:ascii="Cambria Math" w:hAnsi="Cambria Math" w:cs="Times New Roman"/>
                          <w:sz w:val="24"/>
                          <w:szCs w:val="24"/>
                        </w:rPr>
                      </m:ctrlPr>
                    </m:sSubPr>
                    <m:e>
                      <m:r>
                        <m:rPr>
                          <m:sty m:val="p"/>
                        </m:rPr>
                        <w:rPr>
                          <w:rFonts w:ascii="Cambria Math" w:hAnsi="Cambria Math" w:cs="Times New Roman"/>
                          <w:sz w:val="24"/>
                          <w:szCs w:val="24"/>
                        </w:rPr>
                        <m:t>Y</m:t>
                      </m:r>
                    </m:e>
                    <m:sub>
                      <m:r>
                        <m:rPr>
                          <m:sty m:val="p"/>
                        </m:rPr>
                        <w:rPr>
                          <w:rFonts w:ascii="Cambria Math" w:hAnsi="Cambria Math" w:cs="Times New Roman"/>
                          <w:sz w:val="24"/>
                          <w:szCs w:val="24"/>
                        </w:rPr>
                        <m:t>crop</m:t>
                      </m:r>
                      <m:d>
                        <m:dPr>
                          <m:ctrlPr>
                            <w:rPr>
                              <w:rFonts w:ascii="Cambria Math" w:hAnsi="Cambria Math" w:cs="Times New Roman"/>
                              <w:sz w:val="24"/>
                              <w:szCs w:val="24"/>
                            </w:rPr>
                          </m:ctrlPr>
                        </m:dPr>
                        <m:e>
                          <m:r>
                            <m:rPr>
                              <m:sty m:val="p"/>
                            </m:rPr>
                            <w:rPr>
                              <w:rFonts w:ascii="Cambria Math" w:hAnsi="Cambria Math" w:cs="Times New Roman"/>
                              <w:sz w:val="24"/>
                              <w:szCs w:val="24"/>
                            </w:rPr>
                            <m:t>open</m:t>
                          </m:r>
                        </m:e>
                      </m:d>
                    </m:sub>
                  </m:sSub>
                </m:den>
              </m:f>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Y</m:t>
                      </m:r>
                    </m:e>
                    <m:sub>
                      <m:r>
                        <m:rPr>
                          <m:sty m:val="p"/>
                        </m:rPr>
                        <w:rPr>
                          <w:rFonts w:ascii="Cambria Math" w:hAnsi="Cambria Math" w:cs="Times New Roman"/>
                          <w:sz w:val="24"/>
                          <w:szCs w:val="24"/>
                        </w:rPr>
                        <m:t>PV</m:t>
                      </m:r>
                      <m:d>
                        <m:dPr>
                          <m:ctrlPr>
                            <w:rPr>
                              <w:rFonts w:ascii="Cambria Math" w:hAnsi="Cambria Math" w:cs="Times New Roman"/>
                              <w:sz w:val="24"/>
                              <w:szCs w:val="24"/>
                            </w:rPr>
                          </m:ctrlPr>
                        </m:dPr>
                        <m:e>
                          <m:r>
                            <m:rPr>
                              <m:sty m:val="p"/>
                            </m:rPr>
                            <w:rPr>
                              <w:rFonts w:ascii="Cambria Math" w:hAnsi="Cambria Math" w:cs="Times New Roman"/>
                              <w:sz w:val="24"/>
                              <w:szCs w:val="24"/>
                            </w:rPr>
                            <m:t>AV</m:t>
                          </m:r>
                        </m:e>
                      </m:d>
                    </m:sub>
                  </m:sSub>
                </m:num>
                <m:den>
                  <m:sSub>
                    <m:sSubPr>
                      <m:ctrlPr>
                        <w:rPr>
                          <w:rFonts w:ascii="Cambria Math" w:hAnsi="Cambria Math" w:cs="Times New Roman"/>
                          <w:sz w:val="24"/>
                          <w:szCs w:val="24"/>
                        </w:rPr>
                      </m:ctrlPr>
                    </m:sSubPr>
                    <m:e>
                      <m:r>
                        <m:rPr>
                          <m:sty m:val="p"/>
                        </m:rPr>
                        <w:rPr>
                          <w:rFonts w:ascii="Cambria Math" w:hAnsi="Cambria Math" w:cs="Times New Roman"/>
                          <w:sz w:val="24"/>
                          <w:szCs w:val="24"/>
                        </w:rPr>
                        <m:t>Y</m:t>
                      </m:r>
                    </m:e>
                    <m:sub>
                      <m:r>
                        <m:rPr>
                          <m:sty m:val="p"/>
                        </m:rPr>
                        <w:rPr>
                          <w:rFonts w:ascii="Cambria Math" w:hAnsi="Cambria Math" w:cs="Times New Roman"/>
                          <w:sz w:val="24"/>
                          <w:szCs w:val="24"/>
                        </w:rPr>
                        <m:t>PV</m:t>
                      </m:r>
                      <m:d>
                        <m:dPr>
                          <m:ctrlPr>
                            <w:rPr>
                              <w:rFonts w:ascii="Cambria Math" w:hAnsi="Cambria Math" w:cs="Times New Roman"/>
                              <w:sz w:val="24"/>
                              <w:szCs w:val="24"/>
                            </w:rPr>
                          </m:ctrlPr>
                        </m:dPr>
                        <m:e>
                          <m:r>
                            <m:rPr>
                              <m:sty m:val="p"/>
                            </m:rPr>
                            <w:rPr>
                              <w:rFonts w:ascii="Cambria Math" w:hAnsi="Cambria Math" w:cs="Times New Roman"/>
                              <w:sz w:val="24"/>
                              <w:szCs w:val="24"/>
                            </w:rPr>
                            <m:t>open</m:t>
                          </m:r>
                        </m:e>
                      </m:d>
                    </m:sub>
                  </m:sSub>
                </m:den>
              </m:f>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Y</m:t>
                      </m:r>
                    </m:e>
                    <m:sub>
                      <m:r>
                        <m:rPr>
                          <m:sty m:val="p"/>
                        </m:rPr>
                        <w:rPr>
                          <w:rFonts w:ascii="Cambria Math" w:hAnsi="Cambria Math" w:cs="Times New Roman"/>
                          <w:sz w:val="24"/>
                          <w:szCs w:val="24"/>
                        </w:rPr>
                        <m:t>Biogas</m:t>
                      </m:r>
                    </m:sub>
                  </m:sSub>
                </m:num>
                <m:den>
                  <m:sSub>
                    <m:sSubPr>
                      <m:ctrlPr>
                        <w:rPr>
                          <w:rFonts w:ascii="Cambria Math" w:hAnsi="Cambria Math" w:cs="Times New Roman"/>
                          <w:sz w:val="24"/>
                          <w:szCs w:val="24"/>
                        </w:rPr>
                      </m:ctrlPr>
                    </m:sSubPr>
                    <m:e>
                      <m:r>
                        <m:rPr>
                          <m:sty m:val="p"/>
                        </m:rPr>
                        <w:rPr>
                          <w:rFonts w:ascii="Cambria Math" w:hAnsi="Cambria Math" w:cs="Times New Roman"/>
                          <w:sz w:val="24"/>
                          <w:szCs w:val="24"/>
                        </w:rPr>
                        <m:t>Y</m:t>
                      </m:r>
                    </m:e>
                    <m:sub>
                      <m:r>
                        <m:rPr>
                          <m:sty m:val="p"/>
                        </m:rPr>
                        <w:rPr>
                          <w:rFonts w:ascii="Cambria Math" w:hAnsi="Cambria Math" w:cs="Times New Roman"/>
                          <w:sz w:val="24"/>
                          <w:szCs w:val="24"/>
                        </w:rPr>
                        <m:t>Ref,Biogas</m:t>
                      </m:r>
                    </m:sub>
                  </m:sSub>
                </m:den>
              </m:f>
              <m:r>
                <w:rPr>
                  <w:rFonts w:ascii="Cambria Math" w:hAnsi="Cambria Math" w:cs="Times New Roman"/>
                  <w:sz w:val="24"/>
                  <w:szCs w:val="24"/>
                </w:rPr>
                <m:t xml:space="preserve"> #</m:t>
              </m:r>
              <m:d>
                <m:dPr>
                  <m:ctrlPr>
                    <w:rPr>
                      <w:rFonts w:ascii="Cambria Math" w:hAnsi="Cambria Math" w:cs="Times New Roman"/>
                      <w:i/>
                      <w:sz w:val="24"/>
                      <w:szCs w:val="24"/>
                    </w:rPr>
                  </m:ctrlPr>
                </m:dPr>
                <m:e>
                  <m:r>
                    <w:rPr>
                      <w:rFonts w:ascii="Cambria Math" w:hAnsi="Cambria Math" w:cs="Times New Roman"/>
                      <w:sz w:val="24"/>
                      <w:szCs w:val="24"/>
                    </w:rPr>
                    <m:t>16</m:t>
                  </m:r>
                </m:e>
              </m:d>
            </m:e>
          </m:eqArr>
        </m:oMath>
      </m:oMathPara>
    </w:p>
    <w:p w:rsidRPr="000C01CA" w:rsidR="00CD530B" w:rsidP="00102447" w:rsidRDefault="00010776" w14:paraId="6B5B21A8" w14:textId="1D8BF579">
      <w:pPr>
        <w:spacing w:line="360" w:lineRule="auto"/>
        <w:jc w:val="both"/>
        <w:rPr>
          <w:rFonts w:ascii="Times New Roman" w:hAnsi="Times New Roman" w:cs="Times New Roman"/>
          <w:sz w:val="24"/>
          <w:szCs w:val="24"/>
        </w:rPr>
      </w:pPr>
      <w:r w:rsidRPr="00401DD7">
        <w:rPr>
          <w:rFonts w:ascii="Times New Roman" w:hAnsi="Times New Roman" w:cs="Times New Roman"/>
          <w:bCs/>
          <w:sz w:val="24"/>
          <w:szCs w:val="24"/>
        </w:rPr>
        <w:t>W</w:t>
      </w:r>
      <w:r w:rsidR="00401DD7">
        <w:rPr>
          <w:rFonts w:ascii="Times New Roman" w:hAnsi="Times New Roman" w:cs="Times New Roman"/>
          <w:bCs/>
          <w:sz w:val="24"/>
          <w:szCs w:val="24"/>
        </w:rPr>
        <w:t>h</w:t>
      </w:r>
      <w:r w:rsidRPr="00401DD7">
        <w:rPr>
          <w:rFonts w:ascii="Times New Roman" w:hAnsi="Times New Roman" w:cs="Times New Roman"/>
          <w:bCs/>
          <w:sz w:val="24"/>
          <w:szCs w:val="24"/>
        </w:rPr>
        <w:t>ere</w:t>
      </w:r>
      <w:r w:rsidRPr="000C01CA">
        <w:rPr>
          <w:rFonts w:ascii="Times New Roman" w:hAnsi="Times New Roman" w:cs="Times New Roman"/>
          <w:b/>
          <w:bCs/>
          <w:sz w:val="24"/>
          <w:szCs w:val="24"/>
        </w:rPr>
        <w:t>:</w:t>
      </w:r>
    </w:p>
    <w:p w:rsidRPr="000C01CA" w:rsidR="00010776" w:rsidP="00102447" w:rsidRDefault="00FF3FBC" w14:paraId="222723CB" w14:textId="77777777">
      <w:pPr>
        <w:numPr>
          <w:ilvl w:val="0"/>
          <w:numId w:val="4"/>
        </w:numPr>
        <w:spacing w:line="360" w:lineRule="auto"/>
        <w:jc w:val="both"/>
        <w:rPr>
          <w:rFonts w:ascii="Times New Roman" w:hAnsi="Times New Roman" w:cs="Times New Roman"/>
          <w:sz w:val="24"/>
          <w:szCs w:val="24"/>
        </w:rPr>
      </w:pPr>
      <m:oMath>
        <m:f>
          <m:fPr>
            <m:ctrlPr>
              <w:rPr>
                <w:rFonts w:ascii="Cambria Math" w:hAnsi="Cambria Math" w:cs="Times New Roman"/>
                <w:b/>
                <w:sz w:val="24"/>
                <w:szCs w:val="24"/>
              </w:rPr>
            </m:ctrlPr>
          </m:fPr>
          <m:num>
            <m:sSub>
              <m:sSubPr>
                <m:ctrlPr>
                  <w:rPr>
                    <w:rFonts w:ascii="Cambria Math" w:hAnsi="Cambria Math" w:cs="Times New Roman"/>
                    <w:b/>
                    <w:sz w:val="24"/>
                    <w:szCs w:val="24"/>
                  </w:rPr>
                </m:ctrlPr>
              </m:sSubPr>
              <m:e>
                <m:r>
                  <m:rPr>
                    <m:sty m:val="b"/>
                  </m:rPr>
                  <w:rPr>
                    <w:rFonts w:ascii="Cambria Math" w:hAnsi="Cambria Math" w:cs="Times New Roman"/>
                    <w:sz w:val="24"/>
                    <w:szCs w:val="24"/>
                  </w:rPr>
                  <m:t>Y</m:t>
                </m:r>
              </m:e>
              <m:sub>
                <m:r>
                  <m:rPr>
                    <m:sty m:val="b"/>
                  </m:rPr>
                  <w:rPr>
                    <w:rFonts w:ascii="Cambria Math" w:hAnsi="Cambria Math" w:cs="Times New Roman"/>
                    <w:sz w:val="24"/>
                    <w:szCs w:val="24"/>
                  </w:rPr>
                  <m:t>crop</m:t>
                </m:r>
                <m:d>
                  <m:dPr>
                    <m:ctrlPr>
                      <w:rPr>
                        <w:rFonts w:ascii="Cambria Math" w:hAnsi="Cambria Math" w:cs="Times New Roman"/>
                        <w:b/>
                        <w:sz w:val="24"/>
                        <w:szCs w:val="24"/>
                      </w:rPr>
                    </m:ctrlPr>
                  </m:dPr>
                  <m:e>
                    <m:r>
                      <m:rPr>
                        <m:sty m:val="b"/>
                      </m:rPr>
                      <w:rPr>
                        <w:rFonts w:ascii="Cambria Math" w:hAnsi="Cambria Math" w:cs="Times New Roman"/>
                        <w:sz w:val="24"/>
                        <w:szCs w:val="24"/>
                      </w:rPr>
                      <m:t>AV</m:t>
                    </m:r>
                  </m:e>
                </m:d>
              </m:sub>
            </m:sSub>
          </m:num>
          <m:den>
            <m:sSub>
              <m:sSubPr>
                <m:ctrlPr>
                  <w:rPr>
                    <w:rFonts w:ascii="Cambria Math" w:hAnsi="Cambria Math" w:cs="Times New Roman"/>
                    <w:b/>
                    <w:sz w:val="24"/>
                    <w:szCs w:val="24"/>
                  </w:rPr>
                </m:ctrlPr>
              </m:sSubPr>
              <m:e>
                <m:r>
                  <m:rPr>
                    <m:sty m:val="b"/>
                  </m:rPr>
                  <w:rPr>
                    <w:rFonts w:ascii="Cambria Math" w:hAnsi="Cambria Math" w:cs="Times New Roman"/>
                    <w:sz w:val="24"/>
                    <w:szCs w:val="24"/>
                  </w:rPr>
                  <m:t>Y</m:t>
                </m:r>
              </m:e>
              <m:sub>
                <m:r>
                  <m:rPr>
                    <m:sty m:val="b"/>
                  </m:rPr>
                  <w:rPr>
                    <w:rFonts w:ascii="Cambria Math" w:hAnsi="Cambria Math" w:cs="Times New Roman"/>
                    <w:sz w:val="24"/>
                    <w:szCs w:val="24"/>
                  </w:rPr>
                  <m:t>crop</m:t>
                </m:r>
                <m:d>
                  <m:dPr>
                    <m:ctrlPr>
                      <w:rPr>
                        <w:rFonts w:ascii="Cambria Math" w:hAnsi="Cambria Math" w:cs="Times New Roman"/>
                        <w:b/>
                        <w:sz w:val="24"/>
                        <w:szCs w:val="24"/>
                      </w:rPr>
                    </m:ctrlPr>
                  </m:dPr>
                  <m:e>
                    <m:r>
                      <m:rPr>
                        <m:sty m:val="b"/>
                      </m:rPr>
                      <w:rPr>
                        <w:rFonts w:ascii="Cambria Math" w:hAnsi="Cambria Math" w:cs="Times New Roman"/>
                        <w:sz w:val="24"/>
                        <w:szCs w:val="24"/>
                      </w:rPr>
                      <m:t>open</m:t>
                    </m:r>
                  </m:e>
                </m:d>
              </m:sub>
            </m:sSub>
          </m:den>
        </m:f>
      </m:oMath>
      <w:r w:rsidRPr="000C01CA" w:rsidR="00CD530B">
        <w:rPr>
          <w:rFonts w:ascii="Times New Roman" w:hAnsi="Times New Roman" w:cs="Times New Roman"/>
          <w:sz w:val="24"/>
          <w:szCs w:val="24"/>
        </w:rPr>
        <w:t xml:space="preserve">: </w:t>
      </w:r>
      <w:r w:rsidRPr="000C01CA" w:rsidR="00010776">
        <w:rPr>
          <w:rFonts w:ascii="Times New Roman" w:hAnsi="Times New Roman" w:cs="Times New Roman"/>
          <w:sz w:val="24"/>
          <w:szCs w:val="24"/>
        </w:rPr>
        <w:t>Agricultural yield ratio (under cover cultivation/open field cultivation).</w:t>
      </w:r>
    </w:p>
    <w:p w:rsidRPr="000C01CA" w:rsidR="00CD530B" w:rsidP="00102447" w:rsidRDefault="00FF3FBC" w14:paraId="6791158D" w14:textId="77777777">
      <w:pPr>
        <w:numPr>
          <w:ilvl w:val="0"/>
          <w:numId w:val="4"/>
        </w:numPr>
        <w:spacing w:line="360" w:lineRule="auto"/>
        <w:jc w:val="both"/>
        <w:rPr>
          <w:rFonts w:ascii="Times New Roman" w:hAnsi="Times New Roman" w:cs="Times New Roman"/>
          <w:sz w:val="24"/>
          <w:szCs w:val="24"/>
        </w:rPr>
      </w:pPr>
      <m:oMath>
        <m:f>
          <m:fPr>
            <m:ctrlPr>
              <w:rPr>
                <w:rFonts w:ascii="Cambria Math" w:hAnsi="Cambria Math" w:cs="Times New Roman"/>
                <w:b/>
                <w:sz w:val="24"/>
                <w:szCs w:val="24"/>
              </w:rPr>
            </m:ctrlPr>
          </m:fPr>
          <m:num>
            <m:sSub>
              <m:sSubPr>
                <m:ctrlPr>
                  <w:rPr>
                    <w:rFonts w:ascii="Cambria Math" w:hAnsi="Cambria Math" w:cs="Times New Roman"/>
                    <w:b/>
                    <w:sz w:val="24"/>
                    <w:szCs w:val="24"/>
                  </w:rPr>
                </m:ctrlPr>
              </m:sSubPr>
              <m:e>
                <m:r>
                  <m:rPr>
                    <m:sty m:val="b"/>
                  </m:rPr>
                  <w:rPr>
                    <w:rFonts w:ascii="Cambria Math" w:hAnsi="Cambria Math" w:cs="Times New Roman"/>
                    <w:sz w:val="24"/>
                    <w:szCs w:val="24"/>
                  </w:rPr>
                  <m:t>Y</m:t>
                </m:r>
              </m:e>
              <m:sub>
                <m:r>
                  <m:rPr>
                    <m:sty m:val="b"/>
                  </m:rPr>
                  <w:rPr>
                    <w:rFonts w:ascii="Cambria Math" w:hAnsi="Cambria Math" w:cs="Times New Roman"/>
                    <w:sz w:val="24"/>
                    <w:szCs w:val="24"/>
                  </w:rPr>
                  <m:t>PV</m:t>
                </m:r>
                <m:d>
                  <m:dPr>
                    <m:ctrlPr>
                      <w:rPr>
                        <w:rFonts w:ascii="Cambria Math" w:hAnsi="Cambria Math" w:cs="Times New Roman"/>
                        <w:b/>
                        <w:sz w:val="24"/>
                        <w:szCs w:val="24"/>
                      </w:rPr>
                    </m:ctrlPr>
                  </m:dPr>
                  <m:e>
                    <m:r>
                      <m:rPr>
                        <m:sty m:val="b"/>
                      </m:rPr>
                      <w:rPr>
                        <w:rFonts w:ascii="Cambria Math" w:hAnsi="Cambria Math" w:cs="Times New Roman"/>
                        <w:sz w:val="24"/>
                        <w:szCs w:val="24"/>
                      </w:rPr>
                      <m:t>AV</m:t>
                    </m:r>
                  </m:e>
                </m:d>
              </m:sub>
            </m:sSub>
          </m:num>
          <m:den>
            <m:sSub>
              <m:sSubPr>
                <m:ctrlPr>
                  <w:rPr>
                    <w:rFonts w:ascii="Cambria Math" w:hAnsi="Cambria Math" w:cs="Times New Roman"/>
                    <w:b/>
                    <w:sz w:val="24"/>
                    <w:szCs w:val="24"/>
                  </w:rPr>
                </m:ctrlPr>
              </m:sSubPr>
              <m:e>
                <m:r>
                  <m:rPr>
                    <m:sty m:val="b"/>
                  </m:rPr>
                  <w:rPr>
                    <w:rFonts w:ascii="Cambria Math" w:hAnsi="Cambria Math" w:cs="Times New Roman"/>
                    <w:sz w:val="24"/>
                    <w:szCs w:val="24"/>
                  </w:rPr>
                  <m:t>Y</m:t>
                </m:r>
              </m:e>
              <m:sub>
                <m:r>
                  <m:rPr>
                    <m:sty m:val="b"/>
                  </m:rPr>
                  <w:rPr>
                    <w:rFonts w:ascii="Cambria Math" w:hAnsi="Cambria Math" w:cs="Times New Roman"/>
                    <w:sz w:val="24"/>
                    <w:szCs w:val="24"/>
                  </w:rPr>
                  <m:t>PV</m:t>
                </m:r>
                <m:d>
                  <m:dPr>
                    <m:ctrlPr>
                      <w:rPr>
                        <w:rFonts w:ascii="Cambria Math" w:hAnsi="Cambria Math" w:cs="Times New Roman"/>
                        <w:b/>
                        <w:sz w:val="24"/>
                        <w:szCs w:val="24"/>
                      </w:rPr>
                    </m:ctrlPr>
                  </m:dPr>
                  <m:e>
                    <m:r>
                      <m:rPr>
                        <m:sty m:val="b"/>
                      </m:rPr>
                      <w:rPr>
                        <w:rFonts w:ascii="Cambria Math" w:hAnsi="Cambria Math" w:cs="Times New Roman"/>
                        <w:sz w:val="24"/>
                        <w:szCs w:val="24"/>
                      </w:rPr>
                      <m:t>open</m:t>
                    </m:r>
                  </m:e>
                </m:d>
              </m:sub>
            </m:sSub>
          </m:den>
        </m:f>
      </m:oMath>
      <w:r w:rsidRPr="000C01CA" w:rsidR="00CD530B">
        <w:rPr>
          <w:rFonts w:ascii="Times New Roman" w:hAnsi="Times New Roman" w:cs="Times New Roman"/>
          <w:b/>
          <w:sz w:val="24"/>
          <w:szCs w:val="24"/>
        </w:rPr>
        <w:t>:</w:t>
      </w:r>
      <w:r w:rsidRPr="000C01CA" w:rsidR="00CD530B">
        <w:rPr>
          <w:rFonts w:ascii="Times New Roman" w:hAnsi="Times New Roman" w:cs="Times New Roman"/>
          <w:sz w:val="24"/>
          <w:szCs w:val="24"/>
        </w:rPr>
        <w:t xml:space="preserve"> </w:t>
      </w:r>
      <w:r w:rsidRPr="000C01CA" w:rsidR="00010776">
        <w:rPr>
          <w:rFonts w:ascii="Times New Roman" w:hAnsi="Times New Roman" w:cs="Times New Roman"/>
          <w:sz w:val="24"/>
          <w:szCs w:val="24"/>
        </w:rPr>
        <w:t>Solar power generation ratio</w:t>
      </w:r>
      <w:r w:rsidRPr="000C01CA" w:rsidR="00CD530B">
        <w:rPr>
          <w:rFonts w:ascii="Times New Roman" w:hAnsi="Times New Roman" w:cs="Times New Roman"/>
          <w:sz w:val="24"/>
          <w:szCs w:val="24"/>
        </w:rPr>
        <w:t>.</w:t>
      </w:r>
    </w:p>
    <w:p w:rsidRPr="000C01CA" w:rsidR="00DE61AE" w:rsidP="00102447" w:rsidRDefault="00FF3FBC" w14:paraId="6D40EC0A" w14:textId="02DA4EAB">
      <w:pPr>
        <w:numPr>
          <w:ilvl w:val="0"/>
          <w:numId w:val="4"/>
        </w:numPr>
        <w:spacing w:line="360" w:lineRule="auto"/>
        <w:jc w:val="both"/>
        <w:rPr>
          <w:rFonts w:ascii="Times New Roman" w:hAnsi="Times New Roman" w:cs="Times New Roman"/>
          <w:sz w:val="24"/>
          <w:szCs w:val="24"/>
        </w:rPr>
      </w:pPr>
      <m:oMath>
        <m:f>
          <m:fPr>
            <m:ctrlPr>
              <w:rPr>
                <w:rFonts w:ascii="Cambria Math" w:hAnsi="Cambria Math" w:cs="Times New Roman"/>
                <w:b/>
                <w:sz w:val="24"/>
                <w:szCs w:val="24"/>
              </w:rPr>
            </m:ctrlPr>
          </m:fPr>
          <m:num>
            <m:sSub>
              <m:sSubPr>
                <m:ctrlPr>
                  <w:rPr>
                    <w:rFonts w:ascii="Cambria Math" w:hAnsi="Cambria Math" w:cs="Times New Roman"/>
                    <w:b/>
                    <w:sz w:val="24"/>
                    <w:szCs w:val="24"/>
                  </w:rPr>
                </m:ctrlPr>
              </m:sSubPr>
              <m:e>
                <m:r>
                  <m:rPr>
                    <m:sty m:val="b"/>
                  </m:rPr>
                  <w:rPr>
                    <w:rFonts w:ascii="Cambria Math" w:hAnsi="Cambria Math" w:cs="Times New Roman"/>
                    <w:sz w:val="24"/>
                    <w:szCs w:val="24"/>
                  </w:rPr>
                  <m:t>Y</m:t>
                </m:r>
              </m:e>
              <m:sub>
                <m:r>
                  <m:rPr>
                    <m:sty m:val="b"/>
                  </m:rPr>
                  <w:rPr>
                    <w:rFonts w:ascii="Cambria Math" w:hAnsi="Cambria Math" w:cs="Times New Roman"/>
                    <w:sz w:val="24"/>
                    <w:szCs w:val="24"/>
                  </w:rPr>
                  <m:t>Biogas</m:t>
                </m:r>
              </m:sub>
            </m:sSub>
          </m:num>
          <m:den>
            <m:sSub>
              <m:sSubPr>
                <m:ctrlPr>
                  <w:rPr>
                    <w:rFonts w:ascii="Cambria Math" w:hAnsi="Cambria Math" w:cs="Times New Roman"/>
                    <w:b/>
                    <w:sz w:val="24"/>
                    <w:szCs w:val="24"/>
                  </w:rPr>
                </m:ctrlPr>
              </m:sSubPr>
              <m:e>
                <m:r>
                  <m:rPr>
                    <m:sty m:val="b"/>
                  </m:rPr>
                  <w:rPr>
                    <w:rFonts w:ascii="Cambria Math" w:hAnsi="Cambria Math" w:cs="Times New Roman"/>
                    <w:sz w:val="24"/>
                    <w:szCs w:val="24"/>
                  </w:rPr>
                  <m:t>Y</m:t>
                </m:r>
              </m:e>
              <m:sub>
                <m:r>
                  <m:rPr>
                    <m:sty m:val="b"/>
                  </m:rPr>
                  <w:rPr>
                    <w:rFonts w:ascii="Cambria Math" w:hAnsi="Cambria Math" w:cs="Times New Roman"/>
                    <w:sz w:val="24"/>
                    <w:szCs w:val="24"/>
                  </w:rPr>
                  <m:t>Ref,Biogas</m:t>
                </m:r>
              </m:sub>
            </m:sSub>
          </m:den>
        </m:f>
      </m:oMath>
      <w:r w:rsidRPr="000C01CA" w:rsidR="00CD530B">
        <w:rPr>
          <w:rFonts w:ascii="Times New Roman" w:hAnsi="Times New Roman" w:cs="Times New Roman"/>
          <w:b/>
          <w:sz w:val="24"/>
          <w:szCs w:val="24"/>
        </w:rPr>
        <w:t>:</w:t>
      </w:r>
      <w:r w:rsidRPr="000C01CA" w:rsidR="00CD530B">
        <w:rPr>
          <w:rFonts w:ascii="Times New Roman" w:hAnsi="Times New Roman" w:cs="Times New Roman"/>
          <w:sz w:val="24"/>
          <w:szCs w:val="24"/>
        </w:rPr>
        <w:t xml:space="preserve"> </w:t>
      </w:r>
      <w:r w:rsidRPr="000C01CA" w:rsidR="00010776">
        <w:rPr>
          <w:rFonts w:ascii="Times New Roman" w:hAnsi="Times New Roman" w:cs="Times New Roman"/>
          <w:sz w:val="24"/>
          <w:szCs w:val="24"/>
        </w:rPr>
        <w:t>represents the energy recovery from agricultural waste on the same surface area, transforming waste into energy</w:t>
      </w:r>
      <w:r w:rsidRPr="000C01CA" w:rsidR="00CD530B">
        <w:rPr>
          <w:rFonts w:ascii="Times New Roman" w:hAnsi="Times New Roman" w:cs="Times New Roman"/>
          <w:sz w:val="24"/>
          <w:szCs w:val="24"/>
        </w:rPr>
        <w:t>.</w:t>
      </w:r>
      <w:r w:rsidRPr="000C01CA" w:rsidR="00071BCE">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Ref,Biogas</m:t>
            </m:r>
          </m:sub>
        </m:sSub>
      </m:oMath>
      <w:r w:rsidRPr="000C01CA" w:rsidR="00071BCE">
        <w:rPr>
          <w:rFonts w:ascii="Times New Roman" w:hAnsi="Times New Roman" w:cs="Times New Roman"/>
          <w:sz w:val="24"/>
          <w:szCs w:val="24"/>
        </w:rPr>
        <w:t> </w:t>
      </w:r>
      <w:r w:rsidRPr="000C01CA" w:rsidR="00B376D4">
        <w:rPr>
          <w:rFonts w:ascii="Times New Roman" w:hAnsi="Times New Roman" w:cs="Times New Roman"/>
          <w:sz w:val="24"/>
          <w:szCs w:val="24"/>
        </w:rPr>
        <w:t>represents</w:t>
      </w:r>
      <w:r w:rsidRPr="000C01CA" w:rsidR="00071BCE">
        <w:rPr>
          <w:rFonts w:ascii="Times New Roman" w:hAnsi="Times New Roman" w:cs="Times New Roman"/>
          <w:sz w:val="24"/>
          <w:szCs w:val="24"/>
        </w:rPr>
        <w:t xml:space="preserve"> the maximum theoretical energy potential (in MJ/ha/year) that could be obtained if all the biomass produced on the plot (including inedible residues) were digested in a separate and ideal AD unit, without any spatial integration constraints with the PV. It serves as a basis for comparison for the efficiency of AV-AD spatial coupling.</w:t>
      </w:r>
    </w:p>
    <w:p w:rsidRPr="000C01CA" w:rsidR="00DE61AE" w:rsidP="00102447" w:rsidRDefault="00DE61AE" w14:paraId="0C08AF85" w14:textId="77777777">
      <w:pPr>
        <w:spacing w:line="360" w:lineRule="auto"/>
        <w:jc w:val="both"/>
        <w:rPr>
          <w:rFonts w:ascii="Times New Roman" w:hAnsi="Times New Roman" w:cs="Times New Roman"/>
          <w:sz w:val="24"/>
          <w:szCs w:val="24"/>
        </w:rPr>
      </w:pPr>
      <w:r w:rsidRPr="000C01CA">
        <w:rPr>
          <w:rFonts w:ascii="Times New Roman" w:hAnsi="Times New Roman" w:cs="Times New Roman"/>
          <w:sz w:val="24"/>
          <w:szCs w:val="24"/>
        </w:rPr>
        <w:br w:type="page"/>
      </w:r>
    </w:p>
    <w:p w:rsidRPr="000C01CA" w:rsidR="00DE61AE" w:rsidP="00102447" w:rsidRDefault="00DE61AE" w14:paraId="45946BBB" w14:textId="77777777">
      <w:pPr>
        <w:spacing w:line="360" w:lineRule="auto"/>
        <w:jc w:val="both"/>
        <w:rPr>
          <w:rFonts w:ascii="Times New Roman" w:hAnsi="Times New Roman" w:cs="Times New Roman"/>
          <w:b/>
          <w:bCs/>
          <w:sz w:val="24"/>
          <w:szCs w:val="24"/>
        </w:rPr>
      </w:pPr>
      <w:r w:rsidRPr="000C01CA">
        <w:rPr>
          <w:rFonts w:ascii="Times New Roman" w:hAnsi="Times New Roman" w:cs="Times New Roman"/>
          <w:b/>
          <w:bCs/>
          <w:sz w:val="24"/>
          <w:szCs w:val="24"/>
        </w:rPr>
        <w:t>Conclusion</w:t>
      </w:r>
    </w:p>
    <w:p w:rsidRPr="000C01CA" w:rsidR="00DE61AE" w:rsidP="00102447" w:rsidRDefault="00A835C4" w14:paraId="69F5C849" w14:textId="67C7DBBC">
      <w:pPr>
        <w:spacing w:line="360" w:lineRule="auto"/>
        <w:ind w:firstLine="720"/>
        <w:jc w:val="both"/>
        <w:rPr>
          <w:rFonts w:ascii="Times New Roman" w:hAnsi="Times New Roman" w:cs="Times New Roman"/>
          <w:sz w:val="24"/>
          <w:szCs w:val="24"/>
        </w:rPr>
      </w:pPr>
      <w:r w:rsidRPr="000C01CA">
        <w:rPr>
          <w:rFonts w:ascii="Times New Roman" w:hAnsi="Times New Roman" w:cs="Times New Roman"/>
          <w:sz w:val="24"/>
          <w:szCs w:val="24"/>
        </w:rPr>
        <w:t>Through this analysis, it becomes clear that the integration of agrivoltaics and anaerobic digestion holds transformative potential for semi-arid regions</w:t>
      </w:r>
      <w:r w:rsidRPr="000C01CA" w:rsidR="00DE61AE">
        <w:rPr>
          <w:rFonts w:ascii="Times New Roman" w:hAnsi="Times New Roman" w:cs="Times New Roman"/>
          <w:sz w:val="24"/>
          <w:szCs w:val="24"/>
        </w:rPr>
        <w:t>. Far from being merely co-located, these technologies interact synergistically to create a system that is greater than the sum of its parts.</w:t>
      </w:r>
    </w:p>
    <w:p w:rsidRPr="000C01CA" w:rsidR="00DE61AE" w:rsidP="00102447" w:rsidRDefault="00DE61AE" w14:paraId="1511932E" w14:textId="42812406">
      <w:pPr>
        <w:spacing w:line="360" w:lineRule="auto"/>
        <w:jc w:val="both"/>
        <w:rPr>
          <w:rFonts w:ascii="Times New Roman" w:hAnsi="Times New Roman" w:cs="Times New Roman"/>
          <w:sz w:val="24"/>
          <w:szCs w:val="24"/>
        </w:rPr>
      </w:pPr>
      <w:r w:rsidRPr="000C01CA">
        <w:rPr>
          <w:rFonts w:ascii="Times New Roman" w:hAnsi="Times New Roman" w:cs="Times New Roman"/>
          <w:sz w:val="24"/>
          <w:szCs w:val="24"/>
        </w:rPr>
        <w:t>The AV component provides a dual service: producing renewable electricity while creating a favorable microclimate that conserves water and protects crops. The AD component adds critical circularity and dispatchability, transforming waste into energy and returning vital nutrients to the soil via digestate. Crucially</w:t>
      </w:r>
      <w:r w:rsidR="00401DD7">
        <w:rPr>
          <w:rFonts w:ascii="Times New Roman" w:hAnsi="Times New Roman" w:cs="Times New Roman"/>
          <w:sz w:val="24"/>
          <w:szCs w:val="24"/>
        </w:rPr>
        <w:t xml:space="preserve">, the linkage between them, </w:t>
      </w:r>
      <w:r w:rsidRPr="000C01CA">
        <w:rPr>
          <w:rFonts w:ascii="Times New Roman" w:hAnsi="Times New Roman" w:cs="Times New Roman"/>
          <w:sz w:val="24"/>
          <w:szCs w:val="24"/>
        </w:rPr>
        <w:t>where solar energy ensures t</w:t>
      </w:r>
      <w:r w:rsidR="00401DD7">
        <w:rPr>
          <w:rFonts w:ascii="Times New Roman" w:hAnsi="Times New Roman" w:cs="Times New Roman"/>
          <w:sz w:val="24"/>
          <w:szCs w:val="24"/>
        </w:rPr>
        <w:t xml:space="preserve">he digester's thermal stability, </w:t>
      </w:r>
      <w:r w:rsidRPr="000C01CA">
        <w:rPr>
          <w:rFonts w:ascii="Times New Roman" w:hAnsi="Times New Roman" w:cs="Times New Roman"/>
          <w:sz w:val="24"/>
          <w:szCs w:val="24"/>
        </w:rPr>
        <w:t>unlocks higher efficiency and economic value, moving beyond simple energy substitution towards true resource symbiosis.</w:t>
      </w:r>
    </w:p>
    <w:p w:rsidRPr="000C01CA" w:rsidR="00DE61AE" w:rsidP="00102447" w:rsidRDefault="00DE61AE" w14:paraId="5E480C73" w14:textId="77777777">
      <w:pPr>
        <w:spacing w:line="360" w:lineRule="auto"/>
        <w:jc w:val="both"/>
        <w:rPr>
          <w:rFonts w:ascii="Times New Roman" w:hAnsi="Times New Roman" w:cs="Times New Roman"/>
          <w:sz w:val="24"/>
          <w:szCs w:val="24"/>
        </w:rPr>
      </w:pPr>
      <w:r w:rsidRPr="000C01CA">
        <w:rPr>
          <w:rFonts w:ascii="Times New Roman" w:hAnsi="Times New Roman" w:cs="Times New Roman"/>
          <w:sz w:val="24"/>
          <w:szCs w:val="24"/>
        </w:rPr>
        <w:t>This integrated model directly tackles the core challenges of the water-energy-food nexus. It increases land-use efficiency (as quantified by the enhanced Land Equivalent Ratio), fortifies water security by combining reduced evapotranspiration with improved soil water retention, and diversifies farm revenue through the sale of electricity, biomethane, and potentially premium crops. While challenges remain in system optimization, feedstock management, and site-specific adaptation, the AV-AD synergy offers a compelling, scalable blueprint for sustainable intensification. It represents a pragmatic step towards climate-resilient agriculture that produces both food and energy without compromising vital resources, making it a vital strategy for the future of semi-arid regions.</w:t>
      </w:r>
    </w:p>
    <w:p w:rsidRPr="000C01CA" w:rsidR="00071BCE" w:rsidP="00102447" w:rsidRDefault="00071BCE" w14:paraId="1EBAE470" w14:textId="77777777">
      <w:pPr>
        <w:spacing w:line="360" w:lineRule="auto"/>
        <w:jc w:val="both"/>
        <w:rPr>
          <w:rFonts w:ascii="Times New Roman" w:hAnsi="Times New Roman" w:cs="Times New Roman"/>
          <w:sz w:val="24"/>
          <w:szCs w:val="24"/>
        </w:rPr>
      </w:pPr>
    </w:p>
    <w:p w:rsidRPr="000C01CA" w:rsidR="00042D8A" w:rsidP="00102447" w:rsidRDefault="007F620B" w14:paraId="5264E95F" w14:textId="4739F9E2">
      <w:pPr>
        <w:numPr>
          <w:ilvl w:val="0"/>
          <w:numId w:val="4"/>
        </w:numPr>
        <w:spacing w:line="360" w:lineRule="auto"/>
        <w:jc w:val="both"/>
        <w:rPr>
          <w:rFonts w:ascii="Times New Roman" w:hAnsi="Times New Roman" w:cs="Times New Roman"/>
          <w:sz w:val="24"/>
          <w:szCs w:val="24"/>
        </w:rPr>
        <w:sectPr w:rsidRPr="000C01CA" w:rsidR="00042D8A" w:rsidSect="00042D8A">
          <w:footerReference w:type="default" r:id="rId11"/>
          <w:pgSz w:w="11906" w:h="16838" w:orient="portrait"/>
          <w:pgMar w:top="1417" w:right="1417" w:bottom="1417" w:left="1417" w:header="708" w:footer="708" w:gutter="0"/>
          <w:pgNumType w:start="0"/>
          <w:cols w:space="708"/>
          <w:titlePg/>
          <w:docGrid w:linePitch="360"/>
        </w:sectPr>
      </w:pPr>
      <w:r w:rsidRPr="000C01CA">
        <w:rPr>
          <w:rFonts w:ascii="Times New Roman" w:hAnsi="Times New Roman" w:cs="Times New Roman"/>
          <w:sz w:val="24"/>
          <w:szCs w:val="24"/>
        </w:rPr>
        <w:br w:type="page"/>
      </w:r>
    </w:p>
    <w:p w:rsidRPr="000C01CA" w:rsidR="00CD530B" w:rsidP="00102447" w:rsidRDefault="00DD4C94" w14:paraId="638BA3E6" w14:textId="23140733">
      <w:pPr>
        <w:spacing w:line="360" w:lineRule="auto"/>
        <w:jc w:val="both"/>
        <w:rPr>
          <w:rFonts w:ascii="Times New Roman" w:hAnsi="Times New Roman" w:cs="Times New Roman"/>
          <w:b/>
          <w:sz w:val="24"/>
          <w:szCs w:val="24"/>
        </w:rPr>
      </w:pPr>
      <w:r w:rsidRPr="000C01CA">
        <w:rPr>
          <w:rFonts w:ascii="Times New Roman" w:hAnsi="Times New Roman" w:cs="Times New Roman"/>
          <w:b/>
          <w:sz w:val="24"/>
          <w:szCs w:val="24"/>
        </w:rPr>
        <w:t>References:</w:t>
      </w:r>
      <w:r w:rsidRPr="000C01CA" w:rsidR="00DE61AE">
        <w:rPr>
          <w:rFonts w:ascii="Times New Roman" w:hAnsi="Times New Roman" w:cs="Times New Roman"/>
          <w:b/>
          <w:sz w:val="24"/>
          <w:szCs w:val="24"/>
        </w:rPr>
        <w:t xml:space="preserve"> </w:t>
      </w:r>
    </w:p>
    <w:p w:rsidRPr="000C01CA" w:rsidR="000C01CA" w:rsidP="00102447" w:rsidRDefault="00CD530B" w14:paraId="5BBFC7DD" w14:textId="77777777">
      <w:pPr>
        <w:pStyle w:val="Bibliography"/>
        <w:jc w:val="both"/>
        <w:rPr>
          <w:rFonts w:ascii="Times New Roman" w:hAnsi="Times New Roman" w:cs="Times New Roman"/>
          <w:sz w:val="24"/>
        </w:rPr>
      </w:pPr>
      <w:r w:rsidRPr="000C01CA">
        <w:fldChar w:fldCharType="begin"/>
      </w:r>
      <w:r w:rsidRPr="000C01CA" w:rsidR="000C01CA">
        <w:instrText xml:space="preserve"> ADDIN ZOTERO_BIBL {"uncited":[],"omitted":[],"custom":[]} CSL_BIBLIOGRAPHY </w:instrText>
      </w:r>
      <w:r w:rsidRPr="000C01CA">
        <w:fldChar w:fldCharType="separate"/>
      </w:r>
      <w:r w:rsidRPr="000C01CA" w:rsidR="000C01CA">
        <w:rPr>
          <w:rFonts w:ascii="Times New Roman" w:hAnsi="Times New Roman" w:cs="Times New Roman"/>
          <w:sz w:val="24"/>
        </w:rPr>
        <w:t>[1]</w:t>
      </w:r>
      <w:r w:rsidRPr="000C01CA" w:rsidR="000C01CA">
        <w:rPr>
          <w:rFonts w:ascii="Times New Roman" w:hAnsi="Times New Roman" w:cs="Times New Roman"/>
          <w:sz w:val="24"/>
        </w:rPr>
        <w:tab/>
      </w:r>
      <w:r w:rsidRPr="000C01CA" w:rsidR="000C01CA">
        <w:rPr>
          <w:rFonts w:ascii="Times New Roman" w:hAnsi="Times New Roman" w:cs="Times New Roman"/>
          <w:sz w:val="24"/>
        </w:rPr>
        <w:t xml:space="preserve">K. Proctor, G. Murthy, and C. Higgins, “Agrivoltaics Align with Green New Deal Goals While Supporting Investment in the US’ Rural Economy,” </w:t>
      </w:r>
      <w:r w:rsidRPr="000C01CA" w:rsidR="000C01CA">
        <w:rPr>
          <w:rFonts w:ascii="Times New Roman" w:hAnsi="Times New Roman" w:cs="Times New Roman"/>
          <w:i/>
          <w:iCs/>
          <w:sz w:val="24"/>
        </w:rPr>
        <w:t>Sustainability</w:t>
      </w:r>
      <w:r w:rsidRPr="000C01CA" w:rsidR="000C01CA">
        <w:rPr>
          <w:rFonts w:ascii="Times New Roman" w:hAnsi="Times New Roman" w:cs="Times New Roman"/>
          <w:sz w:val="24"/>
        </w:rPr>
        <w:t>, vol. 13, no. 1, p. 137, Dec. 2020, doi: 10.3390/su13010137.</w:t>
      </w:r>
    </w:p>
    <w:p w:rsidRPr="000C01CA" w:rsidR="000C01CA" w:rsidP="00102447" w:rsidRDefault="000C01CA" w14:paraId="6763497E" w14:textId="77777777">
      <w:pPr>
        <w:pStyle w:val="Bibliography"/>
        <w:jc w:val="both"/>
        <w:rPr>
          <w:rFonts w:ascii="Times New Roman" w:hAnsi="Times New Roman" w:cs="Times New Roman"/>
          <w:sz w:val="24"/>
        </w:rPr>
      </w:pPr>
      <w:r w:rsidRPr="000C01CA">
        <w:rPr>
          <w:rFonts w:ascii="Times New Roman" w:hAnsi="Times New Roman" w:cs="Times New Roman"/>
          <w:sz w:val="24"/>
        </w:rPr>
        <w:t>[2]</w:t>
      </w:r>
      <w:r w:rsidRPr="000C01CA">
        <w:rPr>
          <w:rFonts w:ascii="Times New Roman" w:hAnsi="Times New Roman" w:cs="Times New Roman"/>
          <w:sz w:val="24"/>
        </w:rPr>
        <w:tab/>
      </w:r>
      <w:r w:rsidRPr="000C01CA">
        <w:rPr>
          <w:rFonts w:ascii="Times New Roman" w:hAnsi="Times New Roman" w:cs="Times New Roman"/>
          <w:sz w:val="24"/>
        </w:rPr>
        <w:t xml:space="preserve">H. Imran, M. H. Riaz, and N. Z. Butt, “Optimization of Single-Axis Tracking of Photovoltaic Modules for Agrivoltaic Systems,” in </w:t>
      </w:r>
      <w:r w:rsidRPr="000C01CA">
        <w:rPr>
          <w:rFonts w:ascii="Times New Roman" w:hAnsi="Times New Roman" w:cs="Times New Roman"/>
          <w:i/>
          <w:iCs/>
          <w:sz w:val="24"/>
        </w:rPr>
        <w:t>2020 47th IEEE Photovoltaic Specialists Conference (PVSC)</w:t>
      </w:r>
      <w:r w:rsidRPr="000C01CA">
        <w:rPr>
          <w:rFonts w:ascii="Times New Roman" w:hAnsi="Times New Roman" w:cs="Times New Roman"/>
          <w:sz w:val="24"/>
        </w:rPr>
        <w:t>, Calgary, AB, Canada: IEEE, June 2020, pp. 1353–1356. doi: 10.1109/PVSC45281.2020.9300682.</w:t>
      </w:r>
    </w:p>
    <w:p w:rsidRPr="000C01CA" w:rsidR="000C01CA" w:rsidP="00102447" w:rsidRDefault="000C01CA" w14:paraId="6707494D" w14:textId="77777777">
      <w:pPr>
        <w:pStyle w:val="Bibliography"/>
        <w:jc w:val="both"/>
        <w:rPr>
          <w:rFonts w:ascii="Times New Roman" w:hAnsi="Times New Roman" w:cs="Times New Roman"/>
          <w:sz w:val="24"/>
        </w:rPr>
      </w:pPr>
      <w:r w:rsidRPr="000C01CA">
        <w:rPr>
          <w:rFonts w:ascii="Times New Roman" w:hAnsi="Times New Roman" w:cs="Times New Roman"/>
          <w:sz w:val="24"/>
        </w:rPr>
        <w:t>[3]</w:t>
      </w:r>
      <w:r w:rsidRPr="000C01CA">
        <w:rPr>
          <w:rFonts w:ascii="Times New Roman" w:hAnsi="Times New Roman" w:cs="Times New Roman"/>
          <w:sz w:val="24"/>
        </w:rPr>
        <w:tab/>
      </w:r>
      <w:r w:rsidRPr="000C01CA">
        <w:rPr>
          <w:rFonts w:ascii="Times New Roman" w:hAnsi="Times New Roman" w:cs="Times New Roman"/>
          <w:sz w:val="24"/>
        </w:rPr>
        <w:t xml:space="preserve">A. Sarr, Y. M. Soro, A. K. Tossa, and L. Diop, “Agrivoltaic, a Synergistic Co-Location of Agricultural and Energy Production in Perpetual Mutation: A Comprehensive Review,” </w:t>
      </w:r>
      <w:r w:rsidRPr="000C01CA">
        <w:rPr>
          <w:rFonts w:ascii="Times New Roman" w:hAnsi="Times New Roman" w:cs="Times New Roman"/>
          <w:i/>
          <w:iCs/>
          <w:sz w:val="24"/>
        </w:rPr>
        <w:t>Processes</w:t>
      </w:r>
      <w:r w:rsidRPr="000C01CA">
        <w:rPr>
          <w:rFonts w:ascii="Times New Roman" w:hAnsi="Times New Roman" w:cs="Times New Roman"/>
          <w:sz w:val="24"/>
        </w:rPr>
        <w:t>, vol. 11, no. 3, p. 948, Mar. 2023, doi: 10.3390/pr11030948.</w:t>
      </w:r>
    </w:p>
    <w:p w:rsidRPr="000C01CA" w:rsidR="000C01CA" w:rsidP="00102447" w:rsidRDefault="000C01CA" w14:paraId="1D9409B5" w14:textId="77777777">
      <w:pPr>
        <w:pStyle w:val="Bibliography"/>
        <w:jc w:val="both"/>
        <w:rPr>
          <w:rFonts w:ascii="Times New Roman" w:hAnsi="Times New Roman" w:cs="Times New Roman"/>
          <w:sz w:val="24"/>
        </w:rPr>
      </w:pPr>
      <w:r w:rsidRPr="000C01CA">
        <w:rPr>
          <w:rFonts w:ascii="Times New Roman" w:hAnsi="Times New Roman" w:cs="Times New Roman"/>
          <w:sz w:val="24"/>
        </w:rPr>
        <w:t>[4]</w:t>
      </w:r>
      <w:r w:rsidRPr="000C01CA">
        <w:rPr>
          <w:rFonts w:ascii="Times New Roman" w:hAnsi="Times New Roman" w:cs="Times New Roman"/>
          <w:sz w:val="24"/>
        </w:rPr>
        <w:tab/>
      </w:r>
      <w:r w:rsidRPr="000C01CA">
        <w:rPr>
          <w:rFonts w:ascii="Times New Roman" w:hAnsi="Times New Roman" w:cs="Times New Roman"/>
          <w:sz w:val="24"/>
        </w:rPr>
        <w:t xml:space="preserve">S. Gorjian </w:t>
      </w:r>
      <w:r w:rsidRPr="000C01CA">
        <w:rPr>
          <w:rFonts w:ascii="Times New Roman" w:hAnsi="Times New Roman" w:cs="Times New Roman"/>
          <w:i/>
          <w:iCs/>
          <w:sz w:val="24"/>
        </w:rPr>
        <w:t>et al.</w:t>
      </w:r>
      <w:r w:rsidRPr="000C01CA">
        <w:rPr>
          <w:rFonts w:ascii="Times New Roman" w:hAnsi="Times New Roman" w:cs="Times New Roman"/>
          <w:sz w:val="24"/>
        </w:rPr>
        <w:t xml:space="preserve">, “Progress and challenges of crop production and electricity generation in agrivoltaic systems using semi-transparent photovoltaic technology,” </w:t>
      </w:r>
      <w:r w:rsidRPr="000C01CA">
        <w:rPr>
          <w:rFonts w:ascii="Times New Roman" w:hAnsi="Times New Roman" w:cs="Times New Roman"/>
          <w:i/>
          <w:iCs/>
          <w:sz w:val="24"/>
        </w:rPr>
        <w:t>Renewable and Sustainable Energy Reviews</w:t>
      </w:r>
      <w:r w:rsidRPr="000C01CA">
        <w:rPr>
          <w:rFonts w:ascii="Times New Roman" w:hAnsi="Times New Roman" w:cs="Times New Roman"/>
          <w:sz w:val="24"/>
        </w:rPr>
        <w:t>, vol. 158, p. 112126, Apr. 2022, doi: 10.1016/j.rser.2022.112126.</w:t>
      </w:r>
    </w:p>
    <w:p w:rsidRPr="000C01CA" w:rsidR="000C01CA" w:rsidP="00102447" w:rsidRDefault="000C01CA" w14:paraId="53452C76" w14:textId="77777777">
      <w:pPr>
        <w:pStyle w:val="Bibliography"/>
        <w:jc w:val="both"/>
        <w:rPr>
          <w:rFonts w:ascii="Times New Roman" w:hAnsi="Times New Roman" w:cs="Times New Roman"/>
          <w:sz w:val="24"/>
        </w:rPr>
      </w:pPr>
      <w:r w:rsidRPr="000C01CA">
        <w:rPr>
          <w:rFonts w:ascii="Times New Roman" w:hAnsi="Times New Roman" w:cs="Times New Roman"/>
          <w:sz w:val="24"/>
        </w:rPr>
        <w:t>[5]</w:t>
      </w:r>
      <w:r w:rsidRPr="000C01CA">
        <w:rPr>
          <w:rFonts w:ascii="Times New Roman" w:hAnsi="Times New Roman" w:cs="Times New Roman"/>
          <w:sz w:val="24"/>
        </w:rPr>
        <w:tab/>
      </w:r>
      <w:r w:rsidRPr="000C01CA">
        <w:rPr>
          <w:rFonts w:ascii="Times New Roman" w:hAnsi="Times New Roman" w:cs="Times New Roman"/>
          <w:sz w:val="24"/>
        </w:rPr>
        <w:t xml:space="preserve">J. Macknick </w:t>
      </w:r>
      <w:r w:rsidRPr="000C01CA">
        <w:rPr>
          <w:rFonts w:ascii="Times New Roman" w:hAnsi="Times New Roman" w:cs="Times New Roman"/>
          <w:i/>
          <w:iCs/>
          <w:sz w:val="24"/>
        </w:rPr>
        <w:t>et al.</w:t>
      </w:r>
      <w:r w:rsidRPr="000C01CA">
        <w:rPr>
          <w:rFonts w:ascii="Times New Roman" w:hAnsi="Times New Roman" w:cs="Times New Roman"/>
          <w:sz w:val="24"/>
        </w:rPr>
        <w:t>, “The 5 Cs of Agrivoltaic Success Factors in the United States: Lessons from the InSPIRE Research Study,” NREL/TP-6A20-83566, 1882930, MainId:84339, Aug. 2022. doi: 10.2172/1882930.</w:t>
      </w:r>
    </w:p>
    <w:p w:rsidRPr="000C01CA" w:rsidR="000C01CA" w:rsidP="00102447" w:rsidRDefault="000C01CA" w14:paraId="1FC77E31" w14:textId="77777777">
      <w:pPr>
        <w:pStyle w:val="Bibliography"/>
        <w:jc w:val="both"/>
        <w:rPr>
          <w:rFonts w:ascii="Times New Roman" w:hAnsi="Times New Roman" w:cs="Times New Roman"/>
          <w:sz w:val="24"/>
        </w:rPr>
      </w:pPr>
      <w:r w:rsidRPr="000C01CA">
        <w:rPr>
          <w:rFonts w:ascii="Times New Roman" w:hAnsi="Times New Roman" w:cs="Times New Roman"/>
          <w:sz w:val="24"/>
        </w:rPr>
        <w:t>[6]</w:t>
      </w:r>
      <w:r w:rsidRPr="000C01CA">
        <w:rPr>
          <w:rFonts w:ascii="Times New Roman" w:hAnsi="Times New Roman" w:cs="Times New Roman"/>
          <w:sz w:val="24"/>
        </w:rPr>
        <w:tab/>
      </w:r>
      <w:r w:rsidRPr="000C01CA">
        <w:rPr>
          <w:rFonts w:ascii="Times New Roman" w:hAnsi="Times New Roman" w:cs="Times New Roman"/>
          <w:sz w:val="24"/>
        </w:rPr>
        <w:t xml:space="preserve">D. Ketzer, N. Weinberger, C. Rösch, and S. B. Seitz, “Land use conflicts between biomass and power production – citizens’ participation in the technology development of Agrophotovoltaics,” </w:t>
      </w:r>
      <w:r w:rsidRPr="000C01CA">
        <w:rPr>
          <w:rFonts w:ascii="Times New Roman" w:hAnsi="Times New Roman" w:cs="Times New Roman"/>
          <w:i/>
          <w:iCs/>
          <w:sz w:val="24"/>
        </w:rPr>
        <w:t>Journal of Responsible Innovation</w:t>
      </w:r>
      <w:r w:rsidRPr="000C01CA">
        <w:rPr>
          <w:rFonts w:ascii="Times New Roman" w:hAnsi="Times New Roman" w:cs="Times New Roman"/>
          <w:sz w:val="24"/>
        </w:rPr>
        <w:t>, vol. 7, no. 2, pp. 193–216, May 2020, doi: 10.1080/23299460.2019.1647085.</w:t>
      </w:r>
    </w:p>
    <w:p w:rsidRPr="000C01CA" w:rsidR="000C01CA" w:rsidP="00102447" w:rsidRDefault="000C01CA" w14:paraId="4340D0AD" w14:textId="77777777">
      <w:pPr>
        <w:pStyle w:val="Bibliography"/>
        <w:jc w:val="both"/>
        <w:rPr>
          <w:rFonts w:ascii="Times New Roman" w:hAnsi="Times New Roman" w:cs="Times New Roman"/>
          <w:sz w:val="24"/>
        </w:rPr>
      </w:pPr>
      <w:r w:rsidRPr="000C01CA">
        <w:rPr>
          <w:rFonts w:ascii="Times New Roman" w:hAnsi="Times New Roman" w:cs="Times New Roman"/>
          <w:sz w:val="24"/>
        </w:rPr>
        <w:t>[7]</w:t>
      </w:r>
      <w:r w:rsidRPr="000C01CA">
        <w:rPr>
          <w:rFonts w:ascii="Times New Roman" w:hAnsi="Times New Roman" w:cs="Times New Roman"/>
          <w:sz w:val="24"/>
        </w:rPr>
        <w:tab/>
      </w:r>
      <w:r w:rsidRPr="000C01CA">
        <w:rPr>
          <w:rFonts w:ascii="Times New Roman" w:hAnsi="Times New Roman" w:cs="Times New Roman"/>
          <w:sz w:val="24"/>
        </w:rPr>
        <w:t xml:space="preserve">M. Reasoner and A. Ghosh, “Agrivoltaic Engineering and Layout Optimization Approaches in the Transition to Renewable Energy Technologies: A Review,” </w:t>
      </w:r>
      <w:r w:rsidRPr="000C01CA">
        <w:rPr>
          <w:rFonts w:ascii="Times New Roman" w:hAnsi="Times New Roman" w:cs="Times New Roman"/>
          <w:i/>
          <w:iCs/>
          <w:sz w:val="24"/>
        </w:rPr>
        <w:t>Challenges</w:t>
      </w:r>
      <w:r w:rsidRPr="000C01CA">
        <w:rPr>
          <w:rFonts w:ascii="Times New Roman" w:hAnsi="Times New Roman" w:cs="Times New Roman"/>
          <w:sz w:val="24"/>
        </w:rPr>
        <w:t>, vol. 13, no. 2, p. 43, Sept. 2022, doi: 10.3390/challe13020043.</w:t>
      </w:r>
    </w:p>
    <w:p w:rsidRPr="000C01CA" w:rsidR="000C01CA" w:rsidP="00102447" w:rsidRDefault="000C01CA" w14:paraId="28926380" w14:textId="77777777">
      <w:pPr>
        <w:pStyle w:val="Bibliography"/>
        <w:jc w:val="both"/>
        <w:rPr>
          <w:rFonts w:ascii="Times New Roman" w:hAnsi="Times New Roman" w:cs="Times New Roman"/>
          <w:sz w:val="24"/>
        </w:rPr>
      </w:pPr>
      <w:r w:rsidRPr="000C01CA">
        <w:rPr>
          <w:rFonts w:ascii="Times New Roman" w:hAnsi="Times New Roman" w:cs="Times New Roman"/>
          <w:sz w:val="24"/>
        </w:rPr>
        <w:t>[8]</w:t>
      </w:r>
      <w:r w:rsidRPr="000C01CA">
        <w:rPr>
          <w:rFonts w:ascii="Times New Roman" w:hAnsi="Times New Roman" w:cs="Times New Roman"/>
          <w:sz w:val="24"/>
        </w:rPr>
        <w:tab/>
      </w:r>
      <w:r w:rsidRPr="000C01CA">
        <w:rPr>
          <w:rFonts w:ascii="Times New Roman" w:hAnsi="Times New Roman" w:cs="Times New Roman"/>
          <w:sz w:val="24"/>
        </w:rPr>
        <w:t xml:space="preserve">S. Mohammedi, G. Dragonetti, N. Admane, and A. Fouial, “The Impact of Agrivoltaic Systems on Tomato Crop: A Case Study in Southern Italy,” </w:t>
      </w:r>
      <w:r w:rsidRPr="000C01CA">
        <w:rPr>
          <w:rFonts w:ascii="Times New Roman" w:hAnsi="Times New Roman" w:cs="Times New Roman"/>
          <w:i/>
          <w:iCs/>
          <w:sz w:val="24"/>
        </w:rPr>
        <w:t>Processes</w:t>
      </w:r>
      <w:r w:rsidRPr="000C01CA">
        <w:rPr>
          <w:rFonts w:ascii="Times New Roman" w:hAnsi="Times New Roman" w:cs="Times New Roman"/>
          <w:sz w:val="24"/>
        </w:rPr>
        <w:t>, vol. 11, no. 12, p. 3370, Dec. 2023, doi: 10.3390/pr11123370.</w:t>
      </w:r>
    </w:p>
    <w:p w:rsidRPr="000C01CA" w:rsidR="000C01CA" w:rsidP="00102447" w:rsidRDefault="000C01CA" w14:paraId="12FFF97F" w14:textId="77777777">
      <w:pPr>
        <w:pStyle w:val="Bibliography"/>
        <w:jc w:val="both"/>
        <w:rPr>
          <w:rFonts w:ascii="Times New Roman" w:hAnsi="Times New Roman" w:cs="Times New Roman"/>
          <w:sz w:val="24"/>
        </w:rPr>
      </w:pPr>
      <w:r w:rsidRPr="000C01CA">
        <w:rPr>
          <w:rFonts w:ascii="Times New Roman" w:hAnsi="Times New Roman" w:cs="Times New Roman"/>
          <w:sz w:val="24"/>
        </w:rPr>
        <w:t>[9]</w:t>
      </w:r>
      <w:r w:rsidRPr="000C01CA">
        <w:rPr>
          <w:rFonts w:ascii="Times New Roman" w:hAnsi="Times New Roman" w:cs="Times New Roman"/>
          <w:sz w:val="24"/>
        </w:rPr>
        <w:tab/>
      </w:r>
      <w:r w:rsidRPr="000C01CA">
        <w:rPr>
          <w:rFonts w:ascii="Times New Roman" w:hAnsi="Times New Roman" w:cs="Times New Roman"/>
          <w:sz w:val="24"/>
        </w:rPr>
        <w:t xml:space="preserve">M. Temiz, N. Sinbuathong, and I. Dincer, “Development and assessment of a new agrivoltaic‐biogas energy system for sustainable communities,” </w:t>
      </w:r>
      <w:r w:rsidRPr="000C01CA">
        <w:rPr>
          <w:rFonts w:ascii="Times New Roman" w:hAnsi="Times New Roman" w:cs="Times New Roman"/>
          <w:i/>
          <w:iCs/>
          <w:sz w:val="24"/>
        </w:rPr>
        <w:t>Intl J of Energy Research</w:t>
      </w:r>
      <w:r w:rsidRPr="000C01CA">
        <w:rPr>
          <w:rFonts w:ascii="Times New Roman" w:hAnsi="Times New Roman" w:cs="Times New Roman"/>
          <w:sz w:val="24"/>
        </w:rPr>
        <w:t>, vol. 46, no. 13, pp. 18663–18675, Oct. 2022, doi: 10.1002/er.8483.</w:t>
      </w:r>
    </w:p>
    <w:p w:rsidRPr="000C01CA" w:rsidR="000C01CA" w:rsidP="00102447" w:rsidRDefault="000C01CA" w14:paraId="0113485E" w14:textId="77777777">
      <w:pPr>
        <w:pStyle w:val="Bibliography"/>
        <w:jc w:val="both"/>
        <w:rPr>
          <w:rFonts w:ascii="Times New Roman" w:hAnsi="Times New Roman" w:cs="Times New Roman"/>
          <w:sz w:val="24"/>
        </w:rPr>
      </w:pPr>
      <w:r w:rsidRPr="000C01CA">
        <w:rPr>
          <w:rFonts w:ascii="Times New Roman" w:hAnsi="Times New Roman" w:cs="Times New Roman"/>
          <w:sz w:val="24"/>
        </w:rPr>
        <w:t>[10]</w:t>
      </w:r>
      <w:r w:rsidRPr="000C01CA">
        <w:rPr>
          <w:rFonts w:ascii="Times New Roman" w:hAnsi="Times New Roman" w:cs="Times New Roman"/>
          <w:sz w:val="24"/>
        </w:rPr>
        <w:tab/>
      </w:r>
      <w:r w:rsidRPr="000C01CA">
        <w:rPr>
          <w:rFonts w:ascii="Times New Roman" w:hAnsi="Times New Roman" w:cs="Times New Roman"/>
          <w:sz w:val="24"/>
        </w:rPr>
        <w:t xml:space="preserve">T. Semeraro </w:t>
      </w:r>
      <w:r w:rsidRPr="000C01CA">
        <w:rPr>
          <w:rFonts w:ascii="Times New Roman" w:hAnsi="Times New Roman" w:cs="Times New Roman"/>
          <w:i/>
          <w:iCs/>
          <w:sz w:val="24"/>
        </w:rPr>
        <w:t>et al.</w:t>
      </w:r>
      <w:r w:rsidRPr="000C01CA">
        <w:rPr>
          <w:rFonts w:ascii="Times New Roman" w:hAnsi="Times New Roman" w:cs="Times New Roman"/>
          <w:sz w:val="24"/>
        </w:rPr>
        <w:t xml:space="preserve">, “Shading effects in agrivoltaic systems can make the difference in boosting food security in climate change,” </w:t>
      </w:r>
      <w:r w:rsidRPr="000C01CA">
        <w:rPr>
          <w:rFonts w:ascii="Times New Roman" w:hAnsi="Times New Roman" w:cs="Times New Roman"/>
          <w:i/>
          <w:iCs/>
          <w:sz w:val="24"/>
        </w:rPr>
        <w:t>Applied Energy</w:t>
      </w:r>
      <w:r w:rsidRPr="000C01CA">
        <w:rPr>
          <w:rFonts w:ascii="Times New Roman" w:hAnsi="Times New Roman" w:cs="Times New Roman"/>
          <w:sz w:val="24"/>
        </w:rPr>
        <w:t>, vol. 358, p. 122565, Mar. 2024, doi: 10.1016/j.apenergy.2023.122565.</w:t>
      </w:r>
    </w:p>
    <w:p w:rsidRPr="000C01CA" w:rsidR="000C01CA" w:rsidP="00102447" w:rsidRDefault="000C01CA" w14:paraId="5BCBFFB6" w14:textId="77777777">
      <w:pPr>
        <w:pStyle w:val="Bibliography"/>
        <w:jc w:val="both"/>
        <w:rPr>
          <w:rFonts w:ascii="Times New Roman" w:hAnsi="Times New Roman" w:cs="Times New Roman"/>
          <w:sz w:val="24"/>
        </w:rPr>
      </w:pPr>
      <w:r w:rsidRPr="000C01CA">
        <w:rPr>
          <w:rFonts w:ascii="Times New Roman" w:hAnsi="Times New Roman" w:cs="Times New Roman"/>
          <w:sz w:val="24"/>
        </w:rPr>
        <w:t>[11]</w:t>
      </w:r>
      <w:r w:rsidRPr="000C01CA">
        <w:rPr>
          <w:rFonts w:ascii="Times New Roman" w:hAnsi="Times New Roman" w:cs="Times New Roman"/>
          <w:sz w:val="24"/>
        </w:rPr>
        <w:tab/>
      </w:r>
      <w:r w:rsidRPr="000C01CA">
        <w:rPr>
          <w:rFonts w:ascii="Times New Roman" w:hAnsi="Times New Roman" w:cs="Times New Roman"/>
          <w:sz w:val="24"/>
        </w:rPr>
        <w:t xml:space="preserve">M. H. Riaz, H. Imran, H. Alam, M. A. Alam, and N. Z. Butt, “Crop-Specific Optimization of Bifacial PV Arrays for Agrivoltaic Food-Energy Production: The Light-Productivity-Factor Approach,” </w:t>
      </w:r>
      <w:r w:rsidRPr="000C01CA">
        <w:rPr>
          <w:rFonts w:ascii="Times New Roman" w:hAnsi="Times New Roman" w:cs="Times New Roman"/>
          <w:i/>
          <w:iCs/>
          <w:sz w:val="24"/>
        </w:rPr>
        <w:t>IEEE J. Photovoltaics</w:t>
      </w:r>
      <w:r w:rsidRPr="000C01CA">
        <w:rPr>
          <w:rFonts w:ascii="Times New Roman" w:hAnsi="Times New Roman" w:cs="Times New Roman"/>
          <w:sz w:val="24"/>
        </w:rPr>
        <w:t>, vol. 12, no. 2, pp. 572–580, Mar. 2022, doi: 10.1109/JPHOTOV.2021.3136158.</w:t>
      </w:r>
    </w:p>
    <w:p w:rsidRPr="000C01CA" w:rsidR="000C01CA" w:rsidP="00102447" w:rsidRDefault="000C01CA" w14:paraId="3C1DC07C" w14:textId="77777777">
      <w:pPr>
        <w:pStyle w:val="Bibliography"/>
        <w:jc w:val="both"/>
        <w:rPr>
          <w:rFonts w:ascii="Times New Roman" w:hAnsi="Times New Roman" w:cs="Times New Roman"/>
          <w:sz w:val="24"/>
        </w:rPr>
      </w:pPr>
      <w:r w:rsidRPr="000C01CA">
        <w:rPr>
          <w:rFonts w:ascii="Times New Roman" w:hAnsi="Times New Roman" w:cs="Times New Roman"/>
          <w:sz w:val="24"/>
        </w:rPr>
        <w:t>[12]</w:t>
      </w:r>
      <w:r w:rsidRPr="000C01CA">
        <w:rPr>
          <w:rFonts w:ascii="Times New Roman" w:hAnsi="Times New Roman" w:cs="Times New Roman"/>
          <w:sz w:val="24"/>
        </w:rPr>
        <w:tab/>
      </w:r>
      <w:r w:rsidRPr="000C01CA">
        <w:rPr>
          <w:rFonts w:ascii="Times New Roman" w:hAnsi="Times New Roman" w:cs="Times New Roman"/>
          <w:sz w:val="24"/>
        </w:rPr>
        <w:t xml:space="preserve">D. Mazzeo, A. Di Zio, C. Pesenti, and S. Leva, “Optimizing Agrivoltaic Systems: A Comprehensive Analysis of Design, Crop Productivity and Energy Performance in Open-Field Configurations,” 2025, </w:t>
      </w:r>
      <w:r w:rsidRPr="000C01CA">
        <w:rPr>
          <w:rFonts w:ascii="Times New Roman" w:hAnsi="Times New Roman" w:cs="Times New Roman"/>
          <w:i/>
          <w:iCs/>
          <w:sz w:val="24"/>
        </w:rPr>
        <w:t>SSRN</w:t>
      </w:r>
      <w:r w:rsidRPr="000C01CA">
        <w:rPr>
          <w:rFonts w:ascii="Times New Roman" w:hAnsi="Times New Roman" w:cs="Times New Roman"/>
          <w:sz w:val="24"/>
        </w:rPr>
        <w:t>. doi: 10.2139/ssrn.5082169.</w:t>
      </w:r>
    </w:p>
    <w:p w:rsidRPr="000C01CA" w:rsidR="000C01CA" w:rsidP="00102447" w:rsidRDefault="000C01CA" w14:paraId="5C6E3268" w14:textId="77777777">
      <w:pPr>
        <w:pStyle w:val="Bibliography"/>
        <w:jc w:val="both"/>
        <w:rPr>
          <w:rFonts w:ascii="Times New Roman" w:hAnsi="Times New Roman" w:cs="Times New Roman"/>
          <w:sz w:val="24"/>
        </w:rPr>
      </w:pPr>
      <w:r w:rsidRPr="000C01CA">
        <w:rPr>
          <w:rFonts w:ascii="Times New Roman" w:hAnsi="Times New Roman" w:cs="Times New Roman"/>
          <w:sz w:val="24"/>
        </w:rPr>
        <w:t>[13]</w:t>
      </w:r>
      <w:r w:rsidRPr="000C01CA">
        <w:rPr>
          <w:rFonts w:ascii="Times New Roman" w:hAnsi="Times New Roman" w:cs="Times New Roman"/>
          <w:sz w:val="24"/>
        </w:rPr>
        <w:tab/>
      </w:r>
      <w:r w:rsidRPr="000C01CA">
        <w:rPr>
          <w:rFonts w:ascii="Times New Roman" w:hAnsi="Times New Roman" w:cs="Times New Roman"/>
          <w:sz w:val="24"/>
        </w:rPr>
        <w:t xml:space="preserve">A. Ravilla, G. Shirkey, J. Chen, M. Jarchow, O. Stary, and I. Celik, “Techno-economic and life cycle assessment of agrivoltaic system (AVS) designs,” </w:t>
      </w:r>
      <w:r w:rsidRPr="000C01CA">
        <w:rPr>
          <w:rFonts w:ascii="Times New Roman" w:hAnsi="Times New Roman" w:cs="Times New Roman"/>
          <w:i/>
          <w:iCs/>
          <w:sz w:val="24"/>
        </w:rPr>
        <w:t>Science of The Total Environment</w:t>
      </w:r>
      <w:r w:rsidRPr="000C01CA">
        <w:rPr>
          <w:rFonts w:ascii="Times New Roman" w:hAnsi="Times New Roman" w:cs="Times New Roman"/>
          <w:sz w:val="24"/>
        </w:rPr>
        <w:t>, vol. 912, p. 169274, Feb. 2024, doi: 10.1016/j.scitotenv.2023.169274.</w:t>
      </w:r>
    </w:p>
    <w:p w:rsidRPr="000C01CA" w:rsidR="000C01CA" w:rsidP="00102447" w:rsidRDefault="000C01CA" w14:paraId="0A90A610" w14:textId="77777777">
      <w:pPr>
        <w:pStyle w:val="Bibliography"/>
        <w:jc w:val="both"/>
        <w:rPr>
          <w:rFonts w:ascii="Times New Roman" w:hAnsi="Times New Roman" w:cs="Times New Roman"/>
          <w:sz w:val="24"/>
        </w:rPr>
      </w:pPr>
      <w:r w:rsidRPr="000C01CA">
        <w:rPr>
          <w:rFonts w:ascii="Times New Roman" w:hAnsi="Times New Roman" w:cs="Times New Roman"/>
          <w:sz w:val="24"/>
        </w:rPr>
        <w:t>[14]</w:t>
      </w:r>
      <w:r w:rsidRPr="000C01CA">
        <w:rPr>
          <w:rFonts w:ascii="Times New Roman" w:hAnsi="Times New Roman" w:cs="Times New Roman"/>
          <w:sz w:val="24"/>
        </w:rPr>
        <w:tab/>
      </w:r>
      <w:r w:rsidRPr="000C01CA">
        <w:rPr>
          <w:rFonts w:ascii="Times New Roman" w:hAnsi="Times New Roman" w:cs="Times New Roman"/>
          <w:sz w:val="24"/>
        </w:rPr>
        <w:t xml:space="preserve">A. Chalgynbayeva, Z. Gabnai, P. Lengyel, A. Pestisha, and A. Bai, “Worldwide Research Trends in Agrivoltaic Systems—A Bibliometric Review,” </w:t>
      </w:r>
      <w:r w:rsidRPr="000C01CA">
        <w:rPr>
          <w:rFonts w:ascii="Times New Roman" w:hAnsi="Times New Roman" w:cs="Times New Roman"/>
          <w:i/>
          <w:iCs/>
          <w:sz w:val="24"/>
        </w:rPr>
        <w:t>Energies</w:t>
      </w:r>
      <w:r w:rsidRPr="000C01CA">
        <w:rPr>
          <w:rFonts w:ascii="Times New Roman" w:hAnsi="Times New Roman" w:cs="Times New Roman"/>
          <w:sz w:val="24"/>
        </w:rPr>
        <w:t>, vol. 16, no. 2, p. 611, Jan. 2023, doi: 10.3390/en16020611.</w:t>
      </w:r>
    </w:p>
    <w:p w:rsidRPr="000C01CA" w:rsidR="000C01CA" w:rsidP="00102447" w:rsidRDefault="000C01CA" w14:paraId="6A3F64F7" w14:textId="77777777">
      <w:pPr>
        <w:pStyle w:val="Bibliography"/>
        <w:jc w:val="both"/>
        <w:rPr>
          <w:rFonts w:ascii="Times New Roman" w:hAnsi="Times New Roman" w:cs="Times New Roman"/>
          <w:sz w:val="24"/>
        </w:rPr>
      </w:pPr>
      <w:r w:rsidRPr="000C01CA">
        <w:rPr>
          <w:rFonts w:ascii="Times New Roman" w:hAnsi="Times New Roman" w:cs="Times New Roman"/>
          <w:sz w:val="24"/>
        </w:rPr>
        <w:t>[15]</w:t>
      </w:r>
      <w:r w:rsidRPr="000C01CA">
        <w:rPr>
          <w:rFonts w:ascii="Times New Roman" w:hAnsi="Times New Roman" w:cs="Times New Roman"/>
          <w:sz w:val="24"/>
        </w:rPr>
        <w:tab/>
      </w:r>
      <w:r w:rsidRPr="000C01CA">
        <w:rPr>
          <w:rFonts w:ascii="Times New Roman" w:hAnsi="Times New Roman" w:cs="Times New Roman"/>
          <w:sz w:val="24"/>
        </w:rPr>
        <w:t xml:space="preserve">A. Pal and G. S. Ilango, “Design and techno-economic analysis of an off-grid integrated PV-biogas system with a constant temperature digester for a cost-effective rural application,” </w:t>
      </w:r>
      <w:r w:rsidRPr="000C01CA">
        <w:rPr>
          <w:rFonts w:ascii="Times New Roman" w:hAnsi="Times New Roman" w:cs="Times New Roman"/>
          <w:i/>
          <w:iCs/>
          <w:sz w:val="24"/>
        </w:rPr>
        <w:t>Energy</w:t>
      </w:r>
      <w:r w:rsidRPr="000C01CA">
        <w:rPr>
          <w:rFonts w:ascii="Times New Roman" w:hAnsi="Times New Roman" w:cs="Times New Roman"/>
          <w:sz w:val="24"/>
        </w:rPr>
        <w:t>, vol. 287, p. 129671, Jan. 2024, doi: 10.1016/j.energy.2023.129671.</w:t>
      </w:r>
    </w:p>
    <w:p w:rsidRPr="000C01CA" w:rsidR="000C01CA" w:rsidP="00102447" w:rsidRDefault="00401DD7" w14:paraId="388D755E" w14:textId="48F32E3F">
      <w:pPr>
        <w:pStyle w:val="Bibliography"/>
        <w:jc w:val="both"/>
        <w:rPr>
          <w:rFonts w:ascii="Times New Roman" w:hAnsi="Times New Roman" w:cs="Times New Roman"/>
          <w:sz w:val="24"/>
        </w:rPr>
      </w:pPr>
      <w:r w:rsidRPr="000C01CA">
        <w:rPr>
          <w:rFonts w:ascii="Times New Roman" w:hAnsi="Times New Roman" w:cs="Times New Roman"/>
          <w:sz w:val="24"/>
        </w:rPr>
        <w:t xml:space="preserve"> </w:t>
      </w:r>
      <w:r w:rsidRPr="000C01CA" w:rsidR="000C01CA">
        <w:rPr>
          <w:rFonts w:ascii="Times New Roman" w:hAnsi="Times New Roman" w:cs="Times New Roman"/>
          <w:sz w:val="24"/>
        </w:rPr>
        <w:t>[17]</w:t>
      </w:r>
      <w:r w:rsidRPr="000C01CA" w:rsidR="000C01CA">
        <w:rPr>
          <w:rFonts w:ascii="Times New Roman" w:hAnsi="Times New Roman" w:cs="Times New Roman"/>
          <w:sz w:val="24"/>
        </w:rPr>
        <w:tab/>
      </w:r>
      <w:r w:rsidRPr="000C01CA" w:rsidR="000C01CA">
        <w:rPr>
          <w:rFonts w:ascii="Times New Roman" w:hAnsi="Times New Roman" w:cs="Times New Roman"/>
          <w:sz w:val="24"/>
        </w:rPr>
        <w:t xml:space="preserve">S. Zainali </w:t>
      </w:r>
      <w:r w:rsidRPr="000C01CA" w:rsidR="000C01CA">
        <w:rPr>
          <w:rFonts w:ascii="Times New Roman" w:hAnsi="Times New Roman" w:cs="Times New Roman"/>
          <w:i/>
          <w:iCs/>
          <w:sz w:val="24"/>
        </w:rPr>
        <w:t>et al.</w:t>
      </w:r>
      <w:r w:rsidRPr="000C01CA" w:rsidR="000C01CA">
        <w:rPr>
          <w:rFonts w:ascii="Times New Roman" w:hAnsi="Times New Roman" w:cs="Times New Roman"/>
          <w:sz w:val="24"/>
        </w:rPr>
        <w:t xml:space="preserve">, “Direct and diffuse shading factors modelling for the most representative agrivoltaic system layouts,” </w:t>
      </w:r>
      <w:r w:rsidRPr="000C01CA" w:rsidR="000C01CA">
        <w:rPr>
          <w:rFonts w:ascii="Times New Roman" w:hAnsi="Times New Roman" w:cs="Times New Roman"/>
          <w:i/>
          <w:iCs/>
          <w:sz w:val="24"/>
        </w:rPr>
        <w:t>Applied Energy</w:t>
      </w:r>
      <w:r w:rsidRPr="000C01CA" w:rsidR="000C01CA">
        <w:rPr>
          <w:rFonts w:ascii="Times New Roman" w:hAnsi="Times New Roman" w:cs="Times New Roman"/>
          <w:sz w:val="24"/>
        </w:rPr>
        <w:t>, vol. 339, p. 120981, June 2023, doi: 10.1016/j.apenergy.2023.120981.</w:t>
      </w:r>
    </w:p>
    <w:p w:rsidRPr="000C01CA" w:rsidR="000C01CA" w:rsidP="00102447" w:rsidRDefault="00401DD7" w14:paraId="116C53AD" w14:textId="0434101D">
      <w:pPr>
        <w:pStyle w:val="Bibliography"/>
        <w:jc w:val="both"/>
        <w:rPr>
          <w:rFonts w:ascii="Times New Roman" w:hAnsi="Times New Roman" w:cs="Times New Roman"/>
          <w:sz w:val="24"/>
        </w:rPr>
      </w:pPr>
      <w:r w:rsidRPr="000C01CA">
        <w:rPr>
          <w:rFonts w:ascii="Times New Roman" w:hAnsi="Times New Roman" w:cs="Times New Roman"/>
          <w:sz w:val="24"/>
        </w:rPr>
        <w:t xml:space="preserve"> </w:t>
      </w:r>
      <w:r w:rsidRPr="000C01CA" w:rsidR="000C01CA">
        <w:rPr>
          <w:rFonts w:ascii="Times New Roman" w:hAnsi="Times New Roman" w:cs="Times New Roman"/>
          <w:sz w:val="24"/>
        </w:rPr>
        <w:t>[19]</w:t>
      </w:r>
      <w:r w:rsidRPr="000C01CA" w:rsidR="000C01CA">
        <w:rPr>
          <w:rFonts w:ascii="Times New Roman" w:hAnsi="Times New Roman" w:cs="Times New Roman"/>
          <w:sz w:val="24"/>
        </w:rPr>
        <w:tab/>
      </w:r>
      <w:r w:rsidRPr="000C01CA" w:rsidR="000C01CA">
        <w:rPr>
          <w:rFonts w:ascii="Times New Roman" w:hAnsi="Times New Roman" w:cs="Times New Roman"/>
          <w:sz w:val="24"/>
        </w:rPr>
        <w:t xml:space="preserve">R. Waller, M. Kacira, E. Magadley, M. Teitel, and I. Yehia, “Semi-Transparent Organic Photovoltaics Applied as Greenhouse Shade for Spring and Summer Tomato Production in Arid Climate,” </w:t>
      </w:r>
      <w:r w:rsidRPr="000C01CA" w:rsidR="000C01CA">
        <w:rPr>
          <w:rFonts w:ascii="Times New Roman" w:hAnsi="Times New Roman" w:cs="Times New Roman"/>
          <w:i/>
          <w:iCs/>
          <w:sz w:val="24"/>
        </w:rPr>
        <w:t>Agronomy</w:t>
      </w:r>
      <w:r w:rsidRPr="000C01CA" w:rsidR="000C01CA">
        <w:rPr>
          <w:rFonts w:ascii="Times New Roman" w:hAnsi="Times New Roman" w:cs="Times New Roman"/>
          <w:sz w:val="24"/>
        </w:rPr>
        <w:t>, vol. 11, no. 6, p. 1152, June 2021, doi: 10.3390/agronomy11061152.</w:t>
      </w:r>
    </w:p>
    <w:p w:rsidRPr="000C01CA" w:rsidR="000C01CA" w:rsidP="00102447" w:rsidRDefault="000C01CA" w14:paraId="03D2D26B" w14:textId="77777777">
      <w:pPr>
        <w:pStyle w:val="Bibliography"/>
        <w:jc w:val="both"/>
        <w:rPr>
          <w:rFonts w:ascii="Times New Roman" w:hAnsi="Times New Roman" w:cs="Times New Roman"/>
          <w:sz w:val="24"/>
        </w:rPr>
      </w:pPr>
      <w:r w:rsidRPr="000C01CA">
        <w:rPr>
          <w:rFonts w:ascii="Times New Roman" w:hAnsi="Times New Roman" w:cs="Times New Roman"/>
          <w:sz w:val="24"/>
        </w:rPr>
        <w:t>[20]</w:t>
      </w:r>
      <w:r w:rsidRPr="000C01CA">
        <w:rPr>
          <w:rFonts w:ascii="Times New Roman" w:hAnsi="Times New Roman" w:cs="Times New Roman"/>
          <w:sz w:val="24"/>
        </w:rPr>
        <w:tab/>
      </w:r>
      <w:r w:rsidRPr="000C01CA">
        <w:rPr>
          <w:rFonts w:ascii="Times New Roman" w:hAnsi="Times New Roman" w:cs="Times New Roman"/>
          <w:sz w:val="24"/>
        </w:rPr>
        <w:t>D. W. Hamilton, “Oklahoma Cooperative Extension Service”.</w:t>
      </w:r>
    </w:p>
    <w:p w:rsidRPr="000C01CA" w:rsidR="000C01CA" w:rsidP="00102447" w:rsidRDefault="000C01CA" w14:paraId="49DEF9AF" w14:textId="77777777">
      <w:pPr>
        <w:pStyle w:val="Bibliography"/>
        <w:jc w:val="both"/>
        <w:rPr>
          <w:rFonts w:ascii="Times New Roman" w:hAnsi="Times New Roman" w:cs="Times New Roman"/>
          <w:sz w:val="24"/>
        </w:rPr>
      </w:pPr>
      <w:r w:rsidRPr="000C01CA">
        <w:rPr>
          <w:rFonts w:ascii="Times New Roman" w:hAnsi="Times New Roman" w:cs="Times New Roman"/>
          <w:sz w:val="24"/>
        </w:rPr>
        <w:t>[21]</w:t>
      </w:r>
      <w:r w:rsidRPr="000C01CA">
        <w:rPr>
          <w:rFonts w:ascii="Times New Roman" w:hAnsi="Times New Roman" w:cs="Times New Roman"/>
          <w:sz w:val="24"/>
        </w:rPr>
        <w:tab/>
      </w:r>
      <w:r w:rsidRPr="000C01CA">
        <w:rPr>
          <w:rFonts w:ascii="Times New Roman" w:hAnsi="Times New Roman" w:cs="Times New Roman"/>
          <w:sz w:val="24"/>
        </w:rPr>
        <w:t xml:space="preserve">H. M. K. Al-Masri, A. A. Al-Sharqi, S. K. Magableh, A. Q. Al-Shetwi, M. G. M. Abdolrasol, and T. S. Ustun, “Optimal Allocation of a Hybrid Photovoltaic Biogas Energy System Using Multi-Objective Feasibility Enhanced Particle Swarm Algorithm,” </w:t>
      </w:r>
      <w:r w:rsidRPr="000C01CA">
        <w:rPr>
          <w:rFonts w:ascii="Times New Roman" w:hAnsi="Times New Roman" w:cs="Times New Roman"/>
          <w:i/>
          <w:iCs/>
          <w:sz w:val="24"/>
        </w:rPr>
        <w:t>Sustainability</w:t>
      </w:r>
      <w:r w:rsidRPr="000C01CA">
        <w:rPr>
          <w:rFonts w:ascii="Times New Roman" w:hAnsi="Times New Roman" w:cs="Times New Roman"/>
          <w:sz w:val="24"/>
        </w:rPr>
        <w:t>, vol. 14, no. 2, p. 685, Jan. 2022, doi: 10.3390/su14020685.</w:t>
      </w:r>
    </w:p>
    <w:p w:rsidRPr="000C01CA" w:rsidR="000C01CA" w:rsidP="00102447" w:rsidRDefault="000C01CA" w14:paraId="0A1D8BDD" w14:textId="77777777">
      <w:pPr>
        <w:pStyle w:val="Bibliography"/>
        <w:jc w:val="both"/>
        <w:rPr>
          <w:rFonts w:ascii="Times New Roman" w:hAnsi="Times New Roman" w:cs="Times New Roman"/>
          <w:sz w:val="24"/>
        </w:rPr>
      </w:pPr>
      <w:r w:rsidRPr="000C01CA">
        <w:rPr>
          <w:rFonts w:ascii="Times New Roman" w:hAnsi="Times New Roman" w:cs="Times New Roman"/>
          <w:sz w:val="24"/>
        </w:rPr>
        <w:t>[22]</w:t>
      </w:r>
      <w:r w:rsidRPr="000C01CA">
        <w:rPr>
          <w:rFonts w:ascii="Times New Roman" w:hAnsi="Times New Roman" w:cs="Times New Roman"/>
          <w:sz w:val="24"/>
        </w:rPr>
        <w:tab/>
      </w:r>
      <w:r w:rsidRPr="000C01CA">
        <w:rPr>
          <w:rFonts w:ascii="Times New Roman" w:hAnsi="Times New Roman" w:cs="Times New Roman"/>
          <w:sz w:val="24"/>
        </w:rPr>
        <w:t xml:space="preserve">K. Pilarski and A. A. Pilarska, “Kinetics and Energy Yield in Anaerobic Digestion: Effects of Substrate Composition and Fundamental Operating Conditions,” </w:t>
      </w:r>
      <w:r w:rsidRPr="000C01CA">
        <w:rPr>
          <w:rFonts w:ascii="Times New Roman" w:hAnsi="Times New Roman" w:cs="Times New Roman"/>
          <w:i/>
          <w:iCs/>
          <w:sz w:val="24"/>
        </w:rPr>
        <w:t>Energies</w:t>
      </w:r>
      <w:r w:rsidRPr="000C01CA">
        <w:rPr>
          <w:rFonts w:ascii="Times New Roman" w:hAnsi="Times New Roman" w:cs="Times New Roman"/>
          <w:sz w:val="24"/>
        </w:rPr>
        <w:t>, vol. 18, no. 23, p. 6262, Nov. 2025, doi: 10.3390/en18236262.</w:t>
      </w:r>
    </w:p>
    <w:p w:rsidRPr="000C01CA" w:rsidR="000C01CA" w:rsidP="00102447" w:rsidRDefault="000C01CA" w14:paraId="2A8B563B" w14:textId="77777777">
      <w:pPr>
        <w:pStyle w:val="Bibliography"/>
        <w:jc w:val="both"/>
        <w:rPr>
          <w:rFonts w:ascii="Times New Roman" w:hAnsi="Times New Roman" w:cs="Times New Roman"/>
          <w:sz w:val="24"/>
        </w:rPr>
      </w:pPr>
      <w:r w:rsidRPr="000C01CA">
        <w:rPr>
          <w:rFonts w:ascii="Times New Roman" w:hAnsi="Times New Roman" w:cs="Times New Roman"/>
          <w:sz w:val="24"/>
        </w:rPr>
        <w:t>[23]</w:t>
      </w:r>
      <w:r w:rsidRPr="000C01CA">
        <w:rPr>
          <w:rFonts w:ascii="Times New Roman" w:hAnsi="Times New Roman" w:cs="Times New Roman"/>
          <w:sz w:val="24"/>
        </w:rPr>
        <w:tab/>
      </w:r>
      <w:r w:rsidRPr="000C01CA">
        <w:rPr>
          <w:rFonts w:ascii="Times New Roman" w:hAnsi="Times New Roman" w:cs="Times New Roman"/>
          <w:sz w:val="24"/>
        </w:rPr>
        <w:t xml:space="preserve">A. Ouali, F. Hiouani, K. Beribeche, and D. Madani, “Optimized date palm waste composting: Accelerating maturity via C:N ratio and moisture adjustments using a rotary drum system,” </w:t>
      </w:r>
      <w:r w:rsidRPr="000C01CA">
        <w:rPr>
          <w:rFonts w:ascii="Times New Roman" w:hAnsi="Times New Roman" w:cs="Times New Roman"/>
          <w:i/>
          <w:iCs/>
          <w:sz w:val="24"/>
        </w:rPr>
        <w:t>J. Ecol. Eng.</w:t>
      </w:r>
      <w:r w:rsidRPr="000C01CA">
        <w:rPr>
          <w:rFonts w:ascii="Times New Roman" w:hAnsi="Times New Roman" w:cs="Times New Roman"/>
          <w:sz w:val="24"/>
        </w:rPr>
        <w:t>, vol. 26, no. 8, pp. 120–131, Aug. 2025, doi: 10.12911/22998993/203810.</w:t>
      </w:r>
    </w:p>
    <w:p w:rsidRPr="000C01CA" w:rsidR="000C01CA" w:rsidP="00102447" w:rsidRDefault="000C01CA" w14:paraId="3E77F112" w14:textId="77777777">
      <w:pPr>
        <w:pStyle w:val="Bibliography"/>
        <w:jc w:val="both"/>
        <w:rPr>
          <w:rFonts w:ascii="Times New Roman" w:hAnsi="Times New Roman" w:cs="Times New Roman"/>
          <w:sz w:val="24"/>
        </w:rPr>
      </w:pPr>
      <w:r w:rsidRPr="000C01CA">
        <w:rPr>
          <w:rFonts w:ascii="Times New Roman" w:hAnsi="Times New Roman" w:cs="Times New Roman"/>
          <w:sz w:val="24"/>
        </w:rPr>
        <w:t>[24]</w:t>
      </w:r>
      <w:r w:rsidRPr="000C01CA">
        <w:rPr>
          <w:rFonts w:ascii="Times New Roman" w:hAnsi="Times New Roman" w:cs="Times New Roman"/>
          <w:sz w:val="24"/>
        </w:rPr>
        <w:tab/>
      </w:r>
      <w:r w:rsidRPr="000C01CA">
        <w:rPr>
          <w:rFonts w:ascii="Times New Roman" w:hAnsi="Times New Roman" w:cs="Times New Roman"/>
          <w:sz w:val="24"/>
        </w:rPr>
        <w:t xml:space="preserve">L. Feng </w:t>
      </w:r>
      <w:r w:rsidRPr="000C01CA">
        <w:rPr>
          <w:rFonts w:ascii="Times New Roman" w:hAnsi="Times New Roman" w:cs="Times New Roman"/>
          <w:i/>
          <w:iCs/>
          <w:sz w:val="24"/>
        </w:rPr>
        <w:t>et al.</w:t>
      </w:r>
      <w:r w:rsidRPr="000C01CA">
        <w:rPr>
          <w:rFonts w:ascii="Times New Roman" w:hAnsi="Times New Roman" w:cs="Times New Roman"/>
          <w:sz w:val="24"/>
        </w:rPr>
        <w:t xml:space="preserve">, “Biochemical Methane Potential (BMP) of Vinegar Residue and the Influence of Feed to Inoculum Ratios on Biogas Production,” </w:t>
      </w:r>
      <w:r w:rsidRPr="000C01CA">
        <w:rPr>
          <w:rFonts w:ascii="Times New Roman" w:hAnsi="Times New Roman" w:cs="Times New Roman"/>
          <w:i/>
          <w:iCs/>
          <w:sz w:val="24"/>
        </w:rPr>
        <w:t>BioResources</w:t>
      </w:r>
      <w:r w:rsidRPr="000C01CA">
        <w:rPr>
          <w:rFonts w:ascii="Times New Roman" w:hAnsi="Times New Roman" w:cs="Times New Roman"/>
          <w:sz w:val="24"/>
        </w:rPr>
        <w:t>, vol. 8, no. 2, pp. 2487–2498, Mar. 2013, doi: 10.15376/biores.8.2.2487-2498.</w:t>
      </w:r>
    </w:p>
    <w:p w:rsidRPr="000C01CA" w:rsidR="000C01CA" w:rsidP="00102447" w:rsidRDefault="000C01CA" w14:paraId="1A681F00" w14:textId="77777777">
      <w:pPr>
        <w:pStyle w:val="Bibliography"/>
        <w:jc w:val="both"/>
        <w:rPr>
          <w:rFonts w:ascii="Times New Roman" w:hAnsi="Times New Roman" w:cs="Times New Roman"/>
          <w:sz w:val="24"/>
        </w:rPr>
      </w:pPr>
      <w:r w:rsidRPr="000C01CA">
        <w:rPr>
          <w:rFonts w:ascii="Times New Roman" w:hAnsi="Times New Roman" w:cs="Times New Roman"/>
          <w:sz w:val="24"/>
        </w:rPr>
        <w:t>[25]</w:t>
      </w:r>
      <w:r w:rsidRPr="000C01CA">
        <w:rPr>
          <w:rFonts w:ascii="Times New Roman" w:hAnsi="Times New Roman" w:cs="Times New Roman"/>
          <w:sz w:val="24"/>
        </w:rPr>
        <w:tab/>
      </w:r>
      <w:r w:rsidRPr="000C01CA">
        <w:rPr>
          <w:rFonts w:ascii="Times New Roman" w:hAnsi="Times New Roman" w:cs="Times New Roman"/>
          <w:sz w:val="24"/>
        </w:rPr>
        <w:t xml:space="preserve">A. Lallement </w:t>
      </w:r>
      <w:r w:rsidRPr="000C01CA">
        <w:rPr>
          <w:rFonts w:ascii="Times New Roman" w:hAnsi="Times New Roman" w:cs="Times New Roman"/>
          <w:i/>
          <w:iCs/>
          <w:sz w:val="24"/>
        </w:rPr>
        <w:t>et al.</w:t>
      </w:r>
      <w:r w:rsidRPr="000C01CA">
        <w:rPr>
          <w:rFonts w:ascii="Times New Roman" w:hAnsi="Times New Roman" w:cs="Times New Roman"/>
          <w:sz w:val="24"/>
        </w:rPr>
        <w:t xml:space="preserve">, “A Detailed Database of the Chemical Properties and Methane Potential of Biomasses Covering a Large Range of Common Agricultural Biogas Plant Feedstocks,” </w:t>
      </w:r>
      <w:r w:rsidRPr="000C01CA">
        <w:rPr>
          <w:rFonts w:ascii="Times New Roman" w:hAnsi="Times New Roman" w:cs="Times New Roman"/>
          <w:i/>
          <w:iCs/>
          <w:sz w:val="24"/>
        </w:rPr>
        <w:t>Waste</w:t>
      </w:r>
      <w:r w:rsidRPr="000C01CA">
        <w:rPr>
          <w:rFonts w:ascii="Times New Roman" w:hAnsi="Times New Roman" w:cs="Times New Roman"/>
          <w:sz w:val="24"/>
        </w:rPr>
        <w:t>, vol. 1, no. 1, pp. 195–227, Jan. 2023, doi: 10.3390/waste1010014.</w:t>
      </w:r>
    </w:p>
    <w:p w:rsidRPr="000C01CA" w:rsidR="000C01CA" w:rsidP="00102447" w:rsidRDefault="000C01CA" w14:paraId="277A0636" w14:textId="77777777">
      <w:pPr>
        <w:pStyle w:val="Bibliography"/>
        <w:jc w:val="both"/>
        <w:rPr>
          <w:rFonts w:ascii="Times New Roman" w:hAnsi="Times New Roman" w:cs="Times New Roman"/>
          <w:sz w:val="24"/>
          <w:lang w:val="fr-FR"/>
        </w:rPr>
      </w:pPr>
      <w:r w:rsidRPr="000C01CA">
        <w:rPr>
          <w:rFonts w:ascii="Times New Roman" w:hAnsi="Times New Roman" w:cs="Times New Roman"/>
          <w:sz w:val="24"/>
          <w:lang w:val="fr-FR"/>
        </w:rPr>
        <w:t>[26]</w:t>
      </w:r>
      <w:r w:rsidRPr="000C01CA">
        <w:rPr>
          <w:rFonts w:ascii="Times New Roman" w:hAnsi="Times New Roman" w:cs="Times New Roman"/>
          <w:sz w:val="24"/>
          <w:lang w:val="fr-FR"/>
        </w:rPr>
        <w:tab/>
      </w:r>
      <w:r w:rsidRPr="000C01CA">
        <w:rPr>
          <w:rFonts w:ascii="Times New Roman" w:hAnsi="Times New Roman" w:cs="Times New Roman"/>
          <w:sz w:val="24"/>
          <w:lang w:val="fr-FR"/>
        </w:rPr>
        <w:t>“AGIR BIOGAZ - Les substrats en méthanisation,” AILE. Accessed: Dec. 22, 2025. [Online]. Available: https://aile.asso.fr/biogaz/ressources-outils/les-substrats/</w:t>
      </w:r>
    </w:p>
    <w:p w:rsidRPr="000C01CA" w:rsidR="000C01CA" w:rsidP="00102447" w:rsidRDefault="000C01CA" w14:paraId="0F4D1CD6" w14:textId="77777777">
      <w:pPr>
        <w:pStyle w:val="Bibliography"/>
        <w:jc w:val="both"/>
        <w:rPr>
          <w:rFonts w:ascii="Times New Roman" w:hAnsi="Times New Roman" w:cs="Times New Roman"/>
          <w:sz w:val="24"/>
          <w:lang w:val="fr-FR"/>
        </w:rPr>
      </w:pPr>
      <w:r w:rsidRPr="000C01CA">
        <w:rPr>
          <w:rFonts w:ascii="Times New Roman" w:hAnsi="Times New Roman" w:cs="Times New Roman"/>
          <w:sz w:val="24"/>
          <w:lang w:val="fr-FR"/>
        </w:rPr>
        <w:t>[27]</w:t>
      </w:r>
      <w:r w:rsidRPr="000C01CA">
        <w:rPr>
          <w:rFonts w:ascii="Times New Roman" w:hAnsi="Times New Roman" w:cs="Times New Roman"/>
          <w:sz w:val="24"/>
          <w:lang w:val="fr-FR"/>
        </w:rPr>
        <w:tab/>
      </w:r>
      <w:r w:rsidRPr="000C01CA">
        <w:rPr>
          <w:rFonts w:ascii="Times New Roman" w:hAnsi="Times New Roman" w:cs="Times New Roman"/>
          <w:sz w:val="24"/>
          <w:lang w:val="fr-FR"/>
        </w:rPr>
        <w:t>“Intrants (ou gisements) de la méthanisation,” Triple Performance. Accessed: Dec. 22, 2025. [Online]. Available: //wiki.tripleperformance.fr/wiki/Intrants_(ou_gisements)_de_la_m%C3%A9thanisation</w:t>
      </w:r>
    </w:p>
    <w:p w:rsidRPr="000C01CA" w:rsidR="000C01CA" w:rsidP="00102447" w:rsidRDefault="000C01CA" w14:paraId="1C5801B4" w14:textId="77777777">
      <w:pPr>
        <w:pStyle w:val="Bibliography"/>
        <w:jc w:val="both"/>
        <w:rPr>
          <w:rFonts w:ascii="Times New Roman" w:hAnsi="Times New Roman" w:cs="Times New Roman"/>
          <w:sz w:val="24"/>
          <w:lang w:val="fr-FR"/>
        </w:rPr>
      </w:pPr>
      <w:r w:rsidRPr="000C01CA">
        <w:rPr>
          <w:rFonts w:ascii="Times New Roman" w:hAnsi="Times New Roman" w:cs="Times New Roman"/>
          <w:sz w:val="24"/>
          <w:lang w:val="fr-FR"/>
        </w:rPr>
        <w:t>[28]</w:t>
      </w:r>
      <w:r w:rsidRPr="000C01CA">
        <w:rPr>
          <w:rFonts w:ascii="Times New Roman" w:hAnsi="Times New Roman" w:cs="Times New Roman"/>
          <w:sz w:val="24"/>
          <w:lang w:val="fr-FR"/>
        </w:rPr>
        <w:tab/>
      </w:r>
      <w:r w:rsidRPr="000C01CA">
        <w:rPr>
          <w:rFonts w:ascii="Times New Roman" w:hAnsi="Times New Roman" w:cs="Times New Roman"/>
          <w:sz w:val="24"/>
          <w:lang w:val="fr-FR"/>
        </w:rPr>
        <w:t>P. D.-V. HUBERT;, “Caractéristiques du fumier équin pour la méthanisation.” Accessed: Dec. 22, 2025. [Online]. Available: https://equipedia.ifce.fr/infrastructure-et-equipement/installation-et-environnement/effluents-delevage/caracteristiques-du-fumier-equin-pour-la-methanisation</w:t>
      </w:r>
    </w:p>
    <w:p w:rsidRPr="000C01CA" w:rsidR="000C01CA" w:rsidP="00102447" w:rsidRDefault="000C01CA" w14:paraId="77462690" w14:textId="77777777">
      <w:pPr>
        <w:pStyle w:val="Bibliography"/>
        <w:jc w:val="both"/>
        <w:rPr>
          <w:rFonts w:ascii="Times New Roman" w:hAnsi="Times New Roman" w:cs="Times New Roman"/>
          <w:sz w:val="24"/>
        </w:rPr>
      </w:pPr>
      <w:r w:rsidRPr="000C01CA">
        <w:rPr>
          <w:rFonts w:ascii="Times New Roman" w:hAnsi="Times New Roman" w:cs="Times New Roman"/>
          <w:sz w:val="24"/>
        </w:rPr>
        <w:t>[29]</w:t>
      </w:r>
      <w:r w:rsidRPr="000C01CA">
        <w:rPr>
          <w:rFonts w:ascii="Times New Roman" w:hAnsi="Times New Roman" w:cs="Times New Roman"/>
          <w:sz w:val="24"/>
        </w:rPr>
        <w:tab/>
      </w:r>
      <w:r w:rsidRPr="000C01CA">
        <w:rPr>
          <w:rFonts w:ascii="Times New Roman" w:hAnsi="Times New Roman" w:cs="Times New Roman"/>
          <w:sz w:val="24"/>
        </w:rPr>
        <w:t xml:space="preserve">M. E. Evans, J. A. Langley, F. R. Shapiro, and G. F. Jones, “A Validated Model, Scalability, and Plant Growth Results for an Agrivoltaic Greenhouse,” </w:t>
      </w:r>
      <w:r w:rsidRPr="000C01CA">
        <w:rPr>
          <w:rFonts w:ascii="Times New Roman" w:hAnsi="Times New Roman" w:cs="Times New Roman"/>
          <w:i/>
          <w:iCs/>
          <w:sz w:val="24"/>
        </w:rPr>
        <w:t>Sustainability</w:t>
      </w:r>
      <w:r w:rsidRPr="000C01CA">
        <w:rPr>
          <w:rFonts w:ascii="Times New Roman" w:hAnsi="Times New Roman" w:cs="Times New Roman"/>
          <w:sz w:val="24"/>
        </w:rPr>
        <w:t>, vol. 14, no. 10, p. 6154, May 2022, doi: 10.3390/su14106154.</w:t>
      </w:r>
    </w:p>
    <w:p w:rsidRPr="000C01CA" w:rsidR="000C01CA" w:rsidP="00102447" w:rsidRDefault="000C01CA" w14:paraId="594249CA" w14:textId="77777777">
      <w:pPr>
        <w:pStyle w:val="Bibliography"/>
        <w:jc w:val="both"/>
        <w:rPr>
          <w:rFonts w:ascii="Times New Roman" w:hAnsi="Times New Roman" w:cs="Times New Roman"/>
          <w:sz w:val="24"/>
        </w:rPr>
      </w:pPr>
      <w:r w:rsidRPr="000C01CA">
        <w:rPr>
          <w:rFonts w:ascii="Times New Roman" w:hAnsi="Times New Roman" w:cs="Times New Roman"/>
          <w:sz w:val="24"/>
        </w:rPr>
        <w:t>[30]</w:t>
      </w:r>
      <w:r w:rsidRPr="000C01CA">
        <w:rPr>
          <w:rFonts w:ascii="Times New Roman" w:hAnsi="Times New Roman" w:cs="Times New Roman"/>
          <w:sz w:val="24"/>
        </w:rPr>
        <w:tab/>
      </w:r>
      <w:r w:rsidRPr="000C01CA">
        <w:rPr>
          <w:rFonts w:ascii="Times New Roman" w:hAnsi="Times New Roman" w:cs="Times New Roman"/>
          <w:sz w:val="24"/>
        </w:rPr>
        <w:t>“Chapter 2 - FAO Penman-Monteith equation.” Accessed: Dec. 22, 2025. [Online]. Available: https://www.fao.org/4/x0490e/x0490e06.htm</w:t>
      </w:r>
    </w:p>
    <w:p w:rsidRPr="000C01CA" w:rsidR="000C01CA" w:rsidP="00102447" w:rsidRDefault="000C01CA" w14:paraId="5F159E60" w14:textId="77777777">
      <w:pPr>
        <w:pStyle w:val="Bibliography"/>
        <w:jc w:val="both"/>
        <w:rPr>
          <w:rFonts w:ascii="Times New Roman" w:hAnsi="Times New Roman" w:cs="Times New Roman"/>
          <w:sz w:val="24"/>
        </w:rPr>
      </w:pPr>
      <w:r w:rsidRPr="000C01CA">
        <w:rPr>
          <w:rFonts w:ascii="Times New Roman" w:hAnsi="Times New Roman" w:cs="Times New Roman"/>
          <w:sz w:val="24"/>
        </w:rPr>
        <w:t>[31]</w:t>
      </w:r>
      <w:r w:rsidRPr="000C01CA">
        <w:rPr>
          <w:rFonts w:ascii="Times New Roman" w:hAnsi="Times New Roman" w:cs="Times New Roman"/>
          <w:sz w:val="24"/>
        </w:rPr>
        <w:tab/>
      </w:r>
      <w:r w:rsidRPr="000C01CA">
        <w:rPr>
          <w:rFonts w:ascii="Times New Roman" w:hAnsi="Times New Roman" w:cs="Times New Roman"/>
          <w:sz w:val="24"/>
        </w:rPr>
        <w:t>M. Tawassulli, “EVAPOTRANSPIRATION IN AGRIVOLTAIC ENVIRONMENT: A FIELD STUDY”.</w:t>
      </w:r>
    </w:p>
    <w:p w:rsidRPr="000C01CA" w:rsidR="006F1D16" w:rsidP="00102447" w:rsidRDefault="00CD530B" w14:paraId="70B7A9C1" w14:textId="5B69BA77">
      <w:pPr>
        <w:spacing w:line="360" w:lineRule="auto"/>
        <w:jc w:val="both"/>
        <w:rPr>
          <w:rFonts w:ascii="Times New Roman" w:hAnsi="Times New Roman" w:cs="Times New Roman"/>
          <w:sz w:val="24"/>
          <w:szCs w:val="24"/>
        </w:rPr>
      </w:pPr>
      <w:r w:rsidRPr="000C01CA">
        <w:rPr>
          <w:rFonts w:ascii="Times New Roman" w:hAnsi="Times New Roman" w:cs="Times New Roman"/>
          <w:sz w:val="24"/>
          <w:szCs w:val="24"/>
        </w:rPr>
        <w:fldChar w:fldCharType="end"/>
      </w:r>
    </w:p>
    <w:sectPr w:rsidRPr="000C01CA" w:rsidR="006F1D16" w:rsidSect="00042D8A">
      <w:pgSz w:w="11906" w:h="16838" w:orient="portrait"/>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F3FBC" w:rsidP="00042D8A" w:rsidRDefault="00FF3FBC" w14:paraId="5FB55B0D" w14:textId="77777777">
      <w:pPr>
        <w:spacing w:after="0" w:line="240" w:lineRule="auto"/>
      </w:pPr>
      <w:r>
        <w:separator/>
      </w:r>
    </w:p>
  </w:endnote>
  <w:endnote w:type="continuationSeparator" w:id="0">
    <w:p w:rsidR="00FF3FBC" w:rsidP="00042D8A" w:rsidRDefault="00FF3FBC" w14:paraId="1454A75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8501708"/>
      <w:docPartObj>
        <w:docPartGallery w:val="Page Numbers (Bottom of Page)"/>
        <w:docPartUnique/>
      </w:docPartObj>
    </w:sdtPr>
    <w:sdtEndPr/>
    <w:sdtContent>
      <w:p w:rsidR="000703F4" w:rsidRDefault="000703F4" w14:paraId="2BA14C58" w14:textId="74E10F6C">
        <w:pPr>
          <w:pStyle w:val="Footer"/>
          <w:jc w:val="right"/>
        </w:pPr>
        <w:r>
          <w:fldChar w:fldCharType="begin"/>
        </w:r>
        <w:r>
          <w:instrText>PAGE   \* MERGEFORMAT</w:instrText>
        </w:r>
        <w:r>
          <w:fldChar w:fldCharType="separate"/>
        </w:r>
        <w:r w:rsidRPr="002E72EE" w:rsidR="002E72EE">
          <w:rPr>
            <w:noProof/>
            <w:lang w:val="fr-FR"/>
          </w:rPr>
          <w:t>1</w:t>
        </w:r>
        <w:r>
          <w:fldChar w:fldCharType="end"/>
        </w:r>
      </w:p>
    </w:sdtContent>
  </w:sdt>
  <w:p w:rsidR="000703F4" w:rsidRDefault="000703F4" w14:paraId="4840503E"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F3FBC" w:rsidP="00042D8A" w:rsidRDefault="00FF3FBC" w14:paraId="5B9A538A" w14:textId="77777777">
      <w:pPr>
        <w:spacing w:after="0" w:line="240" w:lineRule="auto"/>
      </w:pPr>
      <w:r>
        <w:separator/>
      </w:r>
    </w:p>
  </w:footnote>
  <w:footnote w:type="continuationSeparator" w:id="0">
    <w:p w:rsidR="00FF3FBC" w:rsidP="00042D8A" w:rsidRDefault="00FF3FBC" w14:paraId="3A71A5E5" w14:textId="77777777">
      <w:pPr>
        <w:spacing w:after="0" w:line="240" w:lineRule="auto"/>
      </w:pPr>
      <w:r>
        <w:continuationSeparator/>
      </w:r>
    </w:p>
  </w:footnote>
</w:footnotes>
</file>

<file path=word/intelligence2.xml><?xml version="1.0" encoding="utf-8"?>
<int2:intelligence xmlns:oel="http://schemas.microsoft.com/office/2019/extlst" xmlns:int2="http://schemas.microsoft.com/office/intelligence/2020/intelligence">
  <int2:observations/>
  <int2:intelligenceSettings>
    <int2:extLst>
      <oel:ext uri="74B372B9-2EFF-4315-9A3F-32BA87CA82B1">
        <int2:goals int2:version="1" int2:formality="1"/>
      </oel:ext>
    </int2:extLst>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16F8F"/>
    <w:multiLevelType w:val="multilevel"/>
    <w:tmpl w:val="40AA3B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09339B6"/>
    <w:multiLevelType w:val="multilevel"/>
    <w:tmpl w:val="7CAAEA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86662D1"/>
    <w:multiLevelType w:val="multilevel"/>
    <w:tmpl w:val="7AD6CC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9DA12DA"/>
    <w:multiLevelType w:val="hybridMultilevel"/>
    <w:tmpl w:val="697AEC0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C83B00"/>
    <w:multiLevelType w:val="hybridMultilevel"/>
    <w:tmpl w:val="4D8A140C"/>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5" w15:restartNumberingAfterBreak="0">
    <w:nsid w:val="125921B2"/>
    <w:multiLevelType w:val="hybridMultilevel"/>
    <w:tmpl w:val="E44A9494"/>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6" w15:restartNumberingAfterBreak="0">
    <w:nsid w:val="148B4314"/>
    <w:multiLevelType w:val="hybridMultilevel"/>
    <w:tmpl w:val="56740BF2"/>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72A4FB9"/>
    <w:multiLevelType w:val="hybridMultilevel"/>
    <w:tmpl w:val="492EB616"/>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8" w15:restartNumberingAfterBreak="0">
    <w:nsid w:val="19D535FF"/>
    <w:multiLevelType w:val="hybridMultilevel"/>
    <w:tmpl w:val="65BAE6F8"/>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9" w15:restartNumberingAfterBreak="0">
    <w:nsid w:val="1ED21D14"/>
    <w:multiLevelType w:val="hybridMultilevel"/>
    <w:tmpl w:val="6C04505A"/>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0" w15:restartNumberingAfterBreak="0">
    <w:nsid w:val="211D082B"/>
    <w:multiLevelType w:val="hybridMultilevel"/>
    <w:tmpl w:val="A670C1A8"/>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1" w15:restartNumberingAfterBreak="0">
    <w:nsid w:val="25FC6EEA"/>
    <w:multiLevelType w:val="multilevel"/>
    <w:tmpl w:val="B5703D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678745C"/>
    <w:multiLevelType w:val="hybridMultilevel"/>
    <w:tmpl w:val="C69E142E"/>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3" w15:restartNumberingAfterBreak="0">
    <w:nsid w:val="30D76E31"/>
    <w:multiLevelType w:val="hybridMultilevel"/>
    <w:tmpl w:val="2A42A55C"/>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4" w15:restartNumberingAfterBreak="0">
    <w:nsid w:val="318860FF"/>
    <w:multiLevelType w:val="hybridMultilevel"/>
    <w:tmpl w:val="3D6A66A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560165"/>
    <w:multiLevelType w:val="hybridMultilevel"/>
    <w:tmpl w:val="439AFABA"/>
    <w:lvl w:ilvl="0" w:tplc="040C0003">
      <w:start w:val="1"/>
      <w:numFmt w:val="bullet"/>
      <w:lvlText w:val="o"/>
      <w:lvlJc w:val="left"/>
      <w:pPr>
        <w:ind w:left="1800" w:hanging="360"/>
      </w:pPr>
      <w:rPr>
        <w:rFonts w:hint="default" w:ascii="Courier New" w:hAnsi="Courier New" w:cs="Courier New"/>
      </w:rPr>
    </w:lvl>
    <w:lvl w:ilvl="1" w:tplc="040C0003" w:tentative="1">
      <w:start w:val="1"/>
      <w:numFmt w:val="bullet"/>
      <w:lvlText w:val="o"/>
      <w:lvlJc w:val="left"/>
      <w:pPr>
        <w:ind w:left="2520" w:hanging="360"/>
      </w:pPr>
      <w:rPr>
        <w:rFonts w:hint="default" w:ascii="Courier New" w:hAnsi="Courier New" w:cs="Courier New"/>
      </w:rPr>
    </w:lvl>
    <w:lvl w:ilvl="2" w:tplc="040C0005" w:tentative="1">
      <w:start w:val="1"/>
      <w:numFmt w:val="bullet"/>
      <w:lvlText w:val=""/>
      <w:lvlJc w:val="left"/>
      <w:pPr>
        <w:ind w:left="3240" w:hanging="360"/>
      </w:pPr>
      <w:rPr>
        <w:rFonts w:hint="default" w:ascii="Wingdings" w:hAnsi="Wingdings"/>
      </w:rPr>
    </w:lvl>
    <w:lvl w:ilvl="3" w:tplc="040C0001" w:tentative="1">
      <w:start w:val="1"/>
      <w:numFmt w:val="bullet"/>
      <w:lvlText w:val=""/>
      <w:lvlJc w:val="left"/>
      <w:pPr>
        <w:ind w:left="3960" w:hanging="360"/>
      </w:pPr>
      <w:rPr>
        <w:rFonts w:hint="default" w:ascii="Symbol" w:hAnsi="Symbol"/>
      </w:rPr>
    </w:lvl>
    <w:lvl w:ilvl="4" w:tplc="040C0003" w:tentative="1">
      <w:start w:val="1"/>
      <w:numFmt w:val="bullet"/>
      <w:lvlText w:val="o"/>
      <w:lvlJc w:val="left"/>
      <w:pPr>
        <w:ind w:left="4680" w:hanging="360"/>
      </w:pPr>
      <w:rPr>
        <w:rFonts w:hint="default" w:ascii="Courier New" w:hAnsi="Courier New" w:cs="Courier New"/>
      </w:rPr>
    </w:lvl>
    <w:lvl w:ilvl="5" w:tplc="040C0005" w:tentative="1">
      <w:start w:val="1"/>
      <w:numFmt w:val="bullet"/>
      <w:lvlText w:val=""/>
      <w:lvlJc w:val="left"/>
      <w:pPr>
        <w:ind w:left="5400" w:hanging="360"/>
      </w:pPr>
      <w:rPr>
        <w:rFonts w:hint="default" w:ascii="Wingdings" w:hAnsi="Wingdings"/>
      </w:rPr>
    </w:lvl>
    <w:lvl w:ilvl="6" w:tplc="040C0001" w:tentative="1">
      <w:start w:val="1"/>
      <w:numFmt w:val="bullet"/>
      <w:lvlText w:val=""/>
      <w:lvlJc w:val="left"/>
      <w:pPr>
        <w:ind w:left="6120" w:hanging="360"/>
      </w:pPr>
      <w:rPr>
        <w:rFonts w:hint="default" w:ascii="Symbol" w:hAnsi="Symbol"/>
      </w:rPr>
    </w:lvl>
    <w:lvl w:ilvl="7" w:tplc="040C0003" w:tentative="1">
      <w:start w:val="1"/>
      <w:numFmt w:val="bullet"/>
      <w:lvlText w:val="o"/>
      <w:lvlJc w:val="left"/>
      <w:pPr>
        <w:ind w:left="6840" w:hanging="360"/>
      </w:pPr>
      <w:rPr>
        <w:rFonts w:hint="default" w:ascii="Courier New" w:hAnsi="Courier New" w:cs="Courier New"/>
      </w:rPr>
    </w:lvl>
    <w:lvl w:ilvl="8" w:tplc="040C0005" w:tentative="1">
      <w:start w:val="1"/>
      <w:numFmt w:val="bullet"/>
      <w:lvlText w:val=""/>
      <w:lvlJc w:val="left"/>
      <w:pPr>
        <w:ind w:left="7560" w:hanging="360"/>
      </w:pPr>
      <w:rPr>
        <w:rFonts w:hint="default" w:ascii="Wingdings" w:hAnsi="Wingdings"/>
      </w:rPr>
    </w:lvl>
  </w:abstractNum>
  <w:abstractNum w:abstractNumId="16" w15:restartNumberingAfterBreak="0">
    <w:nsid w:val="34BA7368"/>
    <w:multiLevelType w:val="hybridMultilevel"/>
    <w:tmpl w:val="35820716"/>
    <w:lvl w:ilvl="0" w:tplc="53DCAAAE">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7" w15:restartNumberingAfterBreak="0">
    <w:nsid w:val="367D2A6B"/>
    <w:multiLevelType w:val="multilevel"/>
    <w:tmpl w:val="037284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C816ED3"/>
    <w:multiLevelType w:val="hybridMultilevel"/>
    <w:tmpl w:val="A46A0F74"/>
    <w:lvl w:ilvl="0" w:tplc="50DA0A90">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9" w15:restartNumberingAfterBreak="0">
    <w:nsid w:val="3EEB0B16"/>
    <w:multiLevelType w:val="hybridMultilevel"/>
    <w:tmpl w:val="DC9CD5C4"/>
    <w:lvl w:ilvl="0" w:tplc="040C0001">
      <w:start w:val="1"/>
      <w:numFmt w:val="bullet"/>
      <w:lvlText w:val=""/>
      <w:lvlJc w:val="left"/>
      <w:pPr>
        <w:ind w:left="1440" w:hanging="360"/>
      </w:pPr>
      <w:rPr>
        <w:rFonts w:hint="default" w:ascii="Symbol" w:hAnsi="Symbol"/>
      </w:rPr>
    </w:lvl>
    <w:lvl w:ilvl="1" w:tplc="040C0003" w:tentative="1">
      <w:start w:val="1"/>
      <w:numFmt w:val="bullet"/>
      <w:lvlText w:val="o"/>
      <w:lvlJc w:val="left"/>
      <w:pPr>
        <w:ind w:left="2160" w:hanging="360"/>
      </w:pPr>
      <w:rPr>
        <w:rFonts w:hint="default" w:ascii="Courier New" w:hAnsi="Courier New" w:cs="Courier New"/>
      </w:rPr>
    </w:lvl>
    <w:lvl w:ilvl="2" w:tplc="040C0005" w:tentative="1">
      <w:start w:val="1"/>
      <w:numFmt w:val="bullet"/>
      <w:lvlText w:val=""/>
      <w:lvlJc w:val="left"/>
      <w:pPr>
        <w:ind w:left="2880" w:hanging="360"/>
      </w:pPr>
      <w:rPr>
        <w:rFonts w:hint="default" w:ascii="Wingdings" w:hAnsi="Wingdings"/>
      </w:rPr>
    </w:lvl>
    <w:lvl w:ilvl="3" w:tplc="040C0001" w:tentative="1">
      <w:start w:val="1"/>
      <w:numFmt w:val="bullet"/>
      <w:lvlText w:val=""/>
      <w:lvlJc w:val="left"/>
      <w:pPr>
        <w:ind w:left="3600" w:hanging="360"/>
      </w:pPr>
      <w:rPr>
        <w:rFonts w:hint="default" w:ascii="Symbol" w:hAnsi="Symbol"/>
      </w:rPr>
    </w:lvl>
    <w:lvl w:ilvl="4" w:tplc="040C0003" w:tentative="1">
      <w:start w:val="1"/>
      <w:numFmt w:val="bullet"/>
      <w:lvlText w:val="o"/>
      <w:lvlJc w:val="left"/>
      <w:pPr>
        <w:ind w:left="4320" w:hanging="360"/>
      </w:pPr>
      <w:rPr>
        <w:rFonts w:hint="default" w:ascii="Courier New" w:hAnsi="Courier New" w:cs="Courier New"/>
      </w:rPr>
    </w:lvl>
    <w:lvl w:ilvl="5" w:tplc="040C0005" w:tentative="1">
      <w:start w:val="1"/>
      <w:numFmt w:val="bullet"/>
      <w:lvlText w:val=""/>
      <w:lvlJc w:val="left"/>
      <w:pPr>
        <w:ind w:left="5040" w:hanging="360"/>
      </w:pPr>
      <w:rPr>
        <w:rFonts w:hint="default" w:ascii="Wingdings" w:hAnsi="Wingdings"/>
      </w:rPr>
    </w:lvl>
    <w:lvl w:ilvl="6" w:tplc="040C0001" w:tentative="1">
      <w:start w:val="1"/>
      <w:numFmt w:val="bullet"/>
      <w:lvlText w:val=""/>
      <w:lvlJc w:val="left"/>
      <w:pPr>
        <w:ind w:left="5760" w:hanging="360"/>
      </w:pPr>
      <w:rPr>
        <w:rFonts w:hint="default" w:ascii="Symbol" w:hAnsi="Symbol"/>
      </w:rPr>
    </w:lvl>
    <w:lvl w:ilvl="7" w:tplc="040C0003" w:tentative="1">
      <w:start w:val="1"/>
      <w:numFmt w:val="bullet"/>
      <w:lvlText w:val="o"/>
      <w:lvlJc w:val="left"/>
      <w:pPr>
        <w:ind w:left="6480" w:hanging="360"/>
      </w:pPr>
      <w:rPr>
        <w:rFonts w:hint="default" w:ascii="Courier New" w:hAnsi="Courier New" w:cs="Courier New"/>
      </w:rPr>
    </w:lvl>
    <w:lvl w:ilvl="8" w:tplc="040C0005" w:tentative="1">
      <w:start w:val="1"/>
      <w:numFmt w:val="bullet"/>
      <w:lvlText w:val=""/>
      <w:lvlJc w:val="left"/>
      <w:pPr>
        <w:ind w:left="7200" w:hanging="360"/>
      </w:pPr>
      <w:rPr>
        <w:rFonts w:hint="default" w:ascii="Wingdings" w:hAnsi="Wingdings"/>
      </w:rPr>
    </w:lvl>
  </w:abstractNum>
  <w:abstractNum w:abstractNumId="20" w15:restartNumberingAfterBreak="0">
    <w:nsid w:val="46142D05"/>
    <w:multiLevelType w:val="hybridMultilevel"/>
    <w:tmpl w:val="A186302E"/>
    <w:lvl w:ilvl="0" w:tplc="53DCAAAE">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1" w15:restartNumberingAfterBreak="0">
    <w:nsid w:val="6DFF181B"/>
    <w:multiLevelType w:val="hybridMultilevel"/>
    <w:tmpl w:val="7A1E604A"/>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72C83D47"/>
    <w:multiLevelType w:val="multilevel"/>
    <w:tmpl w:val="40A8C7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782C1450"/>
    <w:multiLevelType w:val="multilevel"/>
    <w:tmpl w:val="09CE73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7D9753BC"/>
    <w:multiLevelType w:val="multilevel"/>
    <w:tmpl w:val="454A86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24"/>
  </w:num>
  <w:num w:numId="2">
    <w:abstractNumId w:val="0"/>
  </w:num>
  <w:num w:numId="3">
    <w:abstractNumId w:val="22"/>
  </w:num>
  <w:num w:numId="4">
    <w:abstractNumId w:val="2"/>
  </w:num>
  <w:num w:numId="5">
    <w:abstractNumId w:val="21"/>
  </w:num>
  <w:num w:numId="6">
    <w:abstractNumId w:val="20"/>
  </w:num>
  <w:num w:numId="7">
    <w:abstractNumId w:val="5"/>
  </w:num>
  <w:num w:numId="8">
    <w:abstractNumId w:val="6"/>
  </w:num>
  <w:num w:numId="9">
    <w:abstractNumId w:val="9"/>
  </w:num>
  <w:num w:numId="10">
    <w:abstractNumId w:val="4"/>
  </w:num>
  <w:num w:numId="11">
    <w:abstractNumId w:val="16"/>
  </w:num>
  <w:num w:numId="12">
    <w:abstractNumId w:val="12"/>
  </w:num>
  <w:num w:numId="13">
    <w:abstractNumId w:val="17"/>
  </w:num>
  <w:num w:numId="14">
    <w:abstractNumId w:val="1"/>
  </w:num>
  <w:num w:numId="15">
    <w:abstractNumId w:val="23"/>
  </w:num>
  <w:num w:numId="16">
    <w:abstractNumId w:val="15"/>
  </w:num>
  <w:num w:numId="17">
    <w:abstractNumId w:val="18"/>
  </w:num>
  <w:num w:numId="18">
    <w:abstractNumId w:val="11"/>
  </w:num>
  <w:num w:numId="19">
    <w:abstractNumId w:val="13"/>
  </w:num>
  <w:num w:numId="20">
    <w:abstractNumId w:val="19"/>
  </w:num>
  <w:num w:numId="21">
    <w:abstractNumId w:val="10"/>
  </w:num>
  <w:num w:numId="22">
    <w:abstractNumId w:val="7"/>
  </w:num>
  <w:num w:numId="23">
    <w:abstractNumId w:val="8"/>
  </w:num>
  <w:num w:numId="24">
    <w:abstractNumId w:val="14"/>
  </w:num>
  <w:num w:numId="25">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1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30B"/>
    <w:rsid w:val="000012F8"/>
    <w:rsid w:val="00010776"/>
    <w:rsid w:val="00015308"/>
    <w:rsid w:val="00042D8A"/>
    <w:rsid w:val="000611A8"/>
    <w:rsid w:val="00066D86"/>
    <w:rsid w:val="000703F4"/>
    <w:rsid w:val="00071BCE"/>
    <w:rsid w:val="00084720"/>
    <w:rsid w:val="00086FB7"/>
    <w:rsid w:val="00091134"/>
    <w:rsid w:val="000C01CA"/>
    <w:rsid w:val="000C034E"/>
    <w:rsid w:val="000E613A"/>
    <w:rsid w:val="00102447"/>
    <w:rsid w:val="001062D8"/>
    <w:rsid w:val="0012597B"/>
    <w:rsid w:val="001309B2"/>
    <w:rsid w:val="001359B9"/>
    <w:rsid w:val="00142420"/>
    <w:rsid w:val="001478CB"/>
    <w:rsid w:val="0015574E"/>
    <w:rsid w:val="00162EB8"/>
    <w:rsid w:val="00193EE5"/>
    <w:rsid w:val="001D4AC1"/>
    <w:rsid w:val="001E5E23"/>
    <w:rsid w:val="001F176C"/>
    <w:rsid w:val="001F2BEE"/>
    <w:rsid w:val="0020290E"/>
    <w:rsid w:val="00215608"/>
    <w:rsid w:val="002243C1"/>
    <w:rsid w:val="00225D84"/>
    <w:rsid w:val="00246226"/>
    <w:rsid w:val="00250EAF"/>
    <w:rsid w:val="002514C2"/>
    <w:rsid w:val="00254829"/>
    <w:rsid w:val="00260DBA"/>
    <w:rsid w:val="00263C2D"/>
    <w:rsid w:val="00283173"/>
    <w:rsid w:val="00297D4F"/>
    <w:rsid w:val="002A4890"/>
    <w:rsid w:val="002D2965"/>
    <w:rsid w:val="002D3FDD"/>
    <w:rsid w:val="002D4A7E"/>
    <w:rsid w:val="002E0E06"/>
    <w:rsid w:val="002E2D45"/>
    <w:rsid w:val="002E72EE"/>
    <w:rsid w:val="002F6C0F"/>
    <w:rsid w:val="0030353E"/>
    <w:rsid w:val="003064AE"/>
    <w:rsid w:val="00307030"/>
    <w:rsid w:val="00310E9E"/>
    <w:rsid w:val="00313C3C"/>
    <w:rsid w:val="003165BD"/>
    <w:rsid w:val="00344D97"/>
    <w:rsid w:val="00356C03"/>
    <w:rsid w:val="00364D7E"/>
    <w:rsid w:val="00367AAA"/>
    <w:rsid w:val="003E5DDB"/>
    <w:rsid w:val="00401DD7"/>
    <w:rsid w:val="00432916"/>
    <w:rsid w:val="004337C1"/>
    <w:rsid w:val="004438EB"/>
    <w:rsid w:val="004450D1"/>
    <w:rsid w:val="00445B87"/>
    <w:rsid w:val="00447C31"/>
    <w:rsid w:val="00460B5A"/>
    <w:rsid w:val="00463627"/>
    <w:rsid w:val="00472F5F"/>
    <w:rsid w:val="00473BC6"/>
    <w:rsid w:val="00476904"/>
    <w:rsid w:val="0048151F"/>
    <w:rsid w:val="00493FE5"/>
    <w:rsid w:val="00496DA3"/>
    <w:rsid w:val="004A4861"/>
    <w:rsid w:val="004B3A41"/>
    <w:rsid w:val="004B4CA9"/>
    <w:rsid w:val="004C6093"/>
    <w:rsid w:val="004F1C5C"/>
    <w:rsid w:val="005007D9"/>
    <w:rsid w:val="00516E25"/>
    <w:rsid w:val="00527D6B"/>
    <w:rsid w:val="00543AF2"/>
    <w:rsid w:val="00554B81"/>
    <w:rsid w:val="00566F81"/>
    <w:rsid w:val="00571E58"/>
    <w:rsid w:val="005D2FDE"/>
    <w:rsid w:val="005D37DE"/>
    <w:rsid w:val="005E5BBB"/>
    <w:rsid w:val="00605D08"/>
    <w:rsid w:val="0061561F"/>
    <w:rsid w:val="006207A8"/>
    <w:rsid w:val="0062748D"/>
    <w:rsid w:val="00633CFC"/>
    <w:rsid w:val="006507AA"/>
    <w:rsid w:val="00655205"/>
    <w:rsid w:val="00680540"/>
    <w:rsid w:val="006806A0"/>
    <w:rsid w:val="00690E2D"/>
    <w:rsid w:val="00696F31"/>
    <w:rsid w:val="006A2435"/>
    <w:rsid w:val="006A7955"/>
    <w:rsid w:val="006C7AA1"/>
    <w:rsid w:val="006D2EDF"/>
    <w:rsid w:val="006D6F1E"/>
    <w:rsid w:val="006F1D16"/>
    <w:rsid w:val="00703A25"/>
    <w:rsid w:val="00707828"/>
    <w:rsid w:val="00726242"/>
    <w:rsid w:val="00743A1C"/>
    <w:rsid w:val="007577B5"/>
    <w:rsid w:val="00760351"/>
    <w:rsid w:val="00773396"/>
    <w:rsid w:val="00782360"/>
    <w:rsid w:val="007953D9"/>
    <w:rsid w:val="007B5111"/>
    <w:rsid w:val="007F620B"/>
    <w:rsid w:val="008136FE"/>
    <w:rsid w:val="008168C6"/>
    <w:rsid w:val="00885ED2"/>
    <w:rsid w:val="00896439"/>
    <w:rsid w:val="008B369E"/>
    <w:rsid w:val="008C4A14"/>
    <w:rsid w:val="008E107A"/>
    <w:rsid w:val="00905B77"/>
    <w:rsid w:val="00912C1C"/>
    <w:rsid w:val="00916B85"/>
    <w:rsid w:val="00940BE4"/>
    <w:rsid w:val="00946BDC"/>
    <w:rsid w:val="00951852"/>
    <w:rsid w:val="009B45AF"/>
    <w:rsid w:val="009B4B97"/>
    <w:rsid w:val="009C0EB2"/>
    <w:rsid w:val="009D0A1E"/>
    <w:rsid w:val="009E43A2"/>
    <w:rsid w:val="009F7062"/>
    <w:rsid w:val="00A053F4"/>
    <w:rsid w:val="00A11C16"/>
    <w:rsid w:val="00A12952"/>
    <w:rsid w:val="00A21DFC"/>
    <w:rsid w:val="00A652F7"/>
    <w:rsid w:val="00A67940"/>
    <w:rsid w:val="00A67FBE"/>
    <w:rsid w:val="00A74C4F"/>
    <w:rsid w:val="00A82DCE"/>
    <w:rsid w:val="00A835C4"/>
    <w:rsid w:val="00A97F8B"/>
    <w:rsid w:val="00AA4489"/>
    <w:rsid w:val="00AC1E57"/>
    <w:rsid w:val="00AD4370"/>
    <w:rsid w:val="00AD59DE"/>
    <w:rsid w:val="00AE4343"/>
    <w:rsid w:val="00AF2B57"/>
    <w:rsid w:val="00AF3492"/>
    <w:rsid w:val="00B30D16"/>
    <w:rsid w:val="00B32F35"/>
    <w:rsid w:val="00B376D4"/>
    <w:rsid w:val="00B47EA4"/>
    <w:rsid w:val="00B5390D"/>
    <w:rsid w:val="00B75673"/>
    <w:rsid w:val="00B77E2B"/>
    <w:rsid w:val="00B77F8A"/>
    <w:rsid w:val="00BA70EE"/>
    <w:rsid w:val="00BC61F7"/>
    <w:rsid w:val="00BF0C15"/>
    <w:rsid w:val="00BF63DA"/>
    <w:rsid w:val="00BF773D"/>
    <w:rsid w:val="00C12228"/>
    <w:rsid w:val="00C251B0"/>
    <w:rsid w:val="00C313D6"/>
    <w:rsid w:val="00C34B3D"/>
    <w:rsid w:val="00C435DC"/>
    <w:rsid w:val="00C5000E"/>
    <w:rsid w:val="00CA0905"/>
    <w:rsid w:val="00CC142B"/>
    <w:rsid w:val="00CC678E"/>
    <w:rsid w:val="00CD530B"/>
    <w:rsid w:val="00CE2EE8"/>
    <w:rsid w:val="00CE61EB"/>
    <w:rsid w:val="00D14E62"/>
    <w:rsid w:val="00D15B7E"/>
    <w:rsid w:val="00D15F0A"/>
    <w:rsid w:val="00D366FF"/>
    <w:rsid w:val="00D426FD"/>
    <w:rsid w:val="00D47F1C"/>
    <w:rsid w:val="00D7707B"/>
    <w:rsid w:val="00D86C54"/>
    <w:rsid w:val="00D95D29"/>
    <w:rsid w:val="00D97D39"/>
    <w:rsid w:val="00DD4C94"/>
    <w:rsid w:val="00DE61AE"/>
    <w:rsid w:val="00DF75E8"/>
    <w:rsid w:val="00E065AF"/>
    <w:rsid w:val="00E11CED"/>
    <w:rsid w:val="00E21008"/>
    <w:rsid w:val="00E217F4"/>
    <w:rsid w:val="00E569B6"/>
    <w:rsid w:val="00E6292E"/>
    <w:rsid w:val="00E67266"/>
    <w:rsid w:val="00E74212"/>
    <w:rsid w:val="00E832A3"/>
    <w:rsid w:val="00EA02CC"/>
    <w:rsid w:val="00EA0D97"/>
    <w:rsid w:val="00EA3EC0"/>
    <w:rsid w:val="00EB6CB7"/>
    <w:rsid w:val="00EC44E6"/>
    <w:rsid w:val="00ED66BA"/>
    <w:rsid w:val="00F02BF1"/>
    <w:rsid w:val="00F14CEB"/>
    <w:rsid w:val="00F35517"/>
    <w:rsid w:val="00F63971"/>
    <w:rsid w:val="00F75D9F"/>
    <w:rsid w:val="00F82480"/>
    <w:rsid w:val="00FA076E"/>
    <w:rsid w:val="00FA4736"/>
    <w:rsid w:val="00FC34FC"/>
    <w:rsid w:val="00FD631A"/>
    <w:rsid w:val="00FE5A9B"/>
    <w:rsid w:val="00FF3FBC"/>
    <w:rsid w:val="00FF77C6"/>
    <w:rsid w:val="066DE0E5"/>
    <w:rsid w:val="07537F32"/>
    <w:rsid w:val="084E4C38"/>
    <w:rsid w:val="0A1055CA"/>
    <w:rsid w:val="0A1055CA"/>
    <w:rsid w:val="0D80C7A4"/>
    <w:rsid w:val="0E400E43"/>
    <w:rsid w:val="0FE88582"/>
    <w:rsid w:val="10517965"/>
    <w:rsid w:val="114E3C1A"/>
    <w:rsid w:val="15735A44"/>
    <w:rsid w:val="17C9841C"/>
    <w:rsid w:val="19F55280"/>
    <w:rsid w:val="1A6E3A9A"/>
    <w:rsid w:val="1A8F6F86"/>
    <w:rsid w:val="1C3609FB"/>
    <w:rsid w:val="1DE00FB4"/>
    <w:rsid w:val="1F864E0D"/>
    <w:rsid w:val="2001E52E"/>
    <w:rsid w:val="212F3A6B"/>
    <w:rsid w:val="2A4BD9D1"/>
    <w:rsid w:val="2B2127F6"/>
    <w:rsid w:val="2B92AA2E"/>
    <w:rsid w:val="2F2DC911"/>
    <w:rsid w:val="328C9925"/>
    <w:rsid w:val="32A432AF"/>
    <w:rsid w:val="35B74D78"/>
    <w:rsid w:val="35BD8869"/>
    <w:rsid w:val="36A37945"/>
    <w:rsid w:val="3BE1285D"/>
    <w:rsid w:val="3CA9ADC3"/>
    <w:rsid w:val="409852EE"/>
    <w:rsid w:val="4364D35B"/>
    <w:rsid w:val="43844335"/>
    <w:rsid w:val="441153DC"/>
    <w:rsid w:val="47DC1A7A"/>
    <w:rsid w:val="4A2FB382"/>
    <w:rsid w:val="4D01771E"/>
    <w:rsid w:val="4F77F841"/>
    <w:rsid w:val="50BED96F"/>
    <w:rsid w:val="55A044F7"/>
    <w:rsid w:val="574BC72B"/>
    <w:rsid w:val="5A7D72BF"/>
    <w:rsid w:val="5DC0BA90"/>
    <w:rsid w:val="5EE63BD9"/>
    <w:rsid w:val="646D33DB"/>
    <w:rsid w:val="65933659"/>
    <w:rsid w:val="667F24A5"/>
    <w:rsid w:val="6705E38E"/>
    <w:rsid w:val="688DF5AC"/>
    <w:rsid w:val="69FA9236"/>
    <w:rsid w:val="70D4F6E6"/>
    <w:rsid w:val="70F639BD"/>
    <w:rsid w:val="759B3790"/>
    <w:rsid w:val="767D2284"/>
    <w:rsid w:val="775ABF02"/>
    <w:rsid w:val="7BC8DB1B"/>
    <w:rsid w:val="7F8418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371A7"/>
  <w15:chartTrackingRefBased/>
  <w15:docId w15:val="{50B63053-A202-45C1-9A70-5867F5B8610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D530B"/>
  </w:style>
  <w:style w:type="paragraph" w:styleId="Heading3">
    <w:name w:val="heading 3"/>
    <w:basedOn w:val="Normal"/>
    <w:next w:val="Normal"/>
    <w:link w:val="Heading3Char"/>
    <w:uiPriority w:val="9"/>
    <w:unhideWhenUsed/>
    <w:qFormat/>
    <w:rsid w:val="00DE61AE"/>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ibliography">
    <w:name w:val="Bibliography"/>
    <w:basedOn w:val="Normal"/>
    <w:next w:val="Normal"/>
    <w:uiPriority w:val="37"/>
    <w:unhideWhenUsed/>
    <w:rsid w:val="00CD530B"/>
    <w:pPr>
      <w:tabs>
        <w:tab w:val="left" w:pos="504"/>
      </w:tabs>
      <w:spacing w:after="0" w:line="240" w:lineRule="auto"/>
      <w:ind w:left="504" w:hanging="504"/>
    </w:pPr>
  </w:style>
  <w:style w:type="paragraph" w:styleId="ListParagraph">
    <w:name w:val="List Paragraph"/>
    <w:basedOn w:val="Normal"/>
    <w:uiPriority w:val="34"/>
    <w:qFormat/>
    <w:rsid w:val="00CD530B"/>
    <w:pPr>
      <w:ind w:left="720"/>
      <w:contextualSpacing/>
    </w:pPr>
  </w:style>
  <w:style w:type="paragraph" w:styleId="NormalWeb">
    <w:name w:val="Normal (Web)"/>
    <w:basedOn w:val="Normal"/>
    <w:uiPriority w:val="99"/>
    <w:unhideWhenUsed/>
    <w:rsid w:val="00CD530B"/>
    <w:pPr>
      <w:spacing w:before="100" w:beforeAutospacing="1" w:after="100" w:afterAutospacing="1" w:line="240" w:lineRule="auto"/>
    </w:pPr>
    <w:rPr>
      <w:rFonts w:ascii="Times New Roman" w:hAnsi="Times New Roman" w:eastAsia="Times New Roman" w:cs="Times New Roman"/>
      <w:sz w:val="24"/>
      <w:szCs w:val="24"/>
      <w:lang w:val="fr-FR" w:eastAsia="fr-FR"/>
    </w:rPr>
  </w:style>
  <w:style w:type="character" w:styleId="math-inline" w:customStyle="1">
    <w:name w:val="math-inline"/>
    <w:basedOn w:val="DefaultParagraphFont"/>
    <w:rsid w:val="00CD530B"/>
  </w:style>
  <w:style w:type="paragraph" w:styleId="Caption">
    <w:name w:val="caption"/>
    <w:basedOn w:val="Normal"/>
    <w:next w:val="Normal"/>
    <w:uiPriority w:val="35"/>
    <w:unhideWhenUsed/>
    <w:qFormat/>
    <w:rsid w:val="00CD530B"/>
    <w:pPr>
      <w:spacing w:after="200" w:line="240" w:lineRule="auto"/>
    </w:pPr>
    <w:rPr>
      <w:i/>
      <w:iCs/>
      <w:color w:val="44546A" w:themeColor="text2"/>
      <w:sz w:val="18"/>
      <w:szCs w:val="18"/>
    </w:rPr>
  </w:style>
  <w:style w:type="character" w:styleId="Hyperlink">
    <w:name w:val="Hyperlink"/>
    <w:basedOn w:val="DefaultParagraphFont"/>
    <w:uiPriority w:val="99"/>
    <w:unhideWhenUsed/>
    <w:rsid w:val="00CD530B"/>
    <w:rPr>
      <w:color w:val="0563C1" w:themeColor="hyperlink"/>
      <w:u w:val="single"/>
    </w:rPr>
  </w:style>
  <w:style w:type="character" w:styleId="PlaceholderText">
    <w:name w:val="Placeholder Text"/>
    <w:basedOn w:val="DefaultParagraphFont"/>
    <w:uiPriority w:val="99"/>
    <w:semiHidden/>
    <w:rsid w:val="009B4B97"/>
    <w:rPr>
      <w:color w:val="808080"/>
    </w:rPr>
  </w:style>
  <w:style w:type="paragraph" w:styleId="HTMLPreformatted">
    <w:name w:val="HTML Preformatted"/>
    <w:basedOn w:val="Normal"/>
    <w:link w:val="HTMLPreformattedChar"/>
    <w:uiPriority w:val="99"/>
    <w:semiHidden/>
    <w:unhideWhenUsed/>
    <w:rsid w:val="001F176C"/>
    <w:pPr>
      <w:spacing w:after="0" w:line="240" w:lineRule="auto"/>
    </w:pPr>
    <w:rPr>
      <w:rFonts w:ascii="Consolas" w:hAnsi="Consolas"/>
      <w:sz w:val="20"/>
      <w:szCs w:val="20"/>
    </w:rPr>
  </w:style>
  <w:style w:type="character" w:styleId="HTMLPreformattedChar" w:customStyle="1">
    <w:name w:val="HTML Preformatted Char"/>
    <w:basedOn w:val="DefaultParagraphFont"/>
    <w:link w:val="HTMLPreformatted"/>
    <w:uiPriority w:val="99"/>
    <w:semiHidden/>
    <w:rsid w:val="001F176C"/>
    <w:rPr>
      <w:rFonts w:ascii="Consolas" w:hAnsi="Consolas"/>
      <w:sz w:val="20"/>
      <w:szCs w:val="20"/>
      <w:lang w:val="en-US"/>
    </w:rPr>
  </w:style>
  <w:style w:type="character" w:styleId="Strong">
    <w:name w:val="Strong"/>
    <w:basedOn w:val="DefaultParagraphFont"/>
    <w:uiPriority w:val="22"/>
    <w:qFormat/>
    <w:rsid w:val="009E43A2"/>
    <w:rPr>
      <w:b/>
      <w:bCs/>
    </w:rPr>
  </w:style>
  <w:style w:type="table" w:styleId="PlainTable1">
    <w:name w:val="Plain Table 1"/>
    <w:basedOn w:val="TableNormal"/>
    <w:uiPriority w:val="41"/>
    <w:rsid w:val="009E43A2"/>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D426F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3Char" w:customStyle="1">
    <w:name w:val="Heading 3 Char"/>
    <w:basedOn w:val="DefaultParagraphFont"/>
    <w:link w:val="Heading3"/>
    <w:uiPriority w:val="9"/>
    <w:rsid w:val="00DE61AE"/>
    <w:rPr>
      <w:rFonts w:asciiTheme="majorHAnsi" w:hAnsiTheme="majorHAnsi" w:eastAsiaTheme="majorEastAsia" w:cstheme="majorBidi"/>
      <w:color w:val="1F3763" w:themeColor="accent1" w:themeShade="7F"/>
      <w:sz w:val="24"/>
      <w:szCs w:val="24"/>
      <w:lang w:val="en-US"/>
    </w:rPr>
  </w:style>
  <w:style w:type="paragraph" w:styleId="ds-markdown-paragraph" w:customStyle="1">
    <w:name w:val="ds-markdown-paragraph"/>
    <w:basedOn w:val="Normal"/>
    <w:rsid w:val="004337C1"/>
    <w:pPr>
      <w:spacing w:before="100" w:beforeAutospacing="1" w:after="100" w:afterAutospacing="1" w:line="240" w:lineRule="auto"/>
    </w:pPr>
    <w:rPr>
      <w:rFonts w:ascii="Times New Roman" w:hAnsi="Times New Roman" w:eastAsia="Times New Roman" w:cs="Times New Roman"/>
      <w:sz w:val="24"/>
      <w:szCs w:val="24"/>
      <w:lang w:val="fr-FR" w:eastAsia="fr-FR"/>
    </w:rPr>
  </w:style>
  <w:style w:type="paragraph" w:styleId="Header">
    <w:name w:val="header"/>
    <w:basedOn w:val="Normal"/>
    <w:link w:val="HeaderChar"/>
    <w:uiPriority w:val="99"/>
    <w:unhideWhenUsed/>
    <w:rsid w:val="00042D8A"/>
    <w:pPr>
      <w:tabs>
        <w:tab w:val="center" w:pos="4536"/>
        <w:tab w:val="right" w:pos="9072"/>
      </w:tabs>
      <w:spacing w:after="0" w:line="240" w:lineRule="auto"/>
    </w:pPr>
  </w:style>
  <w:style w:type="character" w:styleId="HeaderChar" w:customStyle="1">
    <w:name w:val="Header Char"/>
    <w:basedOn w:val="DefaultParagraphFont"/>
    <w:link w:val="Header"/>
    <w:uiPriority w:val="99"/>
    <w:rsid w:val="00042D8A"/>
    <w:rPr>
      <w:lang w:val="en-US"/>
    </w:rPr>
  </w:style>
  <w:style w:type="paragraph" w:styleId="Footer">
    <w:name w:val="footer"/>
    <w:basedOn w:val="Normal"/>
    <w:link w:val="FooterChar"/>
    <w:uiPriority w:val="99"/>
    <w:unhideWhenUsed/>
    <w:rsid w:val="00042D8A"/>
    <w:pPr>
      <w:tabs>
        <w:tab w:val="center" w:pos="4536"/>
        <w:tab w:val="right" w:pos="9072"/>
      </w:tabs>
      <w:spacing w:after="0" w:line="240" w:lineRule="auto"/>
    </w:pPr>
  </w:style>
  <w:style w:type="character" w:styleId="FooterChar" w:customStyle="1">
    <w:name w:val="Footer Char"/>
    <w:basedOn w:val="DefaultParagraphFont"/>
    <w:link w:val="Footer"/>
    <w:uiPriority w:val="99"/>
    <w:rsid w:val="00042D8A"/>
    <w:rPr>
      <w:lang w:val="en-US"/>
    </w:rPr>
  </w:style>
  <w:style w:type="paragraph" w:styleId="FootnoteText">
    <w:name w:val="footnote text"/>
    <w:basedOn w:val="Normal"/>
    <w:link w:val="FootnoteTextChar"/>
    <w:uiPriority w:val="99"/>
    <w:semiHidden/>
    <w:unhideWhenUsed/>
    <w:rsid w:val="000703F4"/>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0703F4"/>
    <w:rPr>
      <w:sz w:val="20"/>
      <w:szCs w:val="20"/>
      <w:lang w:val="en-US"/>
    </w:rPr>
  </w:style>
  <w:style w:type="character" w:styleId="FootnoteReference">
    <w:name w:val="footnote reference"/>
    <w:basedOn w:val="DefaultParagraphFont"/>
    <w:uiPriority w:val="99"/>
    <w:semiHidden/>
    <w:unhideWhenUsed/>
    <w:rsid w:val="000703F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46277">
      <w:bodyDiv w:val="1"/>
      <w:marLeft w:val="0"/>
      <w:marRight w:val="0"/>
      <w:marTop w:val="0"/>
      <w:marBottom w:val="0"/>
      <w:divBdr>
        <w:top w:val="none" w:sz="0" w:space="0" w:color="auto"/>
        <w:left w:val="none" w:sz="0" w:space="0" w:color="auto"/>
        <w:bottom w:val="none" w:sz="0" w:space="0" w:color="auto"/>
        <w:right w:val="none" w:sz="0" w:space="0" w:color="auto"/>
      </w:divBdr>
    </w:div>
    <w:div w:id="25567168">
      <w:bodyDiv w:val="1"/>
      <w:marLeft w:val="0"/>
      <w:marRight w:val="0"/>
      <w:marTop w:val="0"/>
      <w:marBottom w:val="0"/>
      <w:divBdr>
        <w:top w:val="none" w:sz="0" w:space="0" w:color="auto"/>
        <w:left w:val="none" w:sz="0" w:space="0" w:color="auto"/>
        <w:bottom w:val="none" w:sz="0" w:space="0" w:color="auto"/>
        <w:right w:val="none" w:sz="0" w:space="0" w:color="auto"/>
      </w:divBdr>
    </w:div>
    <w:div w:id="35736763">
      <w:bodyDiv w:val="1"/>
      <w:marLeft w:val="0"/>
      <w:marRight w:val="0"/>
      <w:marTop w:val="0"/>
      <w:marBottom w:val="0"/>
      <w:divBdr>
        <w:top w:val="none" w:sz="0" w:space="0" w:color="auto"/>
        <w:left w:val="none" w:sz="0" w:space="0" w:color="auto"/>
        <w:bottom w:val="none" w:sz="0" w:space="0" w:color="auto"/>
        <w:right w:val="none" w:sz="0" w:space="0" w:color="auto"/>
      </w:divBdr>
    </w:div>
    <w:div w:id="47845840">
      <w:bodyDiv w:val="1"/>
      <w:marLeft w:val="0"/>
      <w:marRight w:val="0"/>
      <w:marTop w:val="0"/>
      <w:marBottom w:val="0"/>
      <w:divBdr>
        <w:top w:val="none" w:sz="0" w:space="0" w:color="auto"/>
        <w:left w:val="none" w:sz="0" w:space="0" w:color="auto"/>
        <w:bottom w:val="none" w:sz="0" w:space="0" w:color="auto"/>
        <w:right w:val="none" w:sz="0" w:space="0" w:color="auto"/>
      </w:divBdr>
    </w:div>
    <w:div w:id="63912079">
      <w:bodyDiv w:val="1"/>
      <w:marLeft w:val="0"/>
      <w:marRight w:val="0"/>
      <w:marTop w:val="0"/>
      <w:marBottom w:val="0"/>
      <w:divBdr>
        <w:top w:val="none" w:sz="0" w:space="0" w:color="auto"/>
        <w:left w:val="none" w:sz="0" w:space="0" w:color="auto"/>
        <w:bottom w:val="none" w:sz="0" w:space="0" w:color="auto"/>
        <w:right w:val="none" w:sz="0" w:space="0" w:color="auto"/>
      </w:divBdr>
      <w:divsChild>
        <w:div w:id="790511710">
          <w:marLeft w:val="0"/>
          <w:marRight w:val="0"/>
          <w:marTop w:val="0"/>
          <w:marBottom w:val="0"/>
          <w:divBdr>
            <w:top w:val="none" w:sz="0" w:space="0" w:color="auto"/>
            <w:left w:val="none" w:sz="0" w:space="0" w:color="auto"/>
            <w:bottom w:val="none" w:sz="0" w:space="0" w:color="auto"/>
            <w:right w:val="none" w:sz="0" w:space="0" w:color="auto"/>
          </w:divBdr>
        </w:div>
      </w:divsChild>
    </w:div>
    <w:div w:id="70855209">
      <w:bodyDiv w:val="1"/>
      <w:marLeft w:val="0"/>
      <w:marRight w:val="0"/>
      <w:marTop w:val="0"/>
      <w:marBottom w:val="0"/>
      <w:divBdr>
        <w:top w:val="none" w:sz="0" w:space="0" w:color="auto"/>
        <w:left w:val="none" w:sz="0" w:space="0" w:color="auto"/>
        <w:bottom w:val="none" w:sz="0" w:space="0" w:color="auto"/>
        <w:right w:val="none" w:sz="0" w:space="0" w:color="auto"/>
      </w:divBdr>
    </w:div>
    <w:div w:id="182283966">
      <w:bodyDiv w:val="1"/>
      <w:marLeft w:val="0"/>
      <w:marRight w:val="0"/>
      <w:marTop w:val="0"/>
      <w:marBottom w:val="0"/>
      <w:divBdr>
        <w:top w:val="none" w:sz="0" w:space="0" w:color="auto"/>
        <w:left w:val="none" w:sz="0" w:space="0" w:color="auto"/>
        <w:bottom w:val="none" w:sz="0" w:space="0" w:color="auto"/>
        <w:right w:val="none" w:sz="0" w:space="0" w:color="auto"/>
      </w:divBdr>
    </w:div>
    <w:div w:id="186873681">
      <w:bodyDiv w:val="1"/>
      <w:marLeft w:val="0"/>
      <w:marRight w:val="0"/>
      <w:marTop w:val="0"/>
      <w:marBottom w:val="0"/>
      <w:divBdr>
        <w:top w:val="none" w:sz="0" w:space="0" w:color="auto"/>
        <w:left w:val="none" w:sz="0" w:space="0" w:color="auto"/>
        <w:bottom w:val="none" w:sz="0" w:space="0" w:color="auto"/>
        <w:right w:val="none" w:sz="0" w:space="0" w:color="auto"/>
      </w:divBdr>
    </w:div>
    <w:div w:id="207841105">
      <w:bodyDiv w:val="1"/>
      <w:marLeft w:val="0"/>
      <w:marRight w:val="0"/>
      <w:marTop w:val="0"/>
      <w:marBottom w:val="0"/>
      <w:divBdr>
        <w:top w:val="none" w:sz="0" w:space="0" w:color="auto"/>
        <w:left w:val="none" w:sz="0" w:space="0" w:color="auto"/>
        <w:bottom w:val="none" w:sz="0" w:space="0" w:color="auto"/>
        <w:right w:val="none" w:sz="0" w:space="0" w:color="auto"/>
      </w:divBdr>
      <w:divsChild>
        <w:div w:id="103042911">
          <w:marLeft w:val="0"/>
          <w:marRight w:val="0"/>
          <w:marTop w:val="0"/>
          <w:marBottom w:val="0"/>
          <w:divBdr>
            <w:top w:val="none" w:sz="0" w:space="0" w:color="auto"/>
            <w:left w:val="none" w:sz="0" w:space="0" w:color="auto"/>
            <w:bottom w:val="none" w:sz="0" w:space="0" w:color="auto"/>
            <w:right w:val="none" w:sz="0" w:space="0" w:color="auto"/>
          </w:divBdr>
        </w:div>
      </w:divsChild>
    </w:div>
    <w:div w:id="251858524">
      <w:bodyDiv w:val="1"/>
      <w:marLeft w:val="0"/>
      <w:marRight w:val="0"/>
      <w:marTop w:val="0"/>
      <w:marBottom w:val="0"/>
      <w:divBdr>
        <w:top w:val="none" w:sz="0" w:space="0" w:color="auto"/>
        <w:left w:val="none" w:sz="0" w:space="0" w:color="auto"/>
        <w:bottom w:val="none" w:sz="0" w:space="0" w:color="auto"/>
        <w:right w:val="none" w:sz="0" w:space="0" w:color="auto"/>
      </w:divBdr>
    </w:div>
    <w:div w:id="254947220">
      <w:bodyDiv w:val="1"/>
      <w:marLeft w:val="0"/>
      <w:marRight w:val="0"/>
      <w:marTop w:val="0"/>
      <w:marBottom w:val="0"/>
      <w:divBdr>
        <w:top w:val="none" w:sz="0" w:space="0" w:color="auto"/>
        <w:left w:val="none" w:sz="0" w:space="0" w:color="auto"/>
        <w:bottom w:val="none" w:sz="0" w:space="0" w:color="auto"/>
        <w:right w:val="none" w:sz="0" w:space="0" w:color="auto"/>
      </w:divBdr>
      <w:divsChild>
        <w:div w:id="315501445">
          <w:marLeft w:val="0"/>
          <w:marRight w:val="0"/>
          <w:marTop w:val="0"/>
          <w:marBottom w:val="0"/>
          <w:divBdr>
            <w:top w:val="none" w:sz="0" w:space="0" w:color="auto"/>
            <w:left w:val="none" w:sz="0" w:space="0" w:color="auto"/>
            <w:bottom w:val="none" w:sz="0" w:space="0" w:color="auto"/>
            <w:right w:val="none" w:sz="0" w:space="0" w:color="auto"/>
          </w:divBdr>
        </w:div>
      </w:divsChild>
    </w:div>
    <w:div w:id="266273777">
      <w:bodyDiv w:val="1"/>
      <w:marLeft w:val="0"/>
      <w:marRight w:val="0"/>
      <w:marTop w:val="0"/>
      <w:marBottom w:val="0"/>
      <w:divBdr>
        <w:top w:val="none" w:sz="0" w:space="0" w:color="auto"/>
        <w:left w:val="none" w:sz="0" w:space="0" w:color="auto"/>
        <w:bottom w:val="none" w:sz="0" w:space="0" w:color="auto"/>
        <w:right w:val="none" w:sz="0" w:space="0" w:color="auto"/>
      </w:divBdr>
    </w:div>
    <w:div w:id="312299710">
      <w:bodyDiv w:val="1"/>
      <w:marLeft w:val="0"/>
      <w:marRight w:val="0"/>
      <w:marTop w:val="0"/>
      <w:marBottom w:val="0"/>
      <w:divBdr>
        <w:top w:val="none" w:sz="0" w:space="0" w:color="auto"/>
        <w:left w:val="none" w:sz="0" w:space="0" w:color="auto"/>
        <w:bottom w:val="none" w:sz="0" w:space="0" w:color="auto"/>
        <w:right w:val="none" w:sz="0" w:space="0" w:color="auto"/>
      </w:divBdr>
    </w:div>
    <w:div w:id="329522527">
      <w:bodyDiv w:val="1"/>
      <w:marLeft w:val="0"/>
      <w:marRight w:val="0"/>
      <w:marTop w:val="0"/>
      <w:marBottom w:val="0"/>
      <w:divBdr>
        <w:top w:val="none" w:sz="0" w:space="0" w:color="auto"/>
        <w:left w:val="none" w:sz="0" w:space="0" w:color="auto"/>
        <w:bottom w:val="none" w:sz="0" w:space="0" w:color="auto"/>
        <w:right w:val="none" w:sz="0" w:space="0" w:color="auto"/>
      </w:divBdr>
    </w:div>
    <w:div w:id="387650661">
      <w:bodyDiv w:val="1"/>
      <w:marLeft w:val="0"/>
      <w:marRight w:val="0"/>
      <w:marTop w:val="0"/>
      <w:marBottom w:val="0"/>
      <w:divBdr>
        <w:top w:val="none" w:sz="0" w:space="0" w:color="auto"/>
        <w:left w:val="none" w:sz="0" w:space="0" w:color="auto"/>
        <w:bottom w:val="none" w:sz="0" w:space="0" w:color="auto"/>
        <w:right w:val="none" w:sz="0" w:space="0" w:color="auto"/>
      </w:divBdr>
    </w:div>
    <w:div w:id="403988186">
      <w:bodyDiv w:val="1"/>
      <w:marLeft w:val="0"/>
      <w:marRight w:val="0"/>
      <w:marTop w:val="0"/>
      <w:marBottom w:val="0"/>
      <w:divBdr>
        <w:top w:val="none" w:sz="0" w:space="0" w:color="auto"/>
        <w:left w:val="none" w:sz="0" w:space="0" w:color="auto"/>
        <w:bottom w:val="none" w:sz="0" w:space="0" w:color="auto"/>
        <w:right w:val="none" w:sz="0" w:space="0" w:color="auto"/>
      </w:divBdr>
    </w:div>
    <w:div w:id="465969867">
      <w:bodyDiv w:val="1"/>
      <w:marLeft w:val="0"/>
      <w:marRight w:val="0"/>
      <w:marTop w:val="0"/>
      <w:marBottom w:val="0"/>
      <w:divBdr>
        <w:top w:val="none" w:sz="0" w:space="0" w:color="auto"/>
        <w:left w:val="none" w:sz="0" w:space="0" w:color="auto"/>
        <w:bottom w:val="none" w:sz="0" w:space="0" w:color="auto"/>
        <w:right w:val="none" w:sz="0" w:space="0" w:color="auto"/>
      </w:divBdr>
      <w:divsChild>
        <w:div w:id="223416242">
          <w:marLeft w:val="0"/>
          <w:marRight w:val="0"/>
          <w:marTop w:val="0"/>
          <w:marBottom w:val="0"/>
          <w:divBdr>
            <w:top w:val="none" w:sz="0" w:space="0" w:color="auto"/>
            <w:left w:val="none" w:sz="0" w:space="0" w:color="auto"/>
            <w:bottom w:val="none" w:sz="0" w:space="0" w:color="auto"/>
            <w:right w:val="none" w:sz="0" w:space="0" w:color="auto"/>
          </w:divBdr>
        </w:div>
      </w:divsChild>
    </w:div>
    <w:div w:id="503085639">
      <w:bodyDiv w:val="1"/>
      <w:marLeft w:val="0"/>
      <w:marRight w:val="0"/>
      <w:marTop w:val="0"/>
      <w:marBottom w:val="0"/>
      <w:divBdr>
        <w:top w:val="none" w:sz="0" w:space="0" w:color="auto"/>
        <w:left w:val="none" w:sz="0" w:space="0" w:color="auto"/>
        <w:bottom w:val="none" w:sz="0" w:space="0" w:color="auto"/>
        <w:right w:val="none" w:sz="0" w:space="0" w:color="auto"/>
      </w:divBdr>
    </w:div>
    <w:div w:id="509955658">
      <w:bodyDiv w:val="1"/>
      <w:marLeft w:val="0"/>
      <w:marRight w:val="0"/>
      <w:marTop w:val="0"/>
      <w:marBottom w:val="0"/>
      <w:divBdr>
        <w:top w:val="none" w:sz="0" w:space="0" w:color="auto"/>
        <w:left w:val="none" w:sz="0" w:space="0" w:color="auto"/>
        <w:bottom w:val="none" w:sz="0" w:space="0" w:color="auto"/>
        <w:right w:val="none" w:sz="0" w:space="0" w:color="auto"/>
      </w:divBdr>
    </w:div>
    <w:div w:id="541526256">
      <w:bodyDiv w:val="1"/>
      <w:marLeft w:val="0"/>
      <w:marRight w:val="0"/>
      <w:marTop w:val="0"/>
      <w:marBottom w:val="0"/>
      <w:divBdr>
        <w:top w:val="none" w:sz="0" w:space="0" w:color="auto"/>
        <w:left w:val="none" w:sz="0" w:space="0" w:color="auto"/>
        <w:bottom w:val="none" w:sz="0" w:space="0" w:color="auto"/>
        <w:right w:val="none" w:sz="0" w:space="0" w:color="auto"/>
      </w:divBdr>
      <w:divsChild>
        <w:div w:id="1761369249">
          <w:marLeft w:val="0"/>
          <w:marRight w:val="0"/>
          <w:marTop w:val="0"/>
          <w:marBottom w:val="0"/>
          <w:divBdr>
            <w:top w:val="none" w:sz="0" w:space="0" w:color="auto"/>
            <w:left w:val="none" w:sz="0" w:space="0" w:color="auto"/>
            <w:bottom w:val="none" w:sz="0" w:space="0" w:color="auto"/>
            <w:right w:val="none" w:sz="0" w:space="0" w:color="auto"/>
          </w:divBdr>
        </w:div>
      </w:divsChild>
    </w:div>
    <w:div w:id="544872797">
      <w:bodyDiv w:val="1"/>
      <w:marLeft w:val="0"/>
      <w:marRight w:val="0"/>
      <w:marTop w:val="0"/>
      <w:marBottom w:val="0"/>
      <w:divBdr>
        <w:top w:val="none" w:sz="0" w:space="0" w:color="auto"/>
        <w:left w:val="none" w:sz="0" w:space="0" w:color="auto"/>
        <w:bottom w:val="none" w:sz="0" w:space="0" w:color="auto"/>
        <w:right w:val="none" w:sz="0" w:space="0" w:color="auto"/>
      </w:divBdr>
    </w:div>
    <w:div w:id="550578082">
      <w:bodyDiv w:val="1"/>
      <w:marLeft w:val="0"/>
      <w:marRight w:val="0"/>
      <w:marTop w:val="0"/>
      <w:marBottom w:val="0"/>
      <w:divBdr>
        <w:top w:val="none" w:sz="0" w:space="0" w:color="auto"/>
        <w:left w:val="none" w:sz="0" w:space="0" w:color="auto"/>
        <w:bottom w:val="none" w:sz="0" w:space="0" w:color="auto"/>
        <w:right w:val="none" w:sz="0" w:space="0" w:color="auto"/>
      </w:divBdr>
    </w:div>
    <w:div w:id="563757968">
      <w:bodyDiv w:val="1"/>
      <w:marLeft w:val="0"/>
      <w:marRight w:val="0"/>
      <w:marTop w:val="0"/>
      <w:marBottom w:val="0"/>
      <w:divBdr>
        <w:top w:val="none" w:sz="0" w:space="0" w:color="auto"/>
        <w:left w:val="none" w:sz="0" w:space="0" w:color="auto"/>
        <w:bottom w:val="none" w:sz="0" w:space="0" w:color="auto"/>
        <w:right w:val="none" w:sz="0" w:space="0" w:color="auto"/>
      </w:divBdr>
    </w:div>
    <w:div w:id="574440265">
      <w:bodyDiv w:val="1"/>
      <w:marLeft w:val="0"/>
      <w:marRight w:val="0"/>
      <w:marTop w:val="0"/>
      <w:marBottom w:val="0"/>
      <w:divBdr>
        <w:top w:val="none" w:sz="0" w:space="0" w:color="auto"/>
        <w:left w:val="none" w:sz="0" w:space="0" w:color="auto"/>
        <w:bottom w:val="none" w:sz="0" w:space="0" w:color="auto"/>
        <w:right w:val="none" w:sz="0" w:space="0" w:color="auto"/>
      </w:divBdr>
    </w:div>
    <w:div w:id="621230764">
      <w:bodyDiv w:val="1"/>
      <w:marLeft w:val="0"/>
      <w:marRight w:val="0"/>
      <w:marTop w:val="0"/>
      <w:marBottom w:val="0"/>
      <w:divBdr>
        <w:top w:val="none" w:sz="0" w:space="0" w:color="auto"/>
        <w:left w:val="none" w:sz="0" w:space="0" w:color="auto"/>
        <w:bottom w:val="none" w:sz="0" w:space="0" w:color="auto"/>
        <w:right w:val="none" w:sz="0" w:space="0" w:color="auto"/>
      </w:divBdr>
      <w:divsChild>
        <w:div w:id="1575357271">
          <w:marLeft w:val="0"/>
          <w:marRight w:val="0"/>
          <w:marTop w:val="0"/>
          <w:marBottom w:val="0"/>
          <w:divBdr>
            <w:top w:val="none" w:sz="0" w:space="0" w:color="auto"/>
            <w:left w:val="none" w:sz="0" w:space="0" w:color="auto"/>
            <w:bottom w:val="none" w:sz="0" w:space="0" w:color="auto"/>
            <w:right w:val="none" w:sz="0" w:space="0" w:color="auto"/>
          </w:divBdr>
        </w:div>
      </w:divsChild>
    </w:div>
    <w:div w:id="633103200">
      <w:bodyDiv w:val="1"/>
      <w:marLeft w:val="0"/>
      <w:marRight w:val="0"/>
      <w:marTop w:val="0"/>
      <w:marBottom w:val="0"/>
      <w:divBdr>
        <w:top w:val="none" w:sz="0" w:space="0" w:color="auto"/>
        <w:left w:val="none" w:sz="0" w:space="0" w:color="auto"/>
        <w:bottom w:val="none" w:sz="0" w:space="0" w:color="auto"/>
        <w:right w:val="none" w:sz="0" w:space="0" w:color="auto"/>
      </w:divBdr>
    </w:div>
    <w:div w:id="642658331">
      <w:bodyDiv w:val="1"/>
      <w:marLeft w:val="0"/>
      <w:marRight w:val="0"/>
      <w:marTop w:val="0"/>
      <w:marBottom w:val="0"/>
      <w:divBdr>
        <w:top w:val="none" w:sz="0" w:space="0" w:color="auto"/>
        <w:left w:val="none" w:sz="0" w:space="0" w:color="auto"/>
        <w:bottom w:val="none" w:sz="0" w:space="0" w:color="auto"/>
        <w:right w:val="none" w:sz="0" w:space="0" w:color="auto"/>
      </w:divBdr>
    </w:div>
    <w:div w:id="655769715">
      <w:bodyDiv w:val="1"/>
      <w:marLeft w:val="0"/>
      <w:marRight w:val="0"/>
      <w:marTop w:val="0"/>
      <w:marBottom w:val="0"/>
      <w:divBdr>
        <w:top w:val="none" w:sz="0" w:space="0" w:color="auto"/>
        <w:left w:val="none" w:sz="0" w:space="0" w:color="auto"/>
        <w:bottom w:val="none" w:sz="0" w:space="0" w:color="auto"/>
        <w:right w:val="none" w:sz="0" w:space="0" w:color="auto"/>
      </w:divBdr>
    </w:div>
    <w:div w:id="670377201">
      <w:bodyDiv w:val="1"/>
      <w:marLeft w:val="0"/>
      <w:marRight w:val="0"/>
      <w:marTop w:val="0"/>
      <w:marBottom w:val="0"/>
      <w:divBdr>
        <w:top w:val="none" w:sz="0" w:space="0" w:color="auto"/>
        <w:left w:val="none" w:sz="0" w:space="0" w:color="auto"/>
        <w:bottom w:val="none" w:sz="0" w:space="0" w:color="auto"/>
        <w:right w:val="none" w:sz="0" w:space="0" w:color="auto"/>
      </w:divBdr>
    </w:div>
    <w:div w:id="686754666">
      <w:bodyDiv w:val="1"/>
      <w:marLeft w:val="0"/>
      <w:marRight w:val="0"/>
      <w:marTop w:val="0"/>
      <w:marBottom w:val="0"/>
      <w:divBdr>
        <w:top w:val="none" w:sz="0" w:space="0" w:color="auto"/>
        <w:left w:val="none" w:sz="0" w:space="0" w:color="auto"/>
        <w:bottom w:val="none" w:sz="0" w:space="0" w:color="auto"/>
        <w:right w:val="none" w:sz="0" w:space="0" w:color="auto"/>
      </w:divBdr>
    </w:div>
    <w:div w:id="715277729">
      <w:bodyDiv w:val="1"/>
      <w:marLeft w:val="0"/>
      <w:marRight w:val="0"/>
      <w:marTop w:val="0"/>
      <w:marBottom w:val="0"/>
      <w:divBdr>
        <w:top w:val="none" w:sz="0" w:space="0" w:color="auto"/>
        <w:left w:val="none" w:sz="0" w:space="0" w:color="auto"/>
        <w:bottom w:val="none" w:sz="0" w:space="0" w:color="auto"/>
        <w:right w:val="none" w:sz="0" w:space="0" w:color="auto"/>
      </w:divBdr>
    </w:div>
    <w:div w:id="722828726">
      <w:bodyDiv w:val="1"/>
      <w:marLeft w:val="0"/>
      <w:marRight w:val="0"/>
      <w:marTop w:val="0"/>
      <w:marBottom w:val="0"/>
      <w:divBdr>
        <w:top w:val="none" w:sz="0" w:space="0" w:color="auto"/>
        <w:left w:val="none" w:sz="0" w:space="0" w:color="auto"/>
        <w:bottom w:val="none" w:sz="0" w:space="0" w:color="auto"/>
        <w:right w:val="none" w:sz="0" w:space="0" w:color="auto"/>
      </w:divBdr>
    </w:div>
    <w:div w:id="731925035">
      <w:bodyDiv w:val="1"/>
      <w:marLeft w:val="0"/>
      <w:marRight w:val="0"/>
      <w:marTop w:val="0"/>
      <w:marBottom w:val="0"/>
      <w:divBdr>
        <w:top w:val="none" w:sz="0" w:space="0" w:color="auto"/>
        <w:left w:val="none" w:sz="0" w:space="0" w:color="auto"/>
        <w:bottom w:val="none" w:sz="0" w:space="0" w:color="auto"/>
        <w:right w:val="none" w:sz="0" w:space="0" w:color="auto"/>
      </w:divBdr>
    </w:div>
    <w:div w:id="733162691">
      <w:bodyDiv w:val="1"/>
      <w:marLeft w:val="0"/>
      <w:marRight w:val="0"/>
      <w:marTop w:val="0"/>
      <w:marBottom w:val="0"/>
      <w:divBdr>
        <w:top w:val="none" w:sz="0" w:space="0" w:color="auto"/>
        <w:left w:val="none" w:sz="0" w:space="0" w:color="auto"/>
        <w:bottom w:val="none" w:sz="0" w:space="0" w:color="auto"/>
        <w:right w:val="none" w:sz="0" w:space="0" w:color="auto"/>
      </w:divBdr>
    </w:div>
    <w:div w:id="743800089">
      <w:bodyDiv w:val="1"/>
      <w:marLeft w:val="0"/>
      <w:marRight w:val="0"/>
      <w:marTop w:val="0"/>
      <w:marBottom w:val="0"/>
      <w:divBdr>
        <w:top w:val="none" w:sz="0" w:space="0" w:color="auto"/>
        <w:left w:val="none" w:sz="0" w:space="0" w:color="auto"/>
        <w:bottom w:val="none" w:sz="0" w:space="0" w:color="auto"/>
        <w:right w:val="none" w:sz="0" w:space="0" w:color="auto"/>
      </w:divBdr>
      <w:divsChild>
        <w:div w:id="992834255">
          <w:marLeft w:val="0"/>
          <w:marRight w:val="0"/>
          <w:marTop w:val="0"/>
          <w:marBottom w:val="0"/>
          <w:divBdr>
            <w:top w:val="none" w:sz="0" w:space="0" w:color="auto"/>
            <w:left w:val="none" w:sz="0" w:space="0" w:color="auto"/>
            <w:bottom w:val="none" w:sz="0" w:space="0" w:color="auto"/>
            <w:right w:val="none" w:sz="0" w:space="0" w:color="auto"/>
          </w:divBdr>
        </w:div>
      </w:divsChild>
    </w:div>
    <w:div w:id="768475809">
      <w:bodyDiv w:val="1"/>
      <w:marLeft w:val="0"/>
      <w:marRight w:val="0"/>
      <w:marTop w:val="0"/>
      <w:marBottom w:val="0"/>
      <w:divBdr>
        <w:top w:val="none" w:sz="0" w:space="0" w:color="auto"/>
        <w:left w:val="none" w:sz="0" w:space="0" w:color="auto"/>
        <w:bottom w:val="none" w:sz="0" w:space="0" w:color="auto"/>
        <w:right w:val="none" w:sz="0" w:space="0" w:color="auto"/>
      </w:divBdr>
    </w:div>
    <w:div w:id="809176709">
      <w:bodyDiv w:val="1"/>
      <w:marLeft w:val="0"/>
      <w:marRight w:val="0"/>
      <w:marTop w:val="0"/>
      <w:marBottom w:val="0"/>
      <w:divBdr>
        <w:top w:val="none" w:sz="0" w:space="0" w:color="auto"/>
        <w:left w:val="none" w:sz="0" w:space="0" w:color="auto"/>
        <w:bottom w:val="none" w:sz="0" w:space="0" w:color="auto"/>
        <w:right w:val="none" w:sz="0" w:space="0" w:color="auto"/>
      </w:divBdr>
    </w:div>
    <w:div w:id="930505678">
      <w:bodyDiv w:val="1"/>
      <w:marLeft w:val="0"/>
      <w:marRight w:val="0"/>
      <w:marTop w:val="0"/>
      <w:marBottom w:val="0"/>
      <w:divBdr>
        <w:top w:val="none" w:sz="0" w:space="0" w:color="auto"/>
        <w:left w:val="none" w:sz="0" w:space="0" w:color="auto"/>
        <w:bottom w:val="none" w:sz="0" w:space="0" w:color="auto"/>
        <w:right w:val="none" w:sz="0" w:space="0" w:color="auto"/>
      </w:divBdr>
      <w:divsChild>
        <w:div w:id="1967079924">
          <w:marLeft w:val="0"/>
          <w:marRight w:val="0"/>
          <w:marTop w:val="0"/>
          <w:marBottom w:val="0"/>
          <w:divBdr>
            <w:top w:val="none" w:sz="0" w:space="0" w:color="auto"/>
            <w:left w:val="none" w:sz="0" w:space="0" w:color="auto"/>
            <w:bottom w:val="none" w:sz="0" w:space="0" w:color="auto"/>
            <w:right w:val="none" w:sz="0" w:space="0" w:color="auto"/>
          </w:divBdr>
        </w:div>
      </w:divsChild>
    </w:div>
    <w:div w:id="934049316">
      <w:bodyDiv w:val="1"/>
      <w:marLeft w:val="0"/>
      <w:marRight w:val="0"/>
      <w:marTop w:val="0"/>
      <w:marBottom w:val="0"/>
      <w:divBdr>
        <w:top w:val="none" w:sz="0" w:space="0" w:color="auto"/>
        <w:left w:val="none" w:sz="0" w:space="0" w:color="auto"/>
        <w:bottom w:val="none" w:sz="0" w:space="0" w:color="auto"/>
        <w:right w:val="none" w:sz="0" w:space="0" w:color="auto"/>
      </w:divBdr>
    </w:div>
    <w:div w:id="937369047">
      <w:bodyDiv w:val="1"/>
      <w:marLeft w:val="0"/>
      <w:marRight w:val="0"/>
      <w:marTop w:val="0"/>
      <w:marBottom w:val="0"/>
      <w:divBdr>
        <w:top w:val="none" w:sz="0" w:space="0" w:color="auto"/>
        <w:left w:val="none" w:sz="0" w:space="0" w:color="auto"/>
        <w:bottom w:val="none" w:sz="0" w:space="0" w:color="auto"/>
        <w:right w:val="none" w:sz="0" w:space="0" w:color="auto"/>
      </w:divBdr>
    </w:div>
    <w:div w:id="1000809856">
      <w:bodyDiv w:val="1"/>
      <w:marLeft w:val="0"/>
      <w:marRight w:val="0"/>
      <w:marTop w:val="0"/>
      <w:marBottom w:val="0"/>
      <w:divBdr>
        <w:top w:val="none" w:sz="0" w:space="0" w:color="auto"/>
        <w:left w:val="none" w:sz="0" w:space="0" w:color="auto"/>
        <w:bottom w:val="none" w:sz="0" w:space="0" w:color="auto"/>
        <w:right w:val="none" w:sz="0" w:space="0" w:color="auto"/>
      </w:divBdr>
    </w:div>
    <w:div w:id="1018892079">
      <w:bodyDiv w:val="1"/>
      <w:marLeft w:val="0"/>
      <w:marRight w:val="0"/>
      <w:marTop w:val="0"/>
      <w:marBottom w:val="0"/>
      <w:divBdr>
        <w:top w:val="none" w:sz="0" w:space="0" w:color="auto"/>
        <w:left w:val="none" w:sz="0" w:space="0" w:color="auto"/>
        <w:bottom w:val="none" w:sz="0" w:space="0" w:color="auto"/>
        <w:right w:val="none" w:sz="0" w:space="0" w:color="auto"/>
      </w:divBdr>
    </w:div>
    <w:div w:id="1020859990">
      <w:bodyDiv w:val="1"/>
      <w:marLeft w:val="0"/>
      <w:marRight w:val="0"/>
      <w:marTop w:val="0"/>
      <w:marBottom w:val="0"/>
      <w:divBdr>
        <w:top w:val="none" w:sz="0" w:space="0" w:color="auto"/>
        <w:left w:val="none" w:sz="0" w:space="0" w:color="auto"/>
        <w:bottom w:val="none" w:sz="0" w:space="0" w:color="auto"/>
        <w:right w:val="none" w:sz="0" w:space="0" w:color="auto"/>
      </w:divBdr>
    </w:div>
    <w:div w:id="1031882194">
      <w:bodyDiv w:val="1"/>
      <w:marLeft w:val="0"/>
      <w:marRight w:val="0"/>
      <w:marTop w:val="0"/>
      <w:marBottom w:val="0"/>
      <w:divBdr>
        <w:top w:val="none" w:sz="0" w:space="0" w:color="auto"/>
        <w:left w:val="none" w:sz="0" w:space="0" w:color="auto"/>
        <w:bottom w:val="none" w:sz="0" w:space="0" w:color="auto"/>
        <w:right w:val="none" w:sz="0" w:space="0" w:color="auto"/>
      </w:divBdr>
    </w:div>
    <w:div w:id="1049300999">
      <w:bodyDiv w:val="1"/>
      <w:marLeft w:val="0"/>
      <w:marRight w:val="0"/>
      <w:marTop w:val="0"/>
      <w:marBottom w:val="0"/>
      <w:divBdr>
        <w:top w:val="none" w:sz="0" w:space="0" w:color="auto"/>
        <w:left w:val="none" w:sz="0" w:space="0" w:color="auto"/>
        <w:bottom w:val="none" w:sz="0" w:space="0" w:color="auto"/>
        <w:right w:val="none" w:sz="0" w:space="0" w:color="auto"/>
      </w:divBdr>
      <w:divsChild>
        <w:div w:id="983237270">
          <w:marLeft w:val="0"/>
          <w:marRight w:val="0"/>
          <w:marTop w:val="0"/>
          <w:marBottom w:val="0"/>
          <w:divBdr>
            <w:top w:val="none" w:sz="0" w:space="0" w:color="auto"/>
            <w:left w:val="none" w:sz="0" w:space="0" w:color="auto"/>
            <w:bottom w:val="none" w:sz="0" w:space="0" w:color="auto"/>
            <w:right w:val="none" w:sz="0" w:space="0" w:color="auto"/>
          </w:divBdr>
        </w:div>
      </w:divsChild>
    </w:div>
    <w:div w:id="1081179180">
      <w:bodyDiv w:val="1"/>
      <w:marLeft w:val="0"/>
      <w:marRight w:val="0"/>
      <w:marTop w:val="0"/>
      <w:marBottom w:val="0"/>
      <w:divBdr>
        <w:top w:val="none" w:sz="0" w:space="0" w:color="auto"/>
        <w:left w:val="none" w:sz="0" w:space="0" w:color="auto"/>
        <w:bottom w:val="none" w:sz="0" w:space="0" w:color="auto"/>
        <w:right w:val="none" w:sz="0" w:space="0" w:color="auto"/>
      </w:divBdr>
    </w:div>
    <w:div w:id="1119032139">
      <w:bodyDiv w:val="1"/>
      <w:marLeft w:val="0"/>
      <w:marRight w:val="0"/>
      <w:marTop w:val="0"/>
      <w:marBottom w:val="0"/>
      <w:divBdr>
        <w:top w:val="none" w:sz="0" w:space="0" w:color="auto"/>
        <w:left w:val="none" w:sz="0" w:space="0" w:color="auto"/>
        <w:bottom w:val="none" w:sz="0" w:space="0" w:color="auto"/>
        <w:right w:val="none" w:sz="0" w:space="0" w:color="auto"/>
      </w:divBdr>
    </w:div>
    <w:div w:id="1152218777">
      <w:bodyDiv w:val="1"/>
      <w:marLeft w:val="0"/>
      <w:marRight w:val="0"/>
      <w:marTop w:val="0"/>
      <w:marBottom w:val="0"/>
      <w:divBdr>
        <w:top w:val="none" w:sz="0" w:space="0" w:color="auto"/>
        <w:left w:val="none" w:sz="0" w:space="0" w:color="auto"/>
        <w:bottom w:val="none" w:sz="0" w:space="0" w:color="auto"/>
        <w:right w:val="none" w:sz="0" w:space="0" w:color="auto"/>
      </w:divBdr>
      <w:divsChild>
        <w:div w:id="1271283241">
          <w:marLeft w:val="0"/>
          <w:marRight w:val="0"/>
          <w:marTop w:val="0"/>
          <w:marBottom w:val="0"/>
          <w:divBdr>
            <w:top w:val="none" w:sz="0" w:space="0" w:color="auto"/>
            <w:left w:val="none" w:sz="0" w:space="0" w:color="auto"/>
            <w:bottom w:val="none" w:sz="0" w:space="0" w:color="auto"/>
            <w:right w:val="none" w:sz="0" w:space="0" w:color="auto"/>
          </w:divBdr>
        </w:div>
      </w:divsChild>
    </w:div>
    <w:div w:id="1208760832">
      <w:bodyDiv w:val="1"/>
      <w:marLeft w:val="0"/>
      <w:marRight w:val="0"/>
      <w:marTop w:val="0"/>
      <w:marBottom w:val="0"/>
      <w:divBdr>
        <w:top w:val="none" w:sz="0" w:space="0" w:color="auto"/>
        <w:left w:val="none" w:sz="0" w:space="0" w:color="auto"/>
        <w:bottom w:val="none" w:sz="0" w:space="0" w:color="auto"/>
        <w:right w:val="none" w:sz="0" w:space="0" w:color="auto"/>
      </w:divBdr>
      <w:divsChild>
        <w:div w:id="2630193">
          <w:marLeft w:val="0"/>
          <w:marRight w:val="0"/>
          <w:marTop w:val="0"/>
          <w:marBottom w:val="0"/>
          <w:divBdr>
            <w:top w:val="none" w:sz="0" w:space="0" w:color="auto"/>
            <w:left w:val="none" w:sz="0" w:space="0" w:color="auto"/>
            <w:bottom w:val="none" w:sz="0" w:space="0" w:color="auto"/>
            <w:right w:val="none" w:sz="0" w:space="0" w:color="auto"/>
          </w:divBdr>
        </w:div>
      </w:divsChild>
    </w:div>
    <w:div w:id="1213813984">
      <w:bodyDiv w:val="1"/>
      <w:marLeft w:val="0"/>
      <w:marRight w:val="0"/>
      <w:marTop w:val="0"/>
      <w:marBottom w:val="0"/>
      <w:divBdr>
        <w:top w:val="none" w:sz="0" w:space="0" w:color="auto"/>
        <w:left w:val="none" w:sz="0" w:space="0" w:color="auto"/>
        <w:bottom w:val="none" w:sz="0" w:space="0" w:color="auto"/>
        <w:right w:val="none" w:sz="0" w:space="0" w:color="auto"/>
      </w:divBdr>
    </w:div>
    <w:div w:id="1228342802">
      <w:bodyDiv w:val="1"/>
      <w:marLeft w:val="0"/>
      <w:marRight w:val="0"/>
      <w:marTop w:val="0"/>
      <w:marBottom w:val="0"/>
      <w:divBdr>
        <w:top w:val="none" w:sz="0" w:space="0" w:color="auto"/>
        <w:left w:val="none" w:sz="0" w:space="0" w:color="auto"/>
        <w:bottom w:val="none" w:sz="0" w:space="0" w:color="auto"/>
        <w:right w:val="none" w:sz="0" w:space="0" w:color="auto"/>
      </w:divBdr>
      <w:divsChild>
        <w:div w:id="874394299">
          <w:marLeft w:val="0"/>
          <w:marRight w:val="0"/>
          <w:marTop w:val="0"/>
          <w:marBottom w:val="0"/>
          <w:divBdr>
            <w:top w:val="none" w:sz="0" w:space="0" w:color="auto"/>
            <w:left w:val="none" w:sz="0" w:space="0" w:color="auto"/>
            <w:bottom w:val="none" w:sz="0" w:space="0" w:color="auto"/>
            <w:right w:val="none" w:sz="0" w:space="0" w:color="auto"/>
          </w:divBdr>
        </w:div>
      </w:divsChild>
    </w:div>
    <w:div w:id="1252466246">
      <w:bodyDiv w:val="1"/>
      <w:marLeft w:val="0"/>
      <w:marRight w:val="0"/>
      <w:marTop w:val="0"/>
      <w:marBottom w:val="0"/>
      <w:divBdr>
        <w:top w:val="none" w:sz="0" w:space="0" w:color="auto"/>
        <w:left w:val="none" w:sz="0" w:space="0" w:color="auto"/>
        <w:bottom w:val="none" w:sz="0" w:space="0" w:color="auto"/>
        <w:right w:val="none" w:sz="0" w:space="0" w:color="auto"/>
      </w:divBdr>
    </w:div>
    <w:div w:id="1297638771">
      <w:bodyDiv w:val="1"/>
      <w:marLeft w:val="0"/>
      <w:marRight w:val="0"/>
      <w:marTop w:val="0"/>
      <w:marBottom w:val="0"/>
      <w:divBdr>
        <w:top w:val="none" w:sz="0" w:space="0" w:color="auto"/>
        <w:left w:val="none" w:sz="0" w:space="0" w:color="auto"/>
        <w:bottom w:val="none" w:sz="0" w:space="0" w:color="auto"/>
        <w:right w:val="none" w:sz="0" w:space="0" w:color="auto"/>
      </w:divBdr>
      <w:divsChild>
        <w:div w:id="1770462652">
          <w:marLeft w:val="0"/>
          <w:marRight w:val="0"/>
          <w:marTop w:val="0"/>
          <w:marBottom w:val="0"/>
          <w:divBdr>
            <w:top w:val="none" w:sz="0" w:space="0" w:color="auto"/>
            <w:left w:val="none" w:sz="0" w:space="0" w:color="auto"/>
            <w:bottom w:val="none" w:sz="0" w:space="0" w:color="auto"/>
            <w:right w:val="none" w:sz="0" w:space="0" w:color="auto"/>
          </w:divBdr>
        </w:div>
      </w:divsChild>
    </w:div>
    <w:div w:id="1312365884">
      <w:bodyDiv w:val="1"/>
      <w:marLeft w:val="0"/>
      <w:marRight w:val="0"/>
      <w:marTop w:val="0"/>
      <w:marBottom w:val="0"/>
      <w:divBdr>
        <w:top w:val="none" w:sz="0" w:space="0" w:color="auto"/>
        <w:left w:val="none" w:sz="0" w:space="0" w:color="auto"/>
        <w:bottom w:val="none" w:sz="0" w:space="0" w:color="auto"/>
        <w:right w:val="none" w:sz="0" w:space="0" w:color="auto"/>
      </w:divBdr>
      <w:divsChild>
        <w:div w:id="1485901056">
          <w:marLeft w:val="0"/>
          <w:marRight w:val="0"/>
          <w:marTop w:val="0"/>
          <w:marBottom w:val="0"/>
          <w:divBdr>
            <w:top w:val="none" w:sz="0" w:space="0" w:color="auto"/>
            <w:left w:val="none" w:sz="0" w:space="0" w:color="auto"/>
            <w:bottom w:val="none" w:sz="0" w:space="0" w:color="auto"/>
            <w:right w:val="none" w:sz="0" w:space="0" w:color="auto"/>
          </w:divBdr>
        </w:div>
      </w:divsChild>
    </w:div>
    <w:div w:id="1328627849">
      <w:bodyDiv w:val="1"/>
      <w:marLeft w:val="0"/>
      <w:marRight w:val="0"/>
      <w:marTop w:val="0"/>
      <w:marBottom w:val="0"/>
      <w:divBdr>
        <w:top w:val="none" w:sz="0" w:space="0" w:color="auto"/>
        <w:left w:val="none" w:sz="0" w:space="0" w:color="auto"/>
        <w:bottom w:val="none" w:sz="0" w:space="0" w:color="auto"/>
        <w:right w:val="none" w:sz="0" w:space="0" w:color="auto"/>
      </w:divBdr>
    </w:div>
    <w:div w:id="1345936082">
      <w:bodyDiv w:val="1"/>
      <w:marLeft w:val="0"/>
      <w:marRight w:val="0"/>
      <w:marTop w:val="0"/>
      <w:marBottom w:val="0"/>
      <w:divBdr>
        <w:top w:val="none" w:sz="0" w:space="0" w:color="auto"/>
        <w:left w:val="none" w:sz="0" w:space="0" w:color="auto"/>
        <w:bottom w:val="none" w:sz="0" w:space="0" w:color="auto"/>
        <w:right w:val="none" w:sz="0" w:space="0" w:color="auto"/>
      </w:divBdr>
    </w:div>
    <w:div w:id="1350527006">
      <w:bodyDiv w:val="1"/>
      <w:marLeft w:val="0"/>
      <w:marRight w:val="0"/>
      <w:marTop w:val="0"/>
      <w:marBottom w:val="0"/>
      <w:divBdr>
        <w:top w:val="none" w:sz="0" w:space="0" w:color="auto"/>
        <w:left w:val="none" w:sz="0" w:space="0" w:color="auto"/>
        <w:bottom w:val="none" w:sz="0" w:space="0" w:color="auto"/>
        <w:right w:val="none" w:sz="0" w:space="0" w:color="auto"/>
      </w:divBdr>
    </w:div>
    <w:div w:id="1425807417">
      <w:bodyDiv w:val="1"/>
      <w:marLeft w:val="0"/>
      <w:marRight w:val="0"/>
      <w:marTop w:val="0"/>
      <w:marBottom w:val="0"/>
      <w:divBdr>
        <w:top w:val="none" w:sz="0" w:space="0" w:color="auto"/>
        <w:left w:val="none" w:sz="0" w:space="0" w:color="auto"/>
        <w:bottom w:val="none" w:sz="0" w:space="0" w:color="auto"/>
        <w:right w:val="none" w:sz="0" w:space="0" w:color="auto"/>
      </w:divBdr>
    </w:div>
    <w:div w:id="1453669196">
      <w:bodyDiv w:val="1"/>
      <w:marLeft w:val="0"/>
      <w:marRight w:val="0"/>
      <w:marTop w:val="0"/>
      <w:marBottom w:val="0"/>
      <w:divBdr>
        <w:top w:val="none" w:sz="0" w:space="0" w:color="auto"/>
        <w:left w:val="none" w:sz="0" w:space="0" w:color="auto"/>
        <w:bottom w:val="none" w:sz="0" w:space="0" w:color="auto"/>
        <w:right w:val="none" w:sz="0" w:space="0" w:color="auto"/>
      </w:divBdr>
    </w:div>
    <w:div w:id="1473524718">
      <w:bodyDiv w:val="1"/>
      <w:marLeft w:val="0"/>
      <w:marRight w:val="0"/>
      <w:marTop w:val="0"/>
      <w:marBottom w:val="0"/>
      <w:divBdr>
        <w:top w:val="none" w:sz="0" w:space="0" w:color="auto"/>
        <w:left w:val="none" w:sz="0" w:space="0" w:color="auto"/>
        <w:bottom w:val="none" w:sz="0" w:space="0" w:color="auto"/>
        <w:right w:val="none" w:sz="0" w:space="0" w:color="auto"/>
      </w:divBdr>
    </w:div>
    <w:div w:id="1516993035">
      <w:bodyDiv w:val="1"/>
      <w:marLeft w:val="0"/>
      <w:marRight w:val="0"/>
      <w:marTop w:val="0"/>
      <w:marBottom w:val="0"/>
      <w:divBdr>
        <w:top w:val="none" w:sz="0" w:space="0" w:color="auto"/>
        <w:left w:val="none" w:sz="0" w:space="0" w:color="auto"/>
        <w:bottom w:val="none" w:sz="0" w:space="0" w:color="auto"/>
        <w:right w:val="none" w:sz="0" w:space="0" w:color="auto"/>
      </w:divBdr>
      <w:divsChild>
        <w:div w:id="1442260930">
          <w:marLeft w:val="0"/>
          <w:marRight w:val="0"/>
          <w:marTop w:val="0"/>
          <w:marBottom w:val="0"/>
          <w:divBdr>
            <w:top w:val="none" w:sz="0" w:space="0" w:color="auto"/>
            <w:left w:val="none" w:sz="0" w:space="0" w:color="auto"/>
            <w:bottom w:val="none" w:sz="0" w:space="0" w:color="auto"/>
            <w:right w:val="none" w:sz="0" w:space="0" w:color="auto"/>
          </w:divBdr>
        </w:div>
      </w:divsChild>
    </w:div>
    <w:div w:id="1521040534">
      <w:bodyDiv w:val="1"/>
      <w:marLeft w:val="0"/>
      <w:marRight w:val="0"/>
      <w:marTop w:val="0"/>
      <w:marBottom w:val="0"/>
      <w:divBdr>
        <w:top w:val="none" w:sz="0" w:space="0" w:color="auto"/>
        <w:left w:val="none" w:sz="0" w:space="0" w:color="auto"/>
        <w:bottom w:val="none" w:sz="0" w:space="0" w:color="auto"/>
        <w:right w:val="none" w:sz="0" w:space="0" w:color="auto"/>
      </w:divBdr>
    </w:div>
    <w:div w:id="1570311793">
      <w:bodyDiv w:val="1"/>
      <w:marLeft w:val="0"/>
      <w:marRight w:val="0"/>
      <w:marTop w:val="0"/>
      <w:marBottom w:val="0"/>
      <w:divBdr>
        <w:top w:val="none" w:sz="0" w:space="0" w:color="auto"/>
        <w:left w:val="none" w:sz="0" w:space="0" w:color="auto"/>
        <w:bottom w:val="none" w:sz="0" w:space="0" w:color="auto"/>
        <w:right w:val="none" w:sz="0" w:space="0" w:color="auto"/>
      </w:divBdr>
    </w:div>
    <w:div w:id="1622689191">
      <w:bodyDiv w:val="1"/>
      <w:marLeft w:val="0"/>
      <w:marRight w:val="0"/>
      <w:marTop w:val="0"/>
      <w:marBottom w:val="0"/>
      <w:divBdr>
        <w:top w:val="none" w:sz="0" w:space="0" w:color="auto"/>
        <w:left w:val="none" w:sz="0" w:space="0" w:color="auto"/>
        <w:bottom w:val="none" w:sz="0" w:space="0" w:color="auto"/>
        <w:right w:val="none" w:sz="0" w:space="0" w:color="auto"/>
      </w:divBdr>
    </w:div>
    <w:div w:id="1654331192">
      <w:bodyDiv w:val="1"/>
      <w:marLeft w:val="0"/>
      <w:marRight w:val="0"/>
      <w:marTop w:val="0"/>
      <w:marBottom w:val="0"/>
      <w:divBdr>
        <w:top w:val="none" w:sz="0" w:space="0" w:color="auto"/>
        <w:left w:val="none" w:sz="0" w:space="0" w:color="auto"/>
        <w:bottom w:val="none" w:sz="0" w:space="0" w:color="auto"/>
        <w:right w:val="none" w:sz="0" w:space="0" w:color="auto"/>
      </w:divBdr>
    </w:div>
    <w:div w:id="1657418601">
      <w:bodyDiv w:val="1"/>
      <w:marLeft w:val="0"/>
      <w:marRight w:val="0"/>
      <w:marTop w:val="0"/>
      <w:marBottom w:val="0"/>
      <w:divBdr>
        <w:top w:val="none" w:sz="0" w:space="0" w:color="auto"/>
        <w:left w:val="none" w:sz="0" w:space="0" w:color="auto"/>
        <w:bottom w:val="none" w:sz="0" w:space="0" w:color="auto"/>
        <w:right w:val="none" w:sz="0" w:space="0" w:color="auto"/>
      </w:divBdr>
    </w:div>
    <w:div w:id="1685478942">
      <w:bodyDiv w:val="1"/>
      <w:marLeft w:val="0"/>
      <w:marRight w:val="0"/>
      <w:marTop w:val="0"/>
      <w:marBottom w:val="0"/>
      <w:divBdr>
        <w:top w:val="none" w:sz="0" w:space="0" w:color="auto"/>
        <w:left w:val="none" w:sz="0" w:space="0" w:color="auto"/>
        <w:bottom w:val="none" w:sz="0" w:space="0" w:color="auto"/>
        <w:right w:val="none" w:sz="0" w:space="0" w:color="auto"/>
      </w:divBdr>
    </w:div>
    <w:div w:id="1801459206">
      <w:bodyDiv w:val="1"/>
      <w:marLeft w:val="0"/>
      <w:marRight w:val="0"/>
      <w:marTop w:val="0"/>
      <w:marBottom w:val="0"/>
      <w:divBdr>
        <w:top w:val="none" w:sz="0" w:space="0" w:color="auto"/>
        <w:left w:val="none" w:sz="0" w:space="0" w:color="auto"/>
        <w:bottom w:val="none" w:sz="0" w:space="0" w:color="auto"/>
        <w:right w:val="none" w:sz="0" w:space="0" w:color="auto"/>
      </w:divBdr>
      <w:divsChild>
        <w:div w:id="1246719300">
          <w:marLeft w:val="0"/>
          <w:marRight w:val="0"/>
          <w:marTop w:val="0"/>
          <w:marBottom w:val="0"/>
          <w:divBdr>
            <w:top w:val="none" w:sz="0" w:space="0" w:color="auto"/>
            <w:left w:val="none" w:sz="0" w:space="0" w:color="auto"/>
            <w:bottom w:val="none" w:sz="0" w:space="0" w:color="auto"/>
            <w:right w:val="none" w:sz="0" w:space="0" w:color="auto"/>
          </w:divBdr>
        </w:div>
      </w:divsChild>
    </w:div>
    <w:div w:id="1802337864">
      <w:bodyDiv w:val="1"/>
      <w:marLeft w:val="0"/>
      <w:marRight w:val="0"/>
      <w:marTop w:val="0"/>
      <w:marBottom w:val="0"/>
      <w:divBdr>
        <w:top w:val="none" w:sz="0" w:space="0" w:color="auto"/>
        <w:left w:val="none" w:sz="0" w:space="0" w:color="auto"/>
        <w:bottom w:val="none" w:sz="0" w:space="0" w:color="auto"/>
        <w:right w:val="none" w:sz="0" w:space="0" w:color="auto"/>
      </w:divBdr>
    </w:div>
    <w:div w:id="1819881666">
      <w:bodyDiv w:val="1"/>
      <w:marLeft w:val="0"/>
      <w:marRight w:val="0"/>
      <w:marTop w:val="0"/>
      <w:marBottom w:val="0"/>
      <w:divBdr>
        <w:top w:val="none" w:sz="0" w:space="0" w:color="auto"/>
        <w:left w:val="none" w:sz="0" w:space="0" w:color="auto"/>
        <w:bottom w:val="none" w:sz="0" w:space="0" w:color="auto"/>
        <w:right w:val="none" w:sz="0" w:space="0" w:color="auto"/>
      </w:divBdr>
      <w:divsChild>
        <w:div w:id="569847003">
          <w:marLeft w:val="0"/>
          <w:marRight w:val="0"/>
          <w:marTop w:val="0"/>
          <w:marBottom w:val="0"/>
          <w:divBdr>
            <w:top w:val="none" w:sz="0" w:space="0" w:color="auto"/>
            <w:left w:val="none" w:sz="0" w:space="0" w:color="auto"/>
            <w:bottom w:val="none" w:sz="0" w:space="0" w:color="auto"/>
            <w:right w:val="none" w:sz="0" w:space="0" w:color="auto"/>
          </w:divBdr>
        </w:div>
      </w:divsChild>
    </w:div>
    <w:div w:id="1827360129">
      <w:bodyDiv w:val="1"/>
      <w:marLeft w:val="0"/>
      <w:marRight w:val="0"/>
      <w:marTop w:val="0"/>
      <w:marBottom w:val="0"/>
      <w:divBdr>
        <w:top w:val="none" w:sz="0" w:space="0" w:color="auto"/>
        <w:left w:val="none" w:sz="0" w:space="0" w:color="auto"/>
        <w:bottom w:val="none" w:sz="0" w:space="0" w:color="auto"/>
        <w:right w:val="none" w:sz="0" w:space="0" w:color="auto"/>
      </w:divBdr>
    </w:div>
    <w:div w:id="1836341267">
      <w:bodyDiv w:val="1"/>
      <w:marLeft w:val="0"/>
      <w:marRight w:val="0"/>
      <w:marTop w:val="0"/>
      <w:marBottom w:val="0"/>
      <w:divBdr>
        <w:top w:val="none" w:sz="0" w:space="0" w:color="auto"/>
        <w:left w:val="none" w:sz="0" w:space="0" w:color="auto"/>
        <w:bottom w:val="none" w:sz="0" w:space="0" w:color="auto"/>
        <w:right w:val="none" w:sz="0" w:space="0" w:color="auto"/>
      </w:divBdr>
    </w:div>
    <w:div w:id="1839036388">
      <w:bodyDiv w:val="1"/>
      <w:marLeft w:val="0"/>
      <w:marRight w:val="0"/>
      <w:marTop w:val="0"/>
      <w:marBottom w:val="0"/>
      <w:divBdr>
        <w:top w:val="none" w:sz="0" w:space="0" w:color="auto"/>
        <w:left w:val="none" w:sz="0" w:space="0" w:color="auto"/>
        <w:bottom w:val="none" w:sz="0" w:space="0" w:color="auto"/>
        <w:right w:val="none" w:sz="0" w:space="0" w:color="auto"/>
      </w:divBdr>
    </w:div>
    <w:div w:id="1862358142">
      <w:bodyDiv w:val="1"/>
      <w:marLeft w:val="0"/>
      <w:marRight w:val="0"/>
      <w:marTop w:val="0"/>
      <w:marBottom w:val="0"/>
      <w:divBdr>
        <w:top w:val="none" w:sz="0" w:space="0" w:color="auto"/>
        <w:left w:val="none" w:sz="0" w:space="0" w:color="auto"/>
        <w:bottom w:val="none" w:sz="0" w:space="0" w:color="auto"/>
        <w:right w:val="none" w:sz="0" w:space="0" w:color="auto"/>
      </w:divBdr>
    </w:div>
    <w:div w:id="1884557062">
      <w:bodyDiv w:val="1"/>
      <w:marLeft w:val="0"/>
      <w:marRight w:val="0"/>
      <w:marTop w:val="0"/>
      <w:marBottom w:val="0"/>
      <w:divBdr>
        <w:top w:val="none" w:sz="0" w:space="0" w:color="auto"/>
        <w:left w:val="none" w:sz="0" w:space="0" w:color="auto"/>
        <w:bottom w:val="none" w:sz="0" w:space="0" w:color="auto"/>
        <w:right w:val="none" w:sz="0" w:space="0" w:color="auto"/>
      </w:divBdr>
    </w:div>
    <w:div w:id="1950818309">
      <w:bodyDiv w:val="1"/>
      <w:marLeft w:val="0"/>
      <w:marRight w:val="0"/>
      <w:marTop w:val="0"/>
      <w:marBottom w:val="0"/>
      <w:divBdr>
        <w:top w:val="none" w:sz="0" w:space="0" w:color="auto"/>
        <w:left w:val="none" w:sz="0" w:space="0" w:color="auto"/>
        <w:bottom w:val="none" w:sz="0" w:space="0" w:color="auto"/>
        <w:right w:val="none" w:sz="0" w:space="0" w:color="auto"/>
      </w:divBdr>
    </w:div>
    <w:div w:id="1982535375">
      <w:bodyDiv w:val="1"/>
      <w:marLeft w:val="0"/>
      <w:marRight w:val="0"/>
      <w:marTop w:val="0"/>
      <w:marBottom w:val="0"/>
      <w:divBdr>
        <w:top w:val="none" w:sz="0" w:space="0" w:color="auto"/>
        <w:left w:val="none" w:sz="0" w:space="0" w:color="auto"/>
        <w:bottom w:val="none" w:sz="0" w:space="0" w:color="auto"/>
        <w:right w:val="none" w:sz="0" w:space="0" w:color="auto"/>
      </w:divBdr>
    </w:div>
    <w:div w:id="2035422639">
      <w:bodyDiv w:val="1"/>
      <w:marLeft w:val="0"/>
      <w:marRight w:val="0"/>
      <w:marTop w:val="0"/>
      <w:marBottom w:val="0"/>
      <w:divBdr>
        <w:top w:val="none" w:sz="0" w:space="0" w:color="auto"/>
        <w:left w:val="none" w:sz="0" w:space="0" w:color="auto"/>
        <w:bottom w:val="none" w:sz="0" w:space="0" w:color="auto"/>
        <w:right w:val="none" w:sz="0" w:space="0" w:color="auto"/>
      </w:divBdr>
    </w:div>
    <w:div w:id="2069068910">
      <w:bodyDiv w:val="1"/>
      <w:marLeft w:val="0"/>
      <w:marRight w:val="0"/>
      <w:marTop w:val="0"/>
      <w:marBottom w:val="0"/>
      <w:divBdr>
        <w:top w:val="none" w:sz="0" w:space="0" w:color="auto"/>
        <w:left w:val="none" w:sz="0" w:space="0" w:color="auto"/>
        <w:bottom w:val="none" w:sz="0" w:space="0" w:color="auto"/>
        <w:right w:val="none" w:sz="0" w:space="0" w:color="auto"/>
      </w:divBdr>
    </w:div>
    <w:div w:id="2077773760">
      <w:bodyDiv w:val="1"/>
      <w:marLeft w:val="0"/>
      <w:marRight w:val="0"/>
      <w:marTop w:val="0"/>
      <w:marBottom w:val="0"/>
      <w:divBdr>
        <w:top w:val="none" w:sz="0" w:space="0" w:color="auto"/>
        <w:left w:val="none" w:sz="0" w:space="0" w:color="auto"/>
        <w:bottom w:val="none" w:sz="0" w:space="0" w:color="auto"/>
        <w:right w:val="none" w:sz="0" w:space="0" w:color="auto"/>
      </w:divBdr>
    </w:div>
    <w:div w:id="2081707885">
      <w:bodyDiv w:val="1"/>
      <w:marLeft w:val="0"/>
      <w:marRight w:val="0"/>
      <w:marTop w:val="0"/>
      <w:marBottom w:val="0"/>
      <w:divBdr>
        <w:top w:val="none" w:sz="0" w:space="0" w:color="auto"/>
        <w:left w:val="none" w:sz="0" w:space="0" w:color="auto"/>
        <w:bottom w:val="none" w:sz="0" w:space="0" w:color="auto"/>
        <w:right w:val="none" w:sz="0" w:space="0" w:color="auto"/>
      </w:divBdr>
      <w:divsChild>
        <w:div w:id="751464729">
          <w:marLeft w:val="0"/>
          <w:marRight w:val="0"/>
          <w:marTop w:val="0"/>
          <w:marBottom w:val="0"/>
          <w:divBdr>
            <w:top w:val="none" w:sz="0" w:space="0" w:color="auto"/>
            <w:left w:val="none" w:sz="0" w:space="0" w:color="auto"/>
            <w:bottom w:val="none" w:sz="0" w:space="0" w:color="auto"/>
            <w:right w:val="none" w:sz="0" w:space="0" w:color="auto"/>
          </w:divBdr>
        </w:div>
      </w:divsChild>
    </w:div>
    <w:div w:id="2089887512">
      <w:bodyDiv w:val="1"/>
      <w:marLeft w:val="0"/>
      <w:marRight w:val="0"/>
      <w:marTop w:val="0"/>
      <w:marBottom w:val="0"/>
      <w:divBdr>
        <w:top w:val="none" w:sz="0" w:space="0" w:color="auto"/>
        <w:left w:val="none" w:sz="0" w:space="0" w:color="auto"/>
        <w:bottom w:val="none" w:sz="0" w:space="0" w:color="auto"/>
        <w:right w:val="none" w:sz="0" w:space="0" w:color="auto"/>
      </w:divBdr>
    </w:div>
    <w:div w:id="2107649584">
      <w:bodyDiv w:val="1"/>
      <w:marLeft w:val="0"/>
      <w:marRight w:val="0"/>
      <w:marTop w:val="0"/>
      <w:marBottom w:val="0"/>
      <w:divBdr>
        <w:top w:val="none" w:sz="0" w:space="0" w:color="auto"/>
        <w:left w:val="none" w:sz="0" w:space="0" w:color="auto"/>
        <w:bottom w:val="none" w:sz="0" w:space="0" w:color="auto"/>
        <w:right w:val="none" w:sz="0" w:space="0" w:color="auto"/>
      </w:divBdr>
    </w:div>
    <w:div w:id="2122336186">
      <w:bodyDiv w:val="1"/>
      <w:marLeft w:val="0"/>
      <w:marRight w:val="0"/>
      <w:marTop w:val="0"/>
      <w:marBottom w:val="0"/>
      <w:divBdr>
        <w:top w:val="none" w:sz="0" w:space="0" w:color="auto"/>
        <w:left w:val="none" w:sz="0" w:space="0" w:color="auto"/>
        <w:bottom w:val="none" w:sz="0" w:space="0" w:color="auto"/>
        <w:right w:val="none" w:sz="0" w:space="0" w:color="auto"/>
      </w:divBdr>
      <w:divsChild>
        <w:div w:id="512456932">
          <w:marLeft w:val="0"/>
          <w:marRight w:val="0"/>
          <w:marTop w:val="0"/>
          <w:marBottom w:val="0"/>
          <w:divBdr>
            <w:top w:val="none" w:sz="0" w:space="0" w:color="auto"/>
            <w:left w:val="none" w:sz="0" w:space="0" w:color="auto"/>
            <w:bottom w:val="none" w:sz="0" w:space="0" w:color="auto"/>
            <w:right w:val="none" w:sz="0" w:space="0" w:color="auto"/>
          </w:divBdr>
        </w:div>
      </w:divsChild>
    </w:div>
    <w:div w:id="2130276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1.xml" Id="rId11" /><Relationship Type="http://schemas.openxmlformats.org/officeDocument/2006/relationships/webSettings" Target="webSettings.xml" Id="rId5" /><Relationship Type="http://schemas.openxmlformats.org/officeDocument/2006/relationships/image" Target="media/image3.png" Id="rId10" /><Relationship Type="http://schemas.openxmlformats.org/officeDocument/2006/relationships/settings" Target="settings.xml" Id="rId4" /><Relationship Type="http://schemas.openxmlformats.org/officeDocument/2006/relationships/image" Target="media/image2.png" Id="rId9" /><Relationship Type="http://schemas.microsoft.com/office/2020/10/relationships/intelligence" Target="intelligence2.xml" Id="Re7fe374456ac4109" /></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&#65279;<?xml version="1.0" encoding="utf-8"?><Relationships xmlns="http://schemas.openxmlformats.org/package/2006/relationships"><Relationship Type="http://schemas.microsoft.com/office/2011/relationships/webextension" Target="/word/webextensions/webextension.xml" Id="R736440113d264e4f" /></Relationships>
</file>

<file path=word/webextensions/taskpanes.xml><?xml version="1.0" encoding="utf-8"?>
<wetp:taskpanes xmlns:wetp="http://schemas.microsoft.com/office/webextensions/taskpanes/2010/11">
  <wetp:taskpane dockstate="right" visibility="1" width="350" row="1">
    <wetp:webextensionref xmlns:r="http://schemas.openxmlformats.org/officeDocument/2006/relationships" r:id="R736440113d264e4f"/>
  </wetp:taskpane>
</wetp:taskpanes>
</file>

<file path=word/webextensions/webextension.xml><?xml version="1.0" encoding="utf-8"?>
<we:webextension xmlns:we="http://schemas.microsoft.com/office/webextensions/webextension/2010/11" id="8284dbcf-74f6-4df6-9bcc-eae36a56c344">
  <we:reference id="WA200005444" version="1.0.0.0" store="fr-fr" storeType="omex"/>
  <we:alternateReferences>
    <we:reference id="WA200005444" version="1.0.0.0" store="fr-fr"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545066-716E-4EE1-A64C-98F0C0D0F0B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Amidou MAIGA</dc:creator>
  <keywords/>
  <dc:description/>
  <lastModifiedBy>Amidou MAIGA</lastModifiedBy>
  <revision>107</revision>
  <lastPrinted>2025-12-30T10:43:00.0000000Z</lastPrinted>
  <dcterms:created xsi:type="dcterms:W3CDTF">2025-12-19T16:38:00.0000000Z</dcterms:created>
  <dcterms:modified xsi:type="dcterms:W3CDTF">2026-03-27T14:22:18.5362996Z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id="vtkp83Qn"/&gt;&lt;style id="http://www.zotero.org/styles/ieee" locale="en-US" hasBibliography="1" bibliographyStyleHasBeenSet="1"/&gt;&lt;prefs&gt;&lt;pref name="fieldType" value="Field"/&gt;&lt;pref name="dontAskDelayC</vt:lpwstr>
  </property>
  <property fmtid="{D5CDD505-2E9C-101B-9397-08002B2CF9AE}" pid="3" name="ZOTERO_PREF_2">
    <vt:lpwstr>itationUpdates" value="true"/&gt;&lt;/prefs&gt;&lt;/data&gt;</vt:lpwstr>
  </property>
</Properties>
</file>