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Correction List</w:t>
      </w:r>
    </w:p>
    <w:p>
      <w:pPr>
        <w:spacing w:after="260" w:line="288"/>
      </w:pPr>
      <w:r>
        <w:rPr>
          <w:i/>
          <w:iCs/>
          <w:sz w:val="22"/>
          <w:szCs w:val="22"/>
        </w:rPr>
        <w:t xml:space="preserve">Machine Learning Surrogates for Model Predictive Control in Wind Energy Systems. A Critical Review.</w:t>
      </w:r>
    </w:p>
    <w:p>
      <w:pPr>
        <w:pStyle w:val="Heading1"/>
        <w:spacing w:after="160" w:before="340"/>
      </w:pPr>
      <w:r>
        <w:t xml:space="preserve">1. Leave these unchanged</w:t>
      </w:r>
    </w:p>
    <w:p>
      <w:pPr>
        <w:pStyle w:val="ListParagraph"/>
        <w:numPr>
          <w:ilvl w:val="0"/>
          <w:numId w:val="2"/>
        </w:numPr>
        <w:spacing w:after="80" w:line="288"/>
      </w:pPr>
      <w:r>
        <w:rPr>
          <w:sz w:val="21"/>
          <w:szCs w:val="21"/>
        </w:rPr>
        <w:t xml:space="preserve">1.1 The six numbered limitations of classical control in Section 2.1.</w:t>
      </w:r>
    </w:p>
    <w:p>
      <w:pPr>
        <w:pStyle w:val="ListParagraph"/>
        <w:numPr>
          <w:ilvl w:val="0"/>
          <w:numId w:val="2"/>
        </w:numPr>
        <w:spacing w:after="80" w:line="288"/>
      </w:pPr>
      <w:r>
        <w:rPr>
          <w:sz w:val="21"/>
          <w:szCs w:val="21"/>
        </w:rPr>
        <w:t xml:space="preserve">1.2 The five practical limitations of lidar in Section 4.1.</w:t>
      </w:r>
    </w:p>
    <w:p>
      <w:pPr>
        <w:pStyle w:val="ListParagraph"/>
        <w:numPr>
          <w:ilvl w:val="0"/>
          <w:numId w:val="2"/>
        </w:numPr>
        <w:spacing w:after="80" w:line="288"/>
      </w:pPr>
      <w:r>
        <w:rPr>
          <w:sz w:val="21"/>
          <w:szCs w:val="21"/>
        </w:rPr>
        <w:t xml:space="preserve">1.3 Sections 5.1 to 5.4 on farm-level architectures, including the remark that comparative claims in this literature are demonstrated on the authors own case studies rather than head to head.</w:t>
      </w:r>
    </w:p>
    <w:p>
      <w:pPr>
        <w:pStyle w:val="ListParagraph"/>
        <w:numPr>
          <w:ilvl w:val="0"/>
          <w:numId w:val="2"/>
        </w:numPr>
        <w:spacing w:after="80" w:line="288"/>
      </w:pPr>
      <w:r>
        <w:rPr>
          <w:sz w:val="21"/>
          <w:szCs w:val="21"/>
        </w:rPr>
        <w:t xml:space="preserve">1.4 Section 6.5 on safety frameworks, and in particular the argument that a calibrated predictive variance supports constraint tightening whereas a point prediction does not. This is the best original observation in the paper and should be expanded rather than trimmed.</w:t>
      </w:r>
    </w:p>
    <w:p>
      <w:pPr>
        <w:pStyle w:val="ListParagraph"/>
        <w:numPr>
          <w:ilvl w:val="0"/>
          <w:numId w:val="2"/>
        </w:numPr>
        <w:spacing w:after="80" w:line="288"/>
      </w:pPr>
      <w:r>
        <w:rPr>
          <w:sz w:val="21"/>
          <w:szCs w:val="21"/>
        </w:rPr>
        <w:t xml:space="preserve">1.5 Section 7.3 on the parallel trajectory at both scales, and Section 7.5 on the absence of stability guarantees.</w:t>
      </w:r>
    </w:p>
    <w:p>
      <w:pPr>
        <w:pStyle w:val="Heading1"/>
        <w:spacing w:after="160" w:before="340"/>
      </w:pPr>
      <w:r>
        <w:t xml:space="preserve">2. Title, abstract and front matter</w:t>
      </w:r>
    </w:p>
    <w:p>
      <w:pPr>
        <w:spacing w:after="140" w:line="288"/>
      </w:pPr>
      <w:r>
        <w:rPr>
          <w:b/>
          <w:bCs/>
          <w:sz w:val="21"/>
          <w:szCs w:val="21"/>
        </w:rPr>
        <w:t xml:space="preserve">2.1  </w:t>
      </w:r>
      <w:r>
        <w:rPr>
          <w:b/>
          <w:bCs/>
          <w:color w:val="1F3A5F"/>
          <w:sz w:val="21"/>
          <w:szCs w:val="21"/>
        </w:rPr>
        <w:t xml:space="preserve">Do not edit alone; decide with the supervisor. </w:t>
      </w:r>
      <w:r>
        <w:rPr>
          <w:sz w:val="21"/>
          <w:szCs w:val="21"/>
        </w:rPr>
        <w:t xml:space="preserve">Title. The present title describes an itinerary rather than the criterion that makes the review critical. Two options: "Are Machine Learning Surrogates Ready for Model Predictive Control in Wind Energy? Closed-Loop Validation and Real-Time Feasibility at Turbine and Farm Scale", or "Machine Learning Surrogates Inside the MPC Prediction Step: A Critical Review at Turbine and Farm Scale". The second names, in the title, the inclusion rule the review needs to adopt.</w:t>
      </w:r>
    </w:p>
    <w:p>
      <w:pPr>
        <w:spacing w:after="140" w:line="288"/>
      </w:pPr>
      <w:r>
        <w:rPr>
          <w:b/>
          <w:bCs/>
          <w:sz w:val="21"/>
          <w:szCs w:val="21"/>
        </w:rPr>
        <w:t xml:space="preserve">2.2  </w:t>
      </w:r>
      <w:r>
        <w:rPr>
          <w:b/>
          <w:bCs/>
          <w:color w:val="1F3A5F"/>
          <w:sz w:val="21"/>
          <w:szCs w:val="21"/>
        </w:rPr>
        <w:t xml:space="preserve">Do not edit alone; decide with the supervisor. </w:t>
      </w:r>
      <w:r>
        <w:rPr>
          <w:sz w:val="21"/>
          <w:szCs w:val="21"/>
        </w:rPr>
        <w:t xml:space="preserve">Abstract. Remove the statement that the neuro-fuzzy family has been field-tested on an operating 3 MW turbine until item 5.7 is settled. Rewrite the sentence on recurrent versus attention architectures in line with item 5.12. Remove the assertion that only a minority of the surveyed literature reaches closed-loop demonstration unless the new methodology section supports a count.</w:t>
      </w:r>
    </w:p>
    <w:p>
      <w:pPr>
        <w:spacing w:after="140" w:line="288"/>
      </w:pPr>
      <w:r>
        <w:rPr>
          <w:b/>
          <w:bCs/>
          <w:sz w:val="21"/>
          <w:szCs w:val="21"/>
        </w:rPr>
        <w:t xml:space="preserve">2.3  </w:t>
      </w:r>
      <w:r>
        <w:rPr>
          <w:b/>
          <w:bCs/>
          <w:color w:val="1F3A5F"/>
          <w:sz w:val="21"/>
          <w:szCs w:val="21"/>
        </w:rPr>
        <w:t xml:space="preserve">Apply directly. </w:t>
      </w:r>
      <w:r>
        <w:rPr>
          <w:sz w:val="21"/>
          <w:szCs w:val="21"/>
        </w:rPr>
        <w:t xml:space="preserve">Abstract. Define every abbreviation at first use and bring the length to about 220 words.</w:t>
      </w:r>
    </w:p>
    <w:p>
      <w:pPr>
        <w:spacing w:after="140" w:line="288"/>
      </w:pPr>
      <w:r>
        <w:rPr>
          <w:b/>
          <w:bCs/>
          <w:sz w:val="21"/>
          <w:szCs w:val="21"/>
        </w:rPr>
        <w:t xml:space="preserve">2.4  </w:t>
      </w:r>
      <w:r>
        <w:rPr>
          <w:b/>
          <w:bCs/>
          <w:color w:val="1F3A5F"/>
          <w:sz w:val="21"/>
          <w:szCs w:val="21"/>
        </w:rPr>
        <w:t xml:space="preserve">Apply directly. </w:t>
      </w:r>
      <w:r>
        <w:rPr>
          <w:sz w:val="21"/>
          <w:szCs w:val="21"/>
        </w:rPr>
        <w:t xml:space="preserve">Front matter. Add affiliations, corresponding author and identifiers, and remove the trailing comma after the final author. Add the author contribution statement, competing interests, data availability, funding, and a declaration of generative artificial intelligence use. Add a nomenclature block, and for an Elsevier venue three to five highlights.</w:t>
      </w:r>
    </w:p>
    <w:p>
      <w:pPr>
        <w:pStyle w:val="Heading1"/>
        <w:spacing w:after="160" w:before="340"/>
      </w:pPr>
      <w:r>
        <w:t xml:space="preserve">3. Structural changes</w:t>
      </w:r>
    </w:p>
    <w:p>
      <w:pPr>
        <w:spacing w:after="140" w:line="288"/>
      </w:pPr>
      <w:r>
        <w:rPr>
          <w:b/>
          <w:bCs/>
          <w:sz w:val="21"/>
          <w:szCs w:val="21"/>
        </w:rPr>
        <w:t xml:space="preserve">3.1  </w:t>
      </w:r>
      <w:r>
        <w:rPr>
          <w:b/>
          <w:bCs/>
          <w:color w:val="1F3A5F"/>
          <w:sz w:val="21"/>
          <w:szCs w:val="21"/>
        </w:rPr>
        <w:t xml:space="preserve">Apply directly. </w:t>
      </w:r>
      <w:r>
        <w:rPr>
          <w:sz w:val="21"/>
          <w:szCs w:val="21"/>
        </w:rPr>
        <w:t xml:space="preserve">Add a new Section 2, Review methodology, as specified in Section 4 below. Section numbering shifts by one from the present Section 2 onward.</w:t>
      </w:r>
    </w:p>
    <w:p>
      <w:pPr>
        <w:spacing w:after="140" w:line="288"/>
      </w:pPr>
      <w:r>
        <w:rPr>
          <w:b/>
          <w:bCs/>
          <w:sz w:val="21"/>
          <w:szCs w:val="21"/>
        </w:rPr>
        <w:t xml:space="preserve">3.2  </w:t>
      </w:r>
      <w:r>
        <w:rPr>
          <w:b/>
          <w:bCs/>
          <w:color w:val="1F3A5F"/>
          <w:sz w:val="21"/>
          <w:szCs w:val="21"/>
        </w:rPr>
        <w:t xml:space="preserve">Apply directly. </w:t>
      </w:r>
      <w:r>
        <w:rPr>
          <w:sz w:val="21"/>
          <w:szCs w:val="21"/>
        </w:rPr>
        <w:t xml:space="preserve">Move the present Section 1.5 into the new methodology section as inclusion and exclusion criteria, and move the present Section 5.9 to the same place. The two duplicate each other.</w:t>
      </w:r>
    </w:p>
    <w:p>
      <w:pPr>
        <w:spacing w:after="140" w:line="288"/>
      </w:pPr>
      <w:r>
        <w:rPr>
          <w:b/>
          <w:bCs/>
          <w:sz w:val="21"/>
          <w:szCs w:val="21"/>
        </w:rPr>
        <w:t xml:space="preserve">3.3  </w:t>
      </w:r>
      <w:r>
        <w:rPr>
          <w:b/>
          <w:bCs/>
          <w:color w:val="1F3A5F"/>
          <w:sz w:val="21"/>
          <w:szCs w:val="21"/>
        </w:rPr>
        <w:t xml:space="preserve">Apply directly. </w:t>
      </w:r>
      <w:r>
        <w:rPr>
          <w:sz w:val="21"/>
          <w:szCs w:val="21"/>
        </w:rPr>
        <w:t xml:space="preserve">Delete the present Section 2.3. It contains no content and only refers the reader to Section 4.1. Make the cross-reference inline.</w:t>
      </w:r>
    </w:p>
    <w:p>
      <w:pPr>
        <w:spacing w:after="140" w:line="288"/>
      </w:pPr>
      <w:r>
        <w:rPr>
          <w:b/>
          <w:bCs/>
          <w:sz w:val="21"/>
          <w:szCs w:val="21"/>
        </w:rPr>
        <w:t xml:space="preserve">3.4  </w:t>
      </w:r>
      <w:r>
        <w:rPr>
          <w:b/>
          <w:bCs/>
          <w:color w:val="1F3A5F"/>
          <w:sz w:val="21"/>
          <w:szCs w:val="21"/>
        </w:rPr>
        <w:t xml:space="preserve">Apply directly. </w:t>
      </w:r>
      <w:r>
        <w:rPr>
          <w:sz w:val="21"/>
          <w:szCs w:val="21"/>
        </w:rPr>
        <w:t xml:space="preserve">Delete the present Section 2.4, or reduce it to three sentences. It repeats the opening of Section 5.</w:t>
      </w:r>
    </w:p>
    <w:p>
      <w:pPr>
        <w:spacing w:after="140" w:line="288"/>
      </w:pPr>
      <w:r>
        <w:rPr>
          <w:b/>
          <w:bCs/>
          <w:sz w:val="21"/>
          <w:szCs w:val="21"/>
        </w:rPr>
        <w:t xml:space="preserve">3.5  </w:t>
      </w:r>
      <w:r>
        <w:rPr>
          <w:b/>
          <w:bCs/>
          <w:color w:val="1F3A5F"/>
          <w:sz w:val="21"/>
          <w:szCs w:val="21"/>
        </w:rPr>
        <w:t xml:space="preserve">Apply directly. </w:t>
      </w:r>
      <w:r>
        <w:rPr>
          <w:sz w:val="21"/>
          <w:szCs w:val="21"/>
        </w:rPr>
        <w:t xml:space="preserve">Delete the present Section 6.4. It shares its title and most of its content with Section 5.6.</w:t>
      </w:r>
    </w:p>
    <w:p>
      <w:pPr>
        <w:spacing w:after="140" w:line="288"/>
      </w:pPr>
      <w:r>
        <w:rPr>
          <w:b/>
          <w:bCs/>
          <w:sz w:val="21"/>
          <w:szCs w:val="21"/>
        </w:rPr>
        <w:t xml:space="preserve">3.6  </w:t>
      </w:r>
      <w:r>
        <w:rPr>
          <w:b/>
          <w:bCs/>
          <w:color w:val="1F3A5F"/>
          <w:sz w:val="21"/>
          <w:szCs w:val="21"/>
        </w:rPr>
        <w:t xml:space="preserve">Apply directly. </w:t>
      </w:r>
      <w:r>
        <w:rPr>
          <w:sz w:val="21"/>
          <w:szCs w:val="21"/>
        </w:rPr>
        <w:t xml:space="preserve">Add a short subsection at the head of Section 3 explaining where a surrogate sits in the control loop: as internal predictor, as learned control law, as state estimator, or as safety layer. Carry the new block diagram here.</w:t>
      </w:r>
    </w:p>
    <w:p>
      <w:pPr>
        <w:pStyle w:val="Heading1"/>
        <w:spacing w:after="160" w:before="340"/>
      </w:pPr>
      <w:r>
        <w:t xml:space="preserve">4. New Section 2, Review methodology</w:t>
      </w:r>
    </w:p>
    <w:p>
      <w:pPr>
        <w:spacing w:after="140" w:line="288"/>
      </w:pPr>
      <w:r>
        <w:rPr>
          <w:b/>
          <w:bCs/>
          <w:sz w:val="21"/>
          <w:szCs w:val="21"/>
        </w:rPr>
        <w:t xml:space="preserve">4.1  </w:t>
      </w:r>
      <w:r>
        <w:rPr>
          <w:b/>
          <w:bCs/>
          <w:color w:val="1F3A5F"/>
          <w:sz w:val="21"/>
          <w:szCs w:val="21"/>
        </w:rPr>
        <w:t xml:space="preserve">Apply directly. </w:t>
      </w:r>
      <w:r>
        <w:rPr>
          <w:sz w:val="21"/>
          <w:szCs w:val="21"/>
        </w:rPr>
        <w:t xml:space="preserve">Search strategy: databases consulted, the exact query strings, the date window, the language and document type filters, and the date of the last search.</w:t>
      </w:r>
    </w:p>
    <w:p>
      <w:pPr>
        <w:spacing w:after="140" w:line="288"/>
      </w:pPr>
      <w:r>
        <w:rPr>
          <w:b/>
          <w:bCs/>
          <w:sz w:val="21"/>
          <w:szCs w:val="21"/>
        </w:rPr>
        <w:t xml:space="preserve">4.2  </w:t>
      </w:r>
      <w:r>
        <w:rPr>
          <w:b/>
          <w:bCs/>
          <w:color w:val="1F3A5F"/>
          <w:sz w:val="21"/>
          <w:szCs w:val="21"/>
        </w:rPr>
        <w:t xml:space="preserve">Do not edit alone; decide with the supervisor. </w:t>
      </w:r>
      <w:r>
        <w:rPr>
          <w:sz w:val="21"/>
          <w:szCs w:val="21"/>
        </w:rPr>
        <w:t xml:space="preserve">Inclusion and exclusion criteria. Adopt one rule and apply it mechanically: the learned model is evaluated inside the prediction step of an optimisation based controller, at the scale under which it is tabulated. State what this excludes, namely condition monitoring, maintenance planning, converter level control and pure forecasting, and why.</w:t>
      </w:r>
    </w:p>
    <w:p>
      <w:pPr>
        <w:spacing w:after="140" w:line="288"/>
      </w:pPr>
      <w:r>
        <w:rPr>
          <w:b/>
          <w:bCs/>
          <w:sz w:val="21"/>
          <w:szCs w:val="21"/>
        </w:rPr>
        <w:t xml:space="preserve">4.3  </w:t>
      </w:r>
      <w:r>
        <w:rPr>
          <w:b/>
          <w:bCs/>
          <w:color w:val="1F3A5F"/>
          <w:sz w:val="21"/>
          <w:szCs w:val="21"/>
        </w:rPr>
        <w:t xml:space="preserve">Apply directly. </w:t>
      </w:r>
      <w:r>
        <w:rPr>
          <w:sz w:val="21"/>
          <w:szCs w:val="21"/>
        </w:rPr>
        <w:t xml:space="preserve">Coding rubric: the three axes on which every study is coded, that is validation level, simulation fidelity tier, and evidence of real-time capability.</w:t>
      </w:r>
    </w:p>
    <w:p>
      <w:pPr>
        <w:spacing w:after="140" w:line="288"/>
      </w:pPr>
      <w:r>
        <w:rPr>
          <w:b/>
          <w:bCs/>
          <w:sz w:val="21"/>
          <w:szCs w:val="21"/>
        </w:rPr>
        <w:t xml:space="preserve">4.4  </w:t>
      </w:r>
      <w:r>
        <w:rPr>
          <w:b/>
          <w:bCs/>
          <w:color w:val="1F3A5F"/>
          <w:sz w:val="21"/>
          <w:szCs w:val="21"/>
        </w:rPr>
        <w:t xml:space="preserve">Apply directly. </w:t>
      </w:r>
      <w:r>
        <w:rPr>
          <w:sz w:val="21"/>
          <w:szCs w:val="21"/>
        </w:rPr>
        <w:t xml:space="preserve">Corpus statistics with counts at each screening stage.</w:t>
      </w:r>
    </w:p>
    <w:p>
      <w:pPr>
        <w:spacing w:after="140" w:line="288"/>
      </w:pPr>
      <w:r>
        <w:rPr>
          <w:b/>
          <w:bCs/>
          <w:sz w:val="21"/>
          <w:szCs w:val="21"/>
        </w:rPr>
        <w:t xml:space="preserve">4.5  </w:t>
      </w:r>
      <w:r>
        <w:rPr>
          <w:b/>
          <w:bCs/>
          <w:color w:val="1F3A5F"/>
          <w:sz w:val="21"/>
          <w:szCs w:val="21"/>
        </w:rPr>
        <w:t xml:space="preserve">Apply directly. </w:t>
      </w:r>
      <w:r>
        <w:rPr>
          <w:sz w:val="21"/>
          <w:szCs w:val="21"/>
        </w:rPr>
        <w:t xml:space="preserve">Once this section exists, delete the self-limiting sentences in Section 7.2 and in the appendix about the corpus having been assembled without a protocol. They are no longer needed.</w:t>
      </w:r>
    </w:p>
    <w:p>
      <w:pPr>
        <w:pStyle w:val="Heading1"/>
        <w:spacing w:after="160" w:before="340"/>
      </w:pPr>
      <w:r>
        <w:t xml:space="preserve">5. Corrections by section</w:t>
      </w:r>
    </w:p>
    <w:p>
      <w:pPr>
        <w:pStyle w:val="Heading2"/>
        <w:spacing w:after="120" w:before="260"/>
      </w:pPr>
      <w:r>
        <w:t xml:space="preserve">Introduction</w:t>
      </w:r>
    </w:p>
    <w:p>
      <w:pPr>
        <w:spacing w:after="140" w:line="288"/>
      </w:pPr>
      <w:r>
        <w:rPr>
          <w:b/>
          <w:bCs/>
          <w:sz w:val="21"/>
          <w:szCs w:val="21"/>
        </w:rPr>
        <w:t xml:space="preserve">5.1  </w:t>
      </w:r>
      <w:r>
        <w:rPr>
          <w:b/>
          <w:bCs/>
          <w:color w:val="1F3A5F"/>
          <w:sz w:val="21"/>
          <w:szCs w:val="21"/>
        </w:rPr>
        <w:t xml:space="preserve">Apply directly. </w:t>
      </w:r>
      <w:r>
        <w:rPr>
          <w:sz w:val="21"/>
          <w:szCs w:val="21"/>
        </w:rPr>
        <w:t xml:space="preserve">Section 1.1. Proposed heading: Wind energy control at increasing scale. Replace the opening sentence about wind energy as a pillar of the net zero transition with a quantitative anchor: installed capacity and its growth rate, typical rotor diameter and rating today against a decade ago, and the resulting increase in structural loading and control bandwidth, each with a source.</w:t>
      </w:r>
    </w:p>
    <w:p>
      <w:pPr>
        <w:spacing w:after="140" w:line="288"/>
      </w:pPr>
      <w:r>
        <w:rPr>
          <w:b/>
          <w:bCs/>
          <w:sz w:val="21"/>
          <w:szCs w:val="21"/>
        </w:rPr>
        <w:t xml:space="preserve">5.2  </w:t>
      </w:r>
      <w:r>
        <w:rPr>
          <w:b/>
          <w:bCs/>
          <w:color w:val="1F3A5F"/>
          <w:sz w:val="21"/>
          <w:szCs w:val="21"/>
        </w:rPr>
        <w:t xml:space="preserve">Apply directly. </w:t>
      </w:r>
      <w:r>
        <w:rPr>
          <w:sz w:val="21"/>
          <w:szCs w:val="21"/>
        </w:rPr>
        <w:t xml:space="preserve">Section 1.1. References 1 and 2 are the same International Energy Agency report entered twice, and the second has no publisher. Merge them.</w:t>
      </w:r>
    </w:p>
    <w:p>
      <w:pPr>
        <w:spacing w:after="140" w:line="288"/>
      </w:pPr>
      <w:r>
        <w:rPr>
          <w:b/>
          <w:bCs/>
          <w:sz w:val="21"/>
          <w:szCs w:val="21"/>
        </w:rPr>
        <w:t xml:space="preserve">5.3  </w:t>
      </w:r>
      <w:r>
        <w:rPr>
          <w:b/>
          <w:bCs/>
          <w:color w:val="1F3A5F"/>
          <w:sz w:val="21"/>
          <w:szCs w:val="21"/>
        </w:rPr>
        <w:t xml:space="preserve">Apply directly. </w:t>
      </w:r>
      <w:r>
        <w:rPr>
          <w:sz w:val="21"/>
          <w:szCs w:val="21"/>
        </w:rPr>
        <w:t xml:space="preserve">Section 1.2. Proposed heading: Why model predictive control, and why it has not reached deployment. Keep the paragraph structure, since each of the four cited statements carries a mechanism. Remove the dash construction from the heading. End the paragraph on the consequence that motivates Section 3 rather than on a forward reference.</w:t>
      </w:r>
    </w:p>
    <w:p>
      <w:pPr>
        <w:spacing w:after="140" w:line="288"/>
      </w:pPr>
      <w:r>
        <w:rPr>
          <w:b/>
          <w:bCs/>
          <w:sz w:val="21"/>
          <w:szCs w:val="21"/>
        </w:rPr>
        <w:t xml:space="preserve">5.4  </w:t>
      </w:r>
      <w:r>
        <w:rPr>
          <w:b/>
          <w:bCs/>
          <w:color w:val="1F3A5F"/>
          <w:sz w:val="21"/>
          <w:szCs w:val="21"/>
        </w:rPr>
        <w:t xml:space="preserve">Read the source first, then edit. </w:t>
      </w:r>
      <w:r>
        <w:rPr>
          <w:sz w:val="21"/>
          <w:szCs w:val="21"/>
        </w:rPr>
        <w:t xml:space="preserve">Section 1.3. Proposed heading: What existing reviews do not cover. The gap is currently a conjunction of four qualifiers. Read the review by Göçmen and colleagues, name it as the closest existing work, and state in one sentence what it covers and what it does not. Replace the paragraph listing calls for a systematic framework with the new comparison table of item 7.4.</w:t>
      </w:r>
    </w:p>
    <w:p>
      <w:pPr>
        <w:spacing w:after="140" w:line="288"/>
      </w:pPr>
      <w:r>
        <w:rPr>
          <w:b/>
          <w:bCs/>
          <w:sz w:val="21"/>
          <w:szCs w:val="21"/>
        </w:rPr>
        <w:t xml:space="preserve">5.5  </w:t>
      </w:r>
      <w:r>
        <w:rPr>
          <w:b/>
          <w:bCs/>
          <w:color w:val="1F3A5F"/>
          <w:sz w:val="21"/>
          <w:szCs w:val="21"/>
        </w:rPr>
        <w:t xml:space="preserve">Apply directly. </w:t>
      </w:r>
      <w:r>
        <w:rPr>
          <w:sz w:val="21"/>
          <w:szCs w:val="21"/>
        </w:rPr>
        <w:t xml:space="preserve">Section 1.4. Delete the word quantified from the third contribution, since Section 7.2 declines to quantify. The fourth contribution closes no stated gap; either pair it with one or move it to Section 8 as a finding.</w:t>
      </w:r>
    </w:p>
    <w:p>
      <w:pPr>
        <w:spacing w:after="140" w:line="288"/>
      </w:pPr>
      <w:r>
        <w:rPr>
          <w:b/>
          <w:bCs/>
          <w:sz w:val="21"/>
          <w:szCs w:val="21"/>
        </w:rPr>
        <w:t xml:space="preserve">5.6  </w:t>
      </w:r>
      <w:r>
        <w:rPr>
          <w:b/>
          <w:bCs/>
          <w:color w:val="1F3A5F"/>
          <w:sz w:val="21"/>
          <w:szCs w:val="21"/>
        </w:rPr>
        <w:t xml:space="preserve">Apply directly. </w:t>
      </w:r>
      <w:r>
        <w:rPr>
          <w:sz w:val="21"/>
          <w:szCs w:val="21"/>
        </w:rPr>
        <w:t xml:space="preserve">Section 1.6. Reduce to four sentences, or replace with a pointer to the taxonomy figure.</w:t>
      </w:r>
    </w:p>
    <w:p>
      <w:pPr>
        <w:pStyle w:val="Heading2"/>
        <w:spacing w:after="120" w:before="260"/>
      </w:pPr>
      <w:r>
        <w:t xml:space="preserve">Turbine-level surrogates, present Section 3</w:t>
      </w:r>
    </w:p>
    <w:p>
      <w:pPr>
        <w:spacing w:after="140" w:line="288"/>
      </w:pPr>
      <w:r>
        <w:rPr>
          <w:b/>
          <w:bCs/>
          <w:sz w:val="21"/>
          <w:szCs w:val="21"/>
        </w:rPr>
        <w:t xml:space="preserve">5.7  </w:t>
      </w:r>
      <w:r>
        <w:rPr>
          <w:b/>
          <w:bCs/>
          <w:color w:val="1F3A5F"/>
          <w:sz w:val="21"/>
          <w:szCs w:val="21"/>
        </w:rPr>
        <w:t xml:space="preserve">Read the source first, then edit. </w:t>
      </w:r>
      <w:r>
        <w:rPr>
          <w:sz w:val="21"/>
          <w:szCs w:val="21"/>
        </w:rPr>
        <w:t xml:space="preserve">Section 3.1. The field-test claim must be re-established or withdrawn. The 2025 Wind Energy paper by Klein and colleagues is a robust linear time-varying controller combined with an extended Kalman filter, and its abstract describes no learned surrogate. The 2024 item is an extended Kalman filter load estimator presented at the TORQUE conference and is not a field test, although the appendix table records it as one. Read the 2025 paper, locate the subsection describing the internal prediction model, and either cite it by number or remove the claim from the abstract, this subsection, Tables 1, 3 and 4, Section 8.1 and the conclusion.</w:t>
      </w:r>
    </w:p>
    <w:p>
      <w:pPr>
        <w:spacing w:after="140" w:line="288"/>
      </w:pPr>
      <w:r>
        <w:rPr>
          <w:b/>
          <w:bCs/>
          <w:sz w:val="21"/>
          <w:szCs w:val="21"/>
        </w:rPr>
        <w:t xml:space="preserve">5.8  </w:t>
      </w:r>
      <w:r>
        <w:rPr>
          <w:b/>
          <w:bCs/>
          <w:color w:val="1F3A5F"/>
          <w:sz w:val="21"/>
          <w:szCs w:val="21"/>
        </w:rPr>
        <w:t xml:space="preserve">Apply directly. </w:t>
      </w:r>
      <w:r>
        <w:rPr>
          <w:sz w:val="21"/>
          <w:szCs w:val="21"/>
        </w:rPr>
        <w:t xml:space="preserve">Section 3.1. Remove the study on blade defect detection. It is condition monitoring and is excluded by the review own scope statement.</w:t>
      </w:r>
    </w:p>
    <w:p>
      <w:pPr>
        <w:spacing w:after="140" w:line="288"/>
      </w:pPr>
      <w:r>
        <w:rPr>
          <w:b/>
          <w:bCs/>
          <w:sz w:val="21"/>
          <w:szCs w:val="21"/>
        </w:rPr>
        <w:t xml:space="preserve">5.9  </w:t>
      </w:r>
      <w:r>
        <w:rPr>
          <w:b/>
          <w:bCs/>
          <w:color w:val="1F3A5F"/>
          <w:sz w:val="21"/>
          <w:szCs w:val="21"/>
        </w:rPr>
        <w:t xml:space="preserve">Apply directly. </w:t>
      </w:r>
      <w:r>
        <w:rPr>
          <w:sz w:val="21"/>
          <w:szCs w:val="21"/>
        </w:rPr>
        <w:t xml:space="preserve">Section 3.1. Reclassify the two studies that are fuzzy logic controllers combined with an extended Kalman filter. Neither is a learned surrogate inside a prediction step.</w:t>
      </w:r>
    </w:p>
    <w:p>
      <w:pPr>
        <w:spacing w:after="140" w:line="288"/>
      </w:pPr>
      <w:r>
        <w:rPr>
          <w:b/>
          <w:bCs/>
          <w:sz w:val="21"/>
          <w:szCs w:val="21"/>
        </w:rPr>
        <w:t xml:space="preserve">5.10  </w:t>
      </w:r>
      <w:r>
        <w:rPr>
          <w:b/>
          <w:bCs/>
          <w:color w:val="1F3A5F"/>
          <w:sz w:val="21"/>
          <w:szCs w:val="21"/>
        </w:rPr>
        <w:t xml:space="preserve">Apply directly. </w:t>
      </w:r>
      <w:r>
        <w:rPr>
          <w:sz w:val="21"/>
          <w:szCs w:val="21"/>
        </w:rPr>
        <w:t xml:space="preserve">Section 3.1. Move the recurrent network study on pitch control to Section 3.4. It is currently counted in two families at once. After items 5.8 to 5.10 the closed-loop count for this family changes, so regenerate Table 1 rather than editing the number by hand.</w:t>
      </w:r>
    </w:p>
    <w:p>
      <w:pPr>
        <w:spacing w:after="140" w:line="288"/>
      </w:pPr>
      <w:r>
        <w:rPr>
          <w:b/>
          <w:bCs/>
          <w:sz w:val="21"/>
          <w:szCs w:val="21"/>
        </w:rPr>
        <w:t xml:space="preserve">5.11  </w:t>
      </w:r>
      <w:r>
        <w:rPr>
          <w:b/>
          <w:bCs/>
          <w:color w:val="1F3A5F"/>
          <w:sz w:val="21"/>
          <w:szCs w:val="21"/>
        </w:rPr>
        <w:t xml:space="preserve">Apply directly. </w:t>
      </w:r>
      <w:r>
        <w:rPr>
          <w:sz w:val="21"/>
          <w:szCs w:val="21"/>
        </w:rPr>
        <w:t xml:space="preserve">Section 3.2. Remove the study by Lio and Meng, which uses a bank of extended Kalman filters combined by interacting multiple model weighting and contains no Gaussian process. Remove the study by Palma and colleagues, which uses dynamic mode decomposition, as its title states. Describe the remaining radial basis function study accurately rather than as closely related to Gaussian process kernels. State that the airborne wind energy study concerns a kite rather than a horizontal axis turbine, and decide whether it is in scope. State the consequence: the family reduces to essentially one genuine turbine-level study.</w:t>
      </w:r>
    </w:p>
    <w:p>
      <w:pPr>
        <w:spacing w:after="140" w:line="288"/>
      </w:pPr>
      <w:r>
        <w:rPr>
          <w:b/>
          <w:bCs/>
          <w:sz w:val="21"/>
          <w:szCs w:val="21"/>
        </w:rPr>
        <w:t xml:space="preserve">5.12  </w:t>
      </w:r>
      <w:r>
        <w:rPr>
          <w:b/>
          <w:bCs/>
          <w:color w:val="1F3A5F"/>
          <w:sz w:val="21"/>
          <w:szCs w:val="21"/>
        </w:rPr>
        <w:t xml:space="preserve">Read the source first, then edit. </w:t>
      </w:r>
      <w:r>
        <w:rPr>
          <w:sz w:val="21"/>
          <w:szCs w:val="21"/>
        </w:rPr>
        <w:t xml:space="preserve">Section 3.4. Read the paper by Witter and colleagues before editing. It builds a surrogate of a multibody simulation model for real-time digital twin use and runs it in a loop with the turbine own controller; there is no predictive controller in it. Rewrite the passage as: a plant surrogate in closed loop with a conventional controller, in which recurrent architectures degraded and a transformer did not. Trace the description of the architecture as decoder only, and the coefficient of determination of 0.94, to a specific table or figure, and report them with the output channel, the sampling rate and the horizon. If they cannot be found, remove them. The underlying thesis, that offline accuracy and closed-loop stability are only loosely coupled, is correct and stays; only its evidence changes.</w:t>
      </w:r>
    </w:p>
    <w:p>
      <w:pPr>
        <w:spacing w:after="140" w:line="288"/>
      </w:pPr>
      <w:r>
        <w:rPr>
          <w:b/>
          <w:bCs/>
          <w:sz w:val="21"/>
          <w:szCs w:val="21"/>
        </w:rPr>
        <w:t xml:space="preserve">5.13  </w:t>
      </w:r>
      <w:r>
        <w:rPr>
          <w:b/>
          <w:bCs/>
          <w:color w:val="1F3A5F"/>
          <w:sz w:val="21"/>
          <w:szCs w:val="21"/>
        </w:rPr>
        <w:t xml:space="preserve">Apply directly. </w:t>
      </w:r>
      <w:r>
        <w:rPr>
          <w:sz w:val="21"/>
          <w:szCs w:val="21"/>
        </w:rPr>
        <w:t xml:space="preserve">Section 3.4. Temporal convolutional networks are defined and named in the heading but never applied to a wind study. Either add the studies or remove them from the heading.</w:t>
      </w:r>
    </w:p>
    <w:p>
      <w:pPr>
        <w:spacing w:after="140" w:line="288"/>
      </w:pPr>
      <w:r>
        <w:rPr>
          <w:b/>
          <w:bCs/>
          <w:sz w:val="21"/>
          <w:szCs w:val="21"/>
        </w:rPr>
        <w:t xml:space="preserve">5.14  </w:t>
      </w:r>
      <w:r>
        <w:rPr>
          <w:b/>
          <w:bCs/>
          <w:color w:val="1F3A5F"/>
          <w:sz w:val="21"/>
          <w:szCs w:val="21"/>
        </w:rPr>
        <w:t xml:space="preserve">Apply directly. </w:t>
      </w:r>
      <w:r>
        <w:rPr>
          <w:sz w:val="21"/>
          <w:szCs w:val="21"/>
        </w:rPr>
        <w:t xml:space="preserve">Section 3.4 and Section 3.5. Move the four farm-level studies discussed here to Section 5, so that each study is counted once and at one scale.</w:t>
      </w:r>
    </w:p>
    <w:p>
      <w:pPr>
        <w:spacing w:after="140" w:line="288"/>
      </w:pPr>
      <w:r>
        <w:rPr>
          <w:b/>
          <w:bCs/>
          <w:sz w:val="21"/>
          <w:szCs w:val="21"/>
        </w:rPr>
        <w:t xml:space="preserve">5.15  </w:t>
      </w:r>
      <w:r>
        <w:rPr>
          <w:b/>
          <w:bCs/>
          <w:color w:val="1F3A5F"/>
          <w:sz w:val="21"/>
          <w:szCs w:val="21"/>
        </w:rPr>
        <w:t xml:space="preserve">Apply directly. </w:t>
      </w:r>
      <w:r>
        <w:rPr>
          <w:sz w:val="21"/>
          <w:szCs w:val="21"/>
        </w:rPr>
        <w:t xml:space="preserve">Section 3.5. Several reference numbers appear in the running text as plain parentheses rather than as citations. Correct these throughout the paper.</w:t>
      </w:r>
    </w:p>
    <w:p>
      <w:pPr>
        <w:spacing w:after="140" w:line="288"/>
      </w:pPr>
      <w:r>
        <w:rPr>
          <w:b/>
          <w:bCs/>
          <w:sz w:val="21"/>
          <w:szCs w:val="21"/>
        </w:rPr>
        <w:t xml:space="preserve">5.16  </w:t>
      </w:r>
      <w:r>
        <w:rPr>
          <w:b/>
          <w:bCs/>
          <w:color w:val="1F3A5F"/>
          <w:sz w:val="21"/>
          <w:szCs w:val="21"/>
        </w:rPr>
        <w:t xml:space="preserve">Read the source first, then edit. </w:t>
      </w:r>
      <w:r>
        <w:rPr>
          <w:sz w:val="21"/>
          <w:szCs w:val="21"/>
        </w:rPr>
        <w:t xml:space="preserve">Section 3.2. Soften the description of the 2004 Gaussian process controller as the earliest such formulation to among the earliest. Check also whether that paper penalises the predicted variance in the cost or constrains it; the review states the second and the two formulations differ.</w:t>
      </w:r>
    </w:p>
    <w:p>
      <w:pPr>
        <w:spacing w:after="140" w:line="288"/>
      </w:pPr>
      <w:r>
        <w:rPr>
          <w:b/>
          <w:bCs/>
          <w:sz w:val="21"/>
          <w:szCs w:val="21"/>
        </w:rPr>
        <w:t xml:space="preserve">5.17  </w:t>
      </w:r>
      <w:r>
        <w:rPr>
          <w:b/>
          <w:bCs/>
          <w:color w:val="1F3A5F"/>
          <w:sz w:val="21"/>
          <w:szCs w:val="21"/>
        </w:rPr>
        <w:t xml:space="preserve">Do not edit alone; decide with the supervisor. </w:t>
      </w:r>
      <w:r>
        <w:rPr>
          <w:sz w:val="21"/>
          <w:szCs w:val="21"/>
        </w:rPr>
        <w:t xml:space="preserve">Section 3.3. The subsection rests on a single study, from which the abstract concludes that this family shows the widest documented gap. One study does not support a superlative. Either widen the corpus or reframe the subsection around the contrast that physics-informed models are absent at turbine level but present and closed-loop validated at farm level.</w:t>
      </w:r>
    </w:p>
    <w:p>
      <w:pPr>
        <w:pStyle w:val="Heading2"/>
        <w:spacing w:after="120" w:before="260"/>
      </w:pPr>
      <w:r>
        <w:t xml:space="preserve">Preview and estimation, present Section 4</w:t>
      </w:r>
    </w:p>
    <w:p>
      <w:pPr>
        <w:spacing w:after="140" w:line="288"/>
      </w:pPr>
      <w:r>
        <w:rPr>
          <w:b/>
          <w:bCs/>
          <w:sz w:val="21"/>
          <w:szCs w:val="21"/>
        </w:rPr>
        <w:t xml:space="preserve">5.18  </w:t>
      </w:r>
      <w:r>
        <w:rPr>
          <w:b/>
          <w:bCs/>
          <w:color w:val="1F3A5F"/>
          <w:sz w:val="21"/>
          <w:szCs w:val="21"/>
        </w:rPr>
        <w:t xml:space="preserve">Apply directly. </w:t>
      </w:r>
      <w:r>
        <w:rPr>
          <w:sz w:val="21"/>
          <w:szCs w:val="21"/>
        </w:rPr>
        <w:t xml:space="preserve">Section 4.1. The reductions of up to 50 per cent in extreme gust loading and 30 per cent in lifetime fatigue are correctly reported, but the source presents that controller as an upper bound, with real-time suitable schemes treated separately. Add this condition alongside the numbers, together with the load channel and the simulation environment. Absorb the deleted Section 2.3 here.</w:t>
      </w:r>
    </w:p>
    <w:p>
      <w:pPr>
        <w:spacing w:after="140" w:line="288"/>
      </w:pPr>
      <w:r>
        <w:rPr>
          <w:b/>
          <w:bCs/>
          <w:sz w:val="21"/>
          <w:szCs w:val="21"/>
        </w:rPr>
        <w:t xml:space="preserve">5.19  </w:t>
      </w:r>
      <w:r>
        <w:rPr>
          <w:b/>
          <w:bCs/>
          <w:color w:val="1F3A5F"/>
          <w:sz w:val="21"/>
          <w:szCs w:val="21"/>
        </w:rPr>
        <w:t xml:space="preserve">Apply directly. </w:t>
      </w:r>
      <w:r>
        <w:rPr>
          <w:sz w:val="21"/>
          <w:szCs w:val="21"/>
        </w:rPr>
        <w:t xml:space="preserve">Section 4.3. The subsection describes a method the cited paper does not use. Fold two accurate sentences into Section 4.2 and delete the subsection.</w:t>
      </w:r>
    </w:p>
    <w:p>
      <w:pPr>
        <w:pStyle w:val="Heading2"/>
        <w:spacing w:after="120" w:before="260"/>
      </w:pPr>
      <w:r>
        <w:t xml:space="preserve">Farm-level control, present Section 5</w:t>
      </w:r>
    </w:p>
    <w:p>
      <w:pPr>
        <w:spacing w:after="140" w:line="288"/>
      </w:pPr>
      <w:r>
        <w:rPr>
          <w:b/>
          <w:bCs/>
          <w:sz w:val="21"/>
          <w:szCs w:val="21"/>
        </w:rPr>
        <w:t xml:space="preserve">5.20  </w:t>
      </w:r>
      <w:r>
        <w:rPr>
          <w:b/>
          <w:bCs/>
          <w:color w:val="1F3A5F"/>
          <w:sz w:val="21"/>
          <w:szCs w:val="21"/>
        </w:rPr>
        <w:t xml:space="preserve">Do not edit alone; decide with the supervisor. </w:t>
      </w:r>
      <w:r>
        <w:rPr>
          <w:sz w:val="21"/>
          <w:szCs w:val="21"/>
        </w:rPr>
        <w:t xml:space="preserve">Section 5.5. The claim of an inverse relationship between architectural novelty and validation realism is derived from the fidelity column of Table 2, which classifies the same simulator as high fidelity in three rows and low fidelity in a fourth. Correct the fidelity ladder first, then re-derive the claim and report the outcome either way.</w:t>
      </w:r>
    </w:p>
    <w:p>
      <w:pPr>
        <w:spacing w:after="140" w:line="288"/>
      </w:pPr>
      <w:r>
        <w:rPr>
          <w:b/>
          <w:bCs/>
          <w:sz w:val="21"/>
          <w:szCs w:val="21"/>
        </w:rPr>
        <w:t xml:space="preserve">5.21  </w:t>
      </w:r>
      <w:r>
        <w:rPr>
          <w:b/>
          <w:bCs/>
          <w:color w:val="1F3A5F"/>
          <w:sz w:val="21"/>
          <w:szCs w:val="21"/>
        </w:rPr>
        <w:t xml:space="preserve">Apply directly. </w:t>
      </w:r>
      <w:r>
        <w:rPr>
          <w:sz w:val="21"/>
          <w:szCs w:val="21"/>
        </w:rPr>
        <w:t xml:space="preserve">Section 5.5. Describe the hierarchical reinforcement learning study accurately: an April 2026 preprint, a three-turbine case, a reported 23 per cent power gain, with the learning agent supplying state estimates to a predictive control layer rather than controlling turbines directly.</w:t>
      </w:r>
    </w:p>
    <w:p>
      <w:pPr>
        <w:spacing w:after="140" w:line="288"/>
      </w:pPr>
      <w:r>
        <w:rPr>
          <w:b/>
          <w:bCs/>
          <w:sz w:val="21"/>
          <w:szCs w:val="21"/>
        </w:rPr>
        <w:t xml:space="preserve">5.22  </w:t>
      </w:r>
      <w:r>
        <w:rPr>
          <w:b/>
          <w:bCs/>
          <w:color w:val="1F3A5F"/>
          <w:sz w:val="21"/>
          <w:szCs w:val="21"/>
        </w:rPr>
        <w:t xml:space="preserve">Apply directly. </w:t>
      </w:r>
      <w:r>
        <w:rPr>
          <w:sz w:val="21"/>
          <w:szCs w:val="21"/>
        </w:rPr>
        <w:t xml:space="preserve">Section 5.8. Rebuild Table 2 with a three-tier fidelity classification, an explicit turbine count column, and a column recording whether computational cost was reported. Two rows are coded as not applicable in a table of control studies; either widen the table title or move those rows out.</w:t>
      </w:r>
    </w:p>
    <w:p>
      <w:pPr>
        <w:pStyle w:val="Heading2"/>
        <w:spacing w:after="120" w:before="260"/>
      </w:pPr>
      <w:r>
        <w:t xml:space="preserve">Real-time feasibility, present Section 6</w:t>
      </w:r>
    </w:p>
    <w:p>
      <w:pPr>
        <w:spacing w:after="140" w:line="288"/>
      </w:pPr>
      <w:r>
        <w:rPr>
          <w:b/>
          <w:bCs/>
          <w:sz w:val="21"/>
          <w:szCs w:val="21"/>
        </w:rPr>
        <w:t xml:space="preserve">5.23  </w:t>
      </w:r>
      <w:r>
        <w:rPr>
          <w:b/>
          <w:bCs/>
          <w:color w:val="1F3A5F"/>
          <w:sz w:val="21"/>
          <w:szCs w:val="21"/>
        </w:rPr>
        <w:t xml:space="preserve">Apply directly. </w:t>
      </w:r>
      <w:r>
        <w:rPr>
          <w:sz w:val="21"/>
          <w:szCs w:val="21"/>
        </w:rPr>
        <w:t xml:space="preserve">Section 6.1. The text states that nonlinear predictive control is typically solved by sequential quadratic programming and cites a paper certifying complexity for the fast gradient method on input-constrained linear problems. Change the sentence or add an appropriate source.</w:t>
      </w:r>
    </w:p>
    <w:p>
      <w:pPr>
        <w:spacing w:after="140" w:line="288"/>
      </w:pPr>
      <w:r>
        <w:rPr>
          <w:b/>
          <w:bCs/>
          <w:sz w:val="21"/>
          <w:szCs w:val="21"/>
        </w:rPr>
        <w:t xml:space="preserve">5.24  </w:t>
      </w:r>
      <w:r>
        <w:rPr>
          <w:b/>
          <w:bCs/>
          <w:color w:val="1F3A5F"/>
          <w:sz w:val="21"/>
          <w:szCs w:val="21"/>
        </w:rPr>
        <w:t xml:space="preserve">Apply directly. </w:t>
      </w:r>
      <w:r>
        <w:rPr>
          <w:sz w:val="21"/>
          <w:szCs w:val="21"/>
        </w:rPr>
        <w:t xml:space="preserve">Section 6.2. Six technical claims appear with one citation between them: basis function parameterisation, Koopman approximation, piecewise affine and neural approximation of the control law, warm starting, horizon truncation and early termination. Cite each or delete it. Add a short table giving, for each strategy, what it reduces, what it costs, and whether constraint satisfaction survives.</w:t>
      </w:r>
    </w:p>
    <w:p>
      <w:pPr>
        <w:spacing w:after="140" w:line="288"/>
      </w:pPr>
      <w:r>
        <w:rPr>
          <w:b/>
          <w:bCs/>
          <w:sz w:val="21"/>
          <w:szCs w:val="21"/>
        </w:rPr>
        <w:t xml:space="preserve">5.25  </w:t>
      </w:r>
      <w:r>
        <w:rPr>
          <w:b/>
          <w:bCs/>
          <w:color w:val="1F3A5F"/>
          <w:sz w:val="21"/>
          <w:szCs w:val="21"/>
        </w:rPr>
        <w:t xml:space="preserve">Do not edit alone; decide with the supervisor. </w:t>
      </w:r>
      <w:r>
        <w:rPr>
          <w:sz w:val="21"/>
          <w:szCs w:val="21"/>
        </w:rPr>
        <w:t xml:space="preserve">Section 6.3. Five references concern finite control set control of the power electronic stage, which involves no learned surrogate. Reduce to two sentences in the scope statement, or justify the inclusion explicitly.</w:t>
      </w:r>
    </w:p>
    <w:p>
      <w:pPr>
        <w:spacing w:after="140" w:line="288"/>
      </w:pPr>
      <w:r>
        <w:rPr>
          <w:b/>
          <w:bCs/>
          <w:sz w:val="21"/>
          <w:szCs w:val="21"/>
        </w:rPr>
        <w:t xml:space="preserve">5.26  </w:t>
      </w:r>
      <w:r>
        <w:rPr>
          <w:b/>
          <w:bCs/>
          <w:color w:val="1F3A5F"/>
          <w:sz w:val="21"/>
          <w:szCs w:val="21"/>
        </w:rPr>
        <w:t xml:space="preserve">Apply directly. </w:t>
      </w:r>
      <w:r>
        <w:rPr>
          <w:sz w:val="21"/>
          <w:szCs w:val="21"/>
        </w:rPr>
        <w:t xml:space="preserve">Section 6.5. Expand to cover the ensemble and conformal prediction alternatives proposed in Section 8.4, so that the open challenge is grounded in a mechanism discussed here.</w:t>
      </w:r>
    </w:p>
    <w:p>
      <w:pPr>
        <w:pStyle w:val="Heading2"/>
        <w:spacing w:after="120" w:before="260"/>
      </w:pPr>
      <w:r>
        <w:t xml:space="preserve">Synthesis and open challenges, present Sections 7 and 8</w:t>
      </w:r>
    </w:p>
    <w:p>
      <w:pPr>
        <w:spacing w:after="140" w:line="288"/>
      </w:pPr>
      <w:r>
        <w:rPr>
          <w:b/>
          <w:bCs/>
          <w:sz w:val="21"/>
          <w:szCs w:val="21"/>
        </w:rPr>
        <w:t xml:space="preserve">5.27  </w:t>
      </w:r>
      <w:r>
        <w:rPr>
          <w:b/>
          <w:bCs/>
          <w:color w:val="1F3A5F"/>
          <w:sz w:val="21"/>
          <w:szCs w:val="21"/>
        </w:rPr>
        <w:t xml:space="preserve">Apply directly. </w:t>
      </w:r>
      <w:r>
        <w:rPr>
          <w:sz w:val="21"/>
          <w:szCs w:val="21"/>
        </w:rPr>
        <w:t xml:space="preserve">Section 7.1. Delete Table 3, which restates Tables 1 and 2, and replace it with the comparison on fixed axes of item 7.2.</w:t>
      </w:r>
    </w:p>
    <w:p>
      <w:pPr>
        <w:spacing w:after="140" w:line="288"/>
      </w:pPr>
      <w:r>
        <w:rPr>
          <w:b/>
          <w:bCs/>
          <w:sz w:val="21"/>
          <w:szCs w:val="21"/>
        </w:rPr>
        <w:t xml:space="preserve">5.28  </w:t>
      </w:r>
      <w:r>
        <w:rPr>
          <w:b/>
          <w:bCs/>
          <w:color w:val="1F3A5F"/>
          <w:sz w:val="21"/>
          <w:szCs w:val="21"/>
        </w:rPr>
        <w:t xml:space="preserve">Do not edit alone; decide with the supervisor. </w:t>
      </w:r>
      <w:r>
        <w:rPr>
          <w:sz w:val="21"/>
          <w:szCs w:val="21"/>
        </w:rPr>
        <w:t xml:space="preserve">Section 7.2. Proposed heading: How large is the gap, and what can be claimed about it. Once the methodology section exists, either report a count or rewrite the subsection as an explicitly qualitative claim. The present combination, in which a contribution promises quantification, the abstract asserts a proportion, the subsection declines to quantify and the appendix reports the opposite ratio, must not survive.</w:t>
      </w:r>
    </w:p>
    <w:p>
      <w:pPr>
        <w:spacing w:after="140" w:line="288"/>
      </w:pPr>
      <w:r>
        <w:rPr>
          <w:b/>
          <w:bCs/>
          <w:sz w:val="21"/>
          <w:szCs w:val="21"/>
        </w:rPr>
        <w:t xml:space="preserve">5.29  </w:t>
      </w:r>
      <w:r>
        <w:rPr>
          <w:b/>
          <w:bCs/>
          <w:color w:val="1F3A5F"/>
          <w:sz w:val="21"/>
          <w:szCs w:val="21"/>
        </w:rPr>
        <w:t xml:space="preserve">Apply directly. </w:t>
      </w:r>
      <w:r>
        <w:rPr>
          <w:sz w:val="21"/>
          <w:szCs w:val="21"/>
        </w:rPr>
        <w:t xml:space="preserve">Section 7.4. Rewrite once items 5.12 and 5.20 are settled, since both pillars of this subsection depend on them.</w:t>
      </w:r>
    </w:p>
    <w:p>
      <w:pPr>
        <w:spacing w:after="140" w:line="288"/>
      </w:pPr>
      <w:r>
        <w:rPr>
          <w:b/>
          <w:bCs/>
          <w:sz w:val="21"/>
          <w:szCs w:val="21"/>
        </w:rPr>
        <w:t xml:space="preserve">5.30  </w:t>
      </w:r>
      <w:r>
        <w:rPr>
          <w:b/>
          <w:bCs/>
          <w:color w:val="1F3A5F"/>
          <w:sz w:val="21"/>
          <w:szCs w:val="21"/>
        </w:rPr>
        <w:t xml:space="preserve">Apply directly. </w:t>
      </w:r>
      <w:r>
        <w:rPr>
          <w:sz w:val="21"/>
          <w:szCs w:val="21"/>
        </w:rPr>
        <w:t xml:space="preserve">Section 8.1. Rewrite the sentence naming the single field test to state what was actually field-tested: a predictive controller with an extended Kalman filter, on a 3 MW turbine, over roughly three hours of continuous controller access.</w:t>
      </w:r>
    </w:p>
    <w:p>
      <w:pPr>
        <w:spacing w:after="140" w:line="288"/>
      </w:pPr>
      <w:r>
        <w:rPr>
          <w:b/>
          <w:bCs/>
          <w:sz w:val="21"/>
          <w:szCs w:val="21"/>
        </w:rPr>
        <w:t xml:space="preserve">5.31  </w:t>
      </w:r>
      <w:r>
        <w:rPr>
          <w:b/>
          <w:bCs/>
          <w:color w:val="1F3A5F"/>
          <w:sz w:val="21"/>
          <w:szCs w:val="21"/>
        </w:rPr>
        <w:t xml:space="preserve">Apply directly. </w:t>
      </w:r>
      <w:r>
        <w:rPr>
          <w:sz w:val="21"/>
          <w:szCs w:val="21"/>
        </w:rPr>
        <w:t xml:space="preserve">Section 8.2. The claim that evaluation metrics are not standardised is asserted rather than shown. Point to the cells marked as not reported in the new comparison table.</w:t>
      </w:r>
    </w:p>
    <w:p>
      <w:pPr>
        <w:spacing w:after="140" w:line="288"/>
      </w:pPr>
      <w:r>
        <w:rPr>
          <w:b/>
          <w:bCs/>
          <w:sz w:val="21"/>
          <w:szCs w:val="21"/>
        </w:rPr>
        <w:t xml:space="preserve">5.32  </w:t>
      </w:r>
      <w:r>
        <w:rPr>
          <w:b/>
          <w:bCs/>
          <w:color w:val="1F3A5F"/>
          <w:sz w:val="21"/>
          <w:szCs w:val="21"/>
        </w:rPr>
        <w:t xml:space="preserve">Apply directly. </w:t>
      </w:r>
      <w:r>
        <w:rPr>
          <w:sz w:val="21"/>
          <w:szCs w:val="21"/>
        </w:rPr>
        <w:t xml:space="preserve">Section 8.3. The claim that hybrid mechanism and data models inside a control loop are largely absent is refuted by two of the review own references. Restate the gap as the absence of hybrid models with a stated validity envelope and a bound on the learned correction.</w:t>
      </w:r>
    </w:p>
    <w:p>
      <w:pPr>
        <w:spacing w:after="140" w:line="288"/>
      </w:pPr>
      <w:r>
        <w:rPr>
          <w:b/>
          <w:bCs/>
          <w:sz w:val="21"/>
          <w:szCs w:val="21"/>
        </w:rPr>
        <w:t xml:space="preserve">5.33  </w:t>
      </w:r>
      <w:r>
        <w:rPr>
          <w:b/>
          <w:bCs/>
          <w:color w:val="1F3A5F"/>
          <w:sz w:val="21"/>
          <w:szCs w:val="21"/>
        </w:rPr>
        <w:t xml:space="preserve">Apply directly. </w:t>
      </w:r>
      <w:r>
        <w:rPr>
          <w:sz w:val="21"/>
          <w:szCs w:val="21"/>
        </w:rPr>
        <w:t xml:space="preserve">Conclusion. Remove the recommendation to practitioners based on a field-tested precedent until item 5.7 is settled. Reconcile the third contribution with Sections 1.4 and 7.2. Keep the closing sentence. Reframe the final recommendation around the conditions that will decide the question: access to field testing, standardised benchmarks, uncertainty quantification outside one family, and embedded solver hardware.</w:t>
      </w:r>
    </w:p>
    <w:p>
      <w:pPr>
        <w:pStyle w:val="Heading1"/>
        <w:spacing w:after="160" w:before="340"/>
      </w:pPr>
      <w:r>
        <w:t xml:space="preserve">6. Figures to produce</w:t>
      </w:r>
    </w:p>
    <w:p>
      <w:pPr>
        <w:spacing w:after="140" w:line="288"/>
      </w:pPr>
      <w:r>
        <w:rPr>
          <w:b/>
          <w:bCs/>
          <w:sz w:val="21"/>
          <w:szCs w:val="21"/>
        </w:rPr>
        <w:t xml:space="preserve">6.1  </w:t>
      </w:r>
      <w:r>
        <w:rPr>
          <w:b/>
          <w:bCs/>
          <w:color w:val="1F3A5F"/>
          <w:sz w:val="21"/>
          <w:szCs w:val="21"/>
        </w:rPr>
        <w:t xml:space="preserve">Apply directly. </w:t>
      </w:r>
      <w:r>
        <w:rPr>
          <w:sz w:val="21"/>
          <w:szCs w:val="21"/>
        </w:rPr>
        <w:t xml:space="preserve">A taxonomy figure showing the five turbine-level families and the three farm-level architectures on one page, with the shared families linked across scales.</w:t>
      </w:r>
    </w:p>
    <w:p>
      <w:pPr>
        <w:spacing w:after="140" w:line="288"/>
      </w:pPr>
      <w:r>
        <w:rPr>
          <w:b/>
          <w:bCs/>
          <w:sz w:val="21"/>
          <w:szCs w:val="21"/>
        </w:rPr>
        <w:t xml:space="preserve">6.2  </w:t>
      </w:r>
      <w:r>
        <w:rPr>
          <w:b/>
          <w:bCs/>
          <w:color w:val="1F3A5F"/>
          <w:sz w:val="21"/>
          <w:szCs w:val="21"/>
        </w:rPr>
        <w:t xml:space="preserve">Apply directly. </w:t>
      </w:r>
      <w:r>
        <w:rPr>
          <w:sz w:val="21"/>
          <w:szCs w:val="21"/>
        </w:rPr>
        <w:t xml:space="preserve">A block diagram of the control loop with numbered insertion points for the surrogate, and every surveyed family mapped to one of them.</w:t>
      </w:r>
    </w:p>
    <w:p>
      <w:pPr>
        <w:spacing w:after="140" w:line="288"/>
      </w:pPr>
      <w:r>
        <w:rPr>
          <w:b/>
          <w:bCs/>
          <w:sz w:val="21"/>
          <w:szCs w:val="21"/>
        </w:rPr>
        <w:t xml:space="preserve">6.3  </w:t>
      </w:r>
      <w:r>
        <w:rPr>
          <w:b/>
          <w:bCs/>
          <w:color w:val="1F3A5F"/>
          <w:sz w:val="21"/>
          <w:szCs w:val="21"/>
        </w:rPr>
        <w:t xml:space="preserve">Apply directly. </w:t>
      </w:r>
      <w:r>
        <w:rPr>
          <w:sz w:val="21"/>
          <w:szCs w:val="21"/>
        </w:rPr>
        <w:t xml:space="preserve">A maturity map placing every study on an evidence axis running from offline prediction to field deployment, against publication year, with marker shape indicating the family.</w:t>
      </w:r>
    </w:p>
    <w:p>
      <w:pPr>
        <w:spacing w:after="140" w:line="288"/>
      </w:pPr>
      <w:r>
        <w:rPr>
          <w:b/>
          <w:bCs/>
          <w:sz w:val="21"/>
          <w:szCs w:val="21"/>
        </w:rPr>
        <w:t xml:space="preserve">6.4  </w:t>
      </w:r>
      <w:r>
        <w:rPr>
          <w:b/>
          <w:bCs/>
          <w:color w:val="1F3A5F"/>
          <w:sz w:val="21"/>
          <w:szCs w:val="21"/>
        </w:rPr>
        <w:t xml:space="preserve">Apply directly. </w:t>
      </w:r>
      <w:r>
        <w:rPr>
          <w:sz w:val="21"/>
          <w:szCs w:val="21"/>
        </w:rPr>
        <w:t xml:space="preserve">A scatter plot of validation fidelity against architectural novelty for the farm-level studies, which tests the claim of Section 5.5 rather than asserting it.</w:t>
      </w:r>
    </w:p>
    <w:p>
      <w:pPr>
        <w:spacing w:after="140" w:line="288"/>
      </w:pPr>
      <w:r>
        <w:rPr>
          <w:b/>
          <w:bCs/>
          <w:sz w:val="21"/>
          <w:szCs w:val="21"/>
        </w:rPr>
        <w:t xml:space="preserve">6.5  </w:t>
      </w:r>
      <w:r>
        <w:rPr>
          <w:b/>
          <w:bCs/>
          <w:color w:val="1F3A5F"/>
          <w:sz w:val="21"/>
          <w:szCs w:val="21"/>
        </w:rPr>
        <w:t xml:space="preserve">Apply directly. </w:t>
      </w:r>
      <w:r>
        <w:rPr>
          <w:sz w:val="21"/>
          <w:szCs w:val="21"/>
        </w:rPr>
        <w:t xml:space="preserve">A screening flow diagram for the methodology section, with counts and exclusion reasons at each stage.</w:t>
      </w:r>
    </w:p>
    <w:p>
      <w:pPr>
        <w:pStyle w:val="Heading1"/>
        <w:spacing w:after="160" w:before="340"/>
      </w:pPr>
      <w:r>
        <w:t xml:space="preserve">7. Tables to produce</w:t>
      </w:r>
    </w:p>
    <w:p>
      <w:pPr>
        <w:spacing w:after="140" w:line="288"/>
      </w:pPr>
      <w:r>
        <w:rPr>
          <w:b/>
          <w:bCs/>
          <w:sz w:val="21"/>
          <w:szCs w:val="21"/>
        </w:rPr>
        <w:t xml:space="preserve">7.1  </w:t>
      </w:r>
      <w:r>
        <w:rPr>
          <w:b/>
          <w:bCs/>
          <w:color w:val="1F3A5F"/>
          <w:sz w:val="21"/>
          <w:szCs w:val="21"/>
        </w:rPr>
        <w:t xml:space="preserve">Apply directly. </w:t>
      </w:r>
      <w:r>
        <w:rPr>
          <w:sz w:val="21"/>
          <w:szCs w:val="21"/>
        </w:rPr>
        <w:t xml:space="preserve">Rebuild Table 1 from the coding sheet after the reclassifications above. Two cells are currently empty and the counts disagree with the appendix table.</w:t>
      </w:r>
    </w:p>
    <w:p>
      <w:pPr>
        <w:spacing w:after="140" w:line="288"/>
      </w:pPr>
      <w:r>
        <w:rPr>
          <w:b/>
          <w:bCs/>
          <w:sz w:val="21"/>
          <w:szCs w:val="21"/>
        </w:rPr>
        <w:t xml:space="preserve">7.2  </w:t>
      </w:r>
      <w:r>
        <w:rPr>
          <w:b/>
          <w:bCs/>
          <w:color w:val="1F3A5F"/>
          <w:sz w:val="21"/>
          <w:szCs w:val="21"/>
        </w:rPr>
        <w:t xml:space="preserve">Apply directly. </w:t>
      </w:r>
      <w:r>
        <w:rPr>
          <w:sz w:val="21"/>
          <w:szCs w:val="21"/>
        </w:rPr>
        <w:t xml:space="preserve">A comparison of all families on fixed axes, replacing Table 3: prediction horizon, control sampling rate, reported online solve time, hardware platform, model size, availability of calibrated uncertainty, constraint handling, stability guarantee, evidence level. Where a study reports nothing, write not reported.</w:t>
      </w:r>
    </w:p>
    <w:p>
      <w:pPr>
        <w:spacing w:after="140" w:line="288"/>
      </w:pPr>
      <w:r>
        <w:rPr>
          <w:b/>
          <w:bCs/>
          <w:sz w:val="21"/>
          <w:szCs w:val="21"/>
        </w:rPr>
        <w:t xml:space="preserve">7.3  </w:t>
      </w:r>
      <w:r>
        <w:rPr>
          <w:b/>
          <w:bCs/>
          <w:color w:val="1F3A5F"/>
          <w:sz w:val="21"/>
          <w:szCs w:val="21"/>
        </w:rPr>
        <w:t xml:space="preserve">Apply directly. </w:t>
      </w:r>
      <w:r>
        <w:rPr>
          <w:sz w:val="21"/>
          <w:szCs w:val="21"/>
        </w:rPr>
        <w:t xml:space="preserve">Rebuild Table 2 as described in item 5.22.</w:t>
      </w:r>
    </w:p>
    <w:p>
      <w:pPr>
        <w:spacing w:after="140" w:line="288"/>
      </w:pPr>
      <w:r>
        <w:rPr>
          <w:b/>
          <w:bCs/>
          <w:sz w:val="21"/>
          <w:szCs w:val="21"/>
        </w:rPr>
        <w:t xml:space="preserve">7.4  </w:t>
      </w:r>
      <w:r>
        <w:rPr>
          <w:b/>
          <w:bCs/>
          <w:color w:val="1F3A5F"/>
          <w:sz w:val="21"/>
          <w:szCs w:val="21"/>
        </w:rPr>
        <w:t xml:space="preserve">Apply directly. </w:t>
      </w:r>
      <w:r>
        <w:rPr>
          <w:sz w:val="21"/>
          <w:szCs w:val="21"/>
        </w:rPr>
        <w:t xml:space="preserve">A table of prior reviews, with columns for scope, turbine level coverage, farm level coverage, closed-loop criterion, real-time criterion and year.</w:t>
      </w:r>
    </w:p>
    <w:p>
      <w:pPr>
        <w:spacing w:after="140" w:line="288"/>
      </w:pPr>
      <w:r>
        <w:rPr>
          <w:b/>
          <w:bCs/>
          <w:sz w:val="21"/>
          <w:szCs w:val="21"/>
        </w:rPr>
        <w:t xml:space="preserve">7.5  </w:t>
      </w:r>
      <w:r>
        <w:rPr>
          <w:b/>
          <w:bCs/>
          <w:color w:val="1F3A5F"/>
          <w:sz w:val="21"/>
          <w:szCs w:val="21"/>
        </w:rPr>
        <w:t xml:space="preserve">Apply directly. </w:t>
      </w:r>
      <w:r>
        <w:rPr>
          <w:sz w:val="21"/>
          <w:szCs w:val="21"/>
        </w:rPr>
        <w:t xml:space="preserve">A table of inclusion and exclusion criteria with the number of studies excluded on each, including the borderline cases decided against.</w:t>
      </w:r>
    </w:p>
    <w:p>
      <w:pPr>
        <w:spacing w:after="140" w:line="288"/>
      </w:pPr>
      <w:r>
        <w:rPr>
          <w:b/>
          <w:bCs/>
          <w:sz w:val="21"/>
          <w:szCs w:val="21"/>
        </w:rPr>
        <w:t xml:space="preserve">7.6  </w:t>
      </w:r>
      <w:r>
        <w:rPr>
          <w:b/>
          <w:bCs/>
          <w:color w:val="1F3A5F"/>
          <w:sz w:val="21"/>
          <w:szCs w:val="21"/>
        </w:rPr>
        <w:t xml:space="preserve">Apply directly. </w:t>
      </w:r>
      <w:r>
        <w:rPr>
          <w:sz w:val="21"/>
          <w:szCs w:val="21"/>
        </w:rPr>
        <w:t xml:space="preserve">Publish the per-study coding sheet as supplementary material rather than as an appendix table. The present table counts one study twice and mixes the two scales.</w:t>
      </w:r>
    </w:p>
    <w:p>
      <w:pPr>
        <w:spacing w:after="140" w:line="288"/>
      </w:pPr>
      <w:r>
        <w:rPr>
          <w:b/>
          <w:bCs/>
          <w:sz w:val="21"/>
          <w:szCs w:val="21"/>
        </w:rPr>
        <w:t xml:space="preserve">7.7  </w:t>
      </w:r>
      <w:r>
        <w:rPr>
          <w:b/>
          <w:bCs/>
          <w:color w:val="1F3A5F"/>
          <w:sz w:val="21"/>
          <w:szCs w:val="21"/>
        </w:rPr>
        <w:t xml:space="preserve">Apply directly. </w:t>
      </w:r>
      <w:r>
        <w:rPr>
          <w:sz w:val="21"/>
          <w:szCs w:val="21"/>
        </w:rPr>
        <w:t xml:space="preserve">Keep an internal verification record, not for publication: reference key, digital object identifier, whether the source was checked, and where in the source the support for the attached claim is located.</w:t>
      </w:r>
    </w:p>
    <w:p>
      <w:pPr>
        <w:pStyle w:val="Heading1"/>
        <w:spacing w:after="160" w:before="340"/>
      </w:pPr>
      <w:r>
        <w:t xml:space="preserve">8. Language pass, to be done last</w:t>
      </w:r>
    </w:p>
    <w:p>
      <w:pPr>
        <w:pStyle w:val="ListParagraph"/>
        <w:numPr>
          <w:ilvl w:val="0"/>
          <w:numId w:val="2"/>
        </w:numPr>
        <w:spacing w:after="80" w:line="288"/>
      </w:pPr>
      <w:r>
        <w:rPr>
          <w:sz w:val="21"/>
          <w:szCs w:val="21"/>
        </w:rPr>
        <w:t xml:space="preserve">8.1 The phrase on the evidence surveyed occurs eight times. Vary or delete.</w:t>
      </w:r>
    </w:p>
    <w:p>
      <w:pPr>
        <w:pStyle w:val="ListParagraph"/>
        <w:numPr>
          <w:ilvl w:val="0"/>
          <w:numId w:val="2"/>
        </w:numPr>
        <w:spacing w:after="80" w:line="288"/>
      </w:pPr>
      <w:r>
        <w:rPr>
          <w:sz w:val="21"/>
          <w:szCs w:val="21"/>
        </w:rPr>
        <w:t xml:space="preserve">8.2 Superlative constructions such as the single most instructive finding occur at least five times. Keep at most one.</w:t>
      </w:r>
    </w:p>
    <w:p>
      <w:pPr>
        <w:pStyle w:val="ListParagraph"/>
        <w:numPr>
          <w:ilvl w:val="0"/>
          <w:numId w:val="2"/>
        </w:numPr>
        <w:spacing w:after="80" w:line="288"/>
      </w:pPr>
      <w:r>
        <w:rPr>
          <w:sz w:val="21"/>
          <w:szCs w:val="21"/>
        </w:rPr>
        <w:t xml:space="preserve">8.3 Roughly fifteen paragraphs end with a forward reference to a later section. Reduce to three or four.</w:t>
      </w:r>
    </w:p>
    <w:p>
      <w:pPr>
        <w:pStyle w:val="ListParagraph"/>
        <w:numPr>
          <w:ilvl w:val="0"/>
          <w:numId w:val="2"/>
        </w:numPr>
        <w:spacing w:after="80" w:line="288"/>
      </w:pPr>
      <w:r>
        <w:rPr>
          <w:sz w:val="21"/>
          <w:szCs w:val="21"/>
        </w:rPr>
        <w:t xml:space="preserve">8.4 Replace stock openers such as this review fills that gap, to our knowledge, and it is precisely this that has motivated.</w:t>
      </w:r>
    </w:p>
    <w:p>
      <w:pPr>
        <w:pStyle w:val="ListParagraph"/>
        <w:numPr>
          <w:ilvl w:val="0"/>
          <w:numId w:val="2"/>
        </w:numPr>
        <w:spacing w:after="80" w:line="288"/>
      </w:pPr>
      <w:r>
        <w:rPr>
          <w:sz w:val="21"/>
          <w:szCs w:val="21"/>
        </w:rPr>
        <w:t xml:space="preserve">8.5 Three-part lists are used as a default closing rhythm and dashes as the default contrast device. Break both patterns.</w:t>
      </w:r>
    </w:p>
    <w:p>
      <w:pPr>
        <w:pStyle w:val="ListParagraph"/>
        <w:numPr>
          <w:ilvl w:val="0"/>
          <w:numId w:val="2"/>
        </w:numPr>
        <w:spacing w:after="80" w:line="288"/>
      </w:pPr>
      <w:r>
        <w:rPr>
          <w:sz w:val="21"/>
          <w:szCs w:val="21"/>
        </w:rPr>
        <w:t xml:space="preserve">8.6 The five family subsections follow an identical three-move template and are of near-equal length. Vary the depth, writing at length on the families the team knows best.</w:t>
      </w:r>
    </w:p>
    <w:p>
      <w:pPr>
        <w:pStyle w:val="ListParagraph"/>
        <w:numPr>
          <w:ilvl w:val="0"/>
          <w:numId w:val="2"/>
        </w:numPr>
        <w:spacing w:after="80" w:line="288"/>
      </w:pPr>
      <w:r>
        <w:rPr>
          <w:sz w:val="21"/>
          <w:szCs w:val="21"/>
        </w:rPr>
        <w:t xml:space="preserve">8.7 Broken words in the tables may be artefacts of text extraction. Check the compiled file and the source before correcting them.</w:t>
      </w:r>
    </w:p>
    <w:p>
      <w:pPr>
        <w:pStyle w:val="Heading1"/>
        <w:spacing w:after="160" w:before="340"/>
      </w:pPr>
      <w:r>
        <w:t xml:space="preserve">9. Order of work</w:t>
      </w:r>
    </w:p>
    <w:p>
      <w:pPr>
        <w:pStyle w:val="ListParagraph"/>
        <w:numPr>
          <w:ilvl w:val="0"/>
          <w:numId w:val="2"/>
        </w:numPr>
        <w:spacing w:after="80" w:line="288"/>
      </w:pPr>
      <w:r>
        <w:rPr>
          <w:sz w:val="21"/>
          <w:szCs w:val="21"/>
        </w:rPr>
        <w:t xml:space="preserve">9.1 Items 5.7, 5.11, 5.12 and 5.16: read the sources and record what each one actually does.</w:t>
      </w:r>
    </w:p>
    <w:p>
      <w:pPr>
        <w:pStyle w:val="ListParagraph"/>
        <w:numPr>
          <w:ilvl w:val="0"/>
          <w:numId w:val="2"/>
        </w:numPr>
        <w:spacing w:after="80" w:line="288"/>
      </w:pPr>
      <w:r>
        <w:rPr>
          <w:sz w:val="21"/>
          <w:szCs w:val="21"/>
        </w:rPr>
        <w:t xml:space="preserve">9.2 Items 4.1 to 4.5: write the methodology section and build the coding sheet.</w:t>
      </w:r>
    </w:p>
    <w:p>
      <w:pPr>
        <w:pStyle w:val="ListParagraph"/>
        <w:numPr>
          <w:ilvl w:val="0"/>
          <w:numId w:val="2"/>
        </w:numPr>
        <w:spacing w:after="80" w:line="288"/>
      </w:pPr>
      <w:r>
        <w:rPr>
          <w:sz w:val="21"/>
          <w:szCs w:val="21"/>
        </w:rPr>
        <w:t xml:space="preserve">9.3 Items 5.8 to 5.14: re-code every study, then rebuild Tables 1 and 2 and the appendix table from the coding sheet.</w:t>
      </w:r>
    </w:p>
    <w:p>
      <w:pPr>
        <w:pStyle w:val="ListParagraph"/>
        <w:numPr>
          <w:ilvl w:val="0"/>
          <w:numId w:val="2"/>
        </w:numPr>
        <w:spacing w:after="80" w:line="288"/>
      </w:pPr>
      <w:r>
        <w:rPr>
          <w:sz w:val="21"/>
          <w:szCs w:val="21"/>
        </w:rPr>
        <w:t xml:space="preserve">9.4 Items 2.2, 5.5 and 5.28: reconcile the abstract, the contribution list and Section 7.2.</w:t>
      </w:r>
    </w:p>
    <w:p>
      <w:pPr>
        <w:pStyle w:val="ListParagraph"/>
        <w:numPr>
          <w:ilvl w:val="0"/>
          <w:numId w:val="2"/>
        </w:numPr>
        <w:spacing w:after="80" w:line="288"/>
      </w:pPr>
      <w:r>
        <w:rPr>
          <w:sz w:val="21"/>
          <w:szCs w:val="21"/>
        </w:rPr>
        <w:t xml:space="preserve">9.5 Sections 6 and 7 of this list: produce the figures and tables.</w:t>
      </w:r>
    </w:p>
    <w:p>
      <w:pPr>
        <w:pStyle w:val="ListParagraph"/>
        <w:numPr>
          <w:ilvl w:val="0"/>
          <w:numId w:val="2"/>
        </w:numPr>
        <w:spacing w:after="80" w:line="288"/>
      </w:pPr>
      <w:r>
        <w:rPr>
          <w:sz w:val="21"/>
          <w:szCs w:val="21"/>
        </w:rPr>
        <w:t xml:space="preserve">9.6 Section 3 of this list: apply the structural deletions and heading changes.</w:t>
      </w:r>
    </w:p>
    <w:p>
      <w:pPr>
        <w:pStyle w:val="ListParagraph"/>
        <w:numPr>
          <w:ilvl w:val="0"/>
          <w:numId w:val="2"/>
        </w:numPr>
        <w:spacing w:after="80" w:line="288"/>
      </w:pPr>
      <w:r>
        <w:rPr>
          <w:sz w:val="21"/>
          <w:szCs w:val="21"/>
        </w:rPr>
        <w:t xml:space="preserve">9.7 Items 5.2, 5.15 and 2.4: correct the bibliography, the front matter and the declarations.</w:t>
      </w:r>
    </w:p>
    <w:p>
      <w:pPr>
        <w:pStyle w:val="ListParagraph"/>
        <w:numPr>
          <w:ilvl w:val="0"/>
          <w:numId w:val="2"/>
        </w:numPr>
        <w:spacing w:after="80" w:line="288"/>
      </w:pPr>
      <w:r>
        <w:rPr>
          <w:sz w:val="21"/>
          <w:szCs w:val="21"/>
        </w:rPr>
        <w:t xml:space="preserve">9.8 Section 8 of this list: the language pass.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A5F"/>
      <w:sz w:val="26"/>
      <w:szCs w:val="26"/>
    </w:rPr>
  </w:style>
  <w:style w:type="paragraph" w:styleId="Heading2">
    <w:name w:val="Heading 2"/>
    <w:basedOn w:val="Normal"/>
    <w:next w:val="Normal"/>
    <w:qFormat/>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2026-08-10T10:52:02.156Z</dcterms:created>
  <dcterms:modified xsi:type="dcterms:W3CDTF">2026-08-10T10:52:02.172Z</dcterms:modified>
</cp:coreProperties>
</file>

<file path=docProps/custom.xml><?xml version="1.0" encoding="utf-8"?>
<Properties xmlns="http://schemas.openxmlformats.org/officeDocument/2006/custom-properties" xmlns:vt="http://schemas.openxmlformats.org/officeDocument/2006/docPropsVTypes"/>
</file>