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23446" w14:textId="77777777" w:rsidR="006D5F45" w:rsidRDefault="00E07220">
      <w:pPr>
        <w:spacing w:after="60"/>
      </w:pPr>
      <w:r>
        <w:rPr>
          <w:b/>
          <w:bCs/>
          <w:sz w:val="32"/>
          <w:szCs w:val="32"/>
        </w:rPr>
        <w:t>Referee Report and Revision Guide</w:t>
      </w:r>
    </w:p>
    <w:p w14:paraId="22D23447" w14:textId="77777777" w:rsidR="006D5F45" w:rsidRDefault="00E07220">
      <w:pPr>
        <w:spacing w:after="140" w:line="288" w:lineRule="auto"/>
      </w:pPr>
      <w:r>
        <w:rPr>
          <w:i/>
          <w:iCs/>
          <w:sz w:val="22"/>
          <w:szCs w:val="22"/>
        </w:rPr>
        <w:t>Comparative Study of Machine Learning Surrogates for Nonlinear Model Predictive Control of Wind Turbine Rotor Speed in Above-Rated Operation.</w:t>
      </w:r>
    </w:p>
    <w:p w14:paraId="22D23448" w14:textId="77777777" w:rsidR="006D5F45" w:rsidRDefault="00E07220">
      <w:pPr>
        <w:spacing w:after="260" w:line="288" w:lineRule="auto"/>
      </w:pPr>
      <w:r>
        <w:rPr>
          <w:color w:val="555555"/>
          <w:sz w:val="19"/>
          <w:szCs w:val="19"/>
        </w:rPr>
        <w:t>Reviewed as a submission to an IEEE control journal or an Elsevier energy journal. 8 August 2026.</w:t>
      </w:r>
    </w:p>
    <w:p w14:paraId="22D23449" w14:textId="77777777" w:rsidR="006D5F45" w:rsidRDefault="00E07220">
      <w:pPr>
        <w:pStyle w:val="Heading1"/>
        <w:spacing w:before="340" w:after="160"/>
      </w:pPr>
      <w:r>
        <w:t>1. Verdict</w:t>
      </w:r>
    </w:p>
    <w:p w14:paraId="22D2344A" w14:textId="77777777" w:rsidR="006D5F45" w:rsidRDefault="00E07220">
      <w:pPr>
        <w:spacing w:after="140" w:line="288" w:lineRule="auto"/>
      </w:pPr>
      <w:r>
        <w:t>Major</w:t>
      </w:r>
      <w:r>
        <w:t xml:space="preserve"> revision. This is real work. Unlike the companion review manuscript, the paper is built on experiments that were actually run, it reports negative results, it documents its own errors, and the appendix gives enough implementation detail for another group </w:t>
      </w:r>
      <w:r>
        <w:t>to reproduce it. The central finding, that an apparent architectural incompatibility between deep learning surrogates and the sequential quadratic programming solver is in fact per-call overhead in the prediction function, and that a verified manual forwar</w:t>
      </w:r>
      <w:r>
        <w:t>d pass removes it, is publishable and useful. It should become the paper.</w:t>
      </w:r>
    </w:p>
    <w:p w14:paraId="22D2344B" w14:textId="77777777" w:rsidR="006D5F45" w:rsidRDefault="00E07220">
      <w:pPr>
        <w:spacing w:after="140" w:line="288" w:lineRule="auto"/>
      </w:pPr>
      <w:r>
        <w:t>Four problems stand between the present draft and acceptance, in order of severity.</w:t>
      </w:r>
    </w:p>
    <w:p w14:paraId="22D2344C" w14:textId="77777777" w:rsidR="006D5F45" w:rsidRDefault="00E07220">
      <w:pPr>
        <w:pStyle w:val="ListParagraph"/>
        <w:numPr>
          <w:ilvl w:val="0"/>
          <w:numId w:val="2"/>
        </w:numPr>
        <w:spacing w:after="80" w:line="288" w:lineRule="auto"/>
      </w:pPr>
      <w:r>
        <w:t>1.1 The paper tells two contradictory stories and never reconciles them.</w:t>
      </w:r>
    </w:p>
    <w:p w14:paraId="22D2344D" w14:textId="77777777" w:rsidR="006D5F45" w:rsidRDefault="00E07220">
      <w:pPr>
        <w:pStyle w:val="ListParagraph"/>
        <w:numPr>
          <w:ilvl w:val="0"/>
          <w:numId w:val="2"/>
        </w:numPr>
        <w:spacing w:after="80" w:line="288" w:lineRule="auto"/>
      </w:pPr>
      <w:r>
        <w:t>1.2 The comparison is not</w:t>
      </w:r>
      <w:r>
        <w:t xml:space="preserve"> conducted under equal conditions, although a controlled comparison is the stated contribution.</w:t>
      </w:r>
    </w:p>
    <w:p w14:paraId="22D2344E" w14:textId="77777777" w:rsidR="006D5F45" w:rsidRDefault="00E07220">
      <w:pPr>
        <w:pStyle w:val="ListParagraph"/>
        <w:numPr>
          <w:ilvl w:val="0"/>
          <w:numId w:val="2"/>
        </w:numPr>
        <w:spacing w:after="80" w:line="288" w:lineRule="auto"/>
      </w:pPr>
      <w:r>
        <w:t>1.3 The headline Gaussian process result is most probably the degenerate failure that the authors themselves diagnose elsewhere in the paper.</w:t>
      </w:r>
    </w:p>
    <w:p w14:paraId="22D2344F" w14:textId="77777777" w:rsidR="006D5F45" w:rsidRDefault="00E07220">
      <w:pPr>
        <w:pStyle w:val="ListParagraph"/>
        <w:numPr>
          <w:ilvl w:val="0"/>
          <w:numId w:val="2"/>
        </w:numPr>
        <w:spacing w:after="80" w:line="288" w:lineRule="auto"/>
      </w:pPr>
      <w:r>
        <w:t>1.4 Sixteen report</w:t>
      </w:r>
      <w:r>
        <w:t>ed quantities contradict each other or the reference turbine definition.</w:t>
      </w:r>
    </w:p>
    <w:p w14:paraId="22D23450" w14:textId="77777777" w:rsidR="006D5F45" w:rsidRDefault="00E07220">
      <w:pPr>
        <w:spacing w:after="140" w:line="288" w:lineRule="auto"/>
      </w:pPr>
      <w:r>
        <w:t>None of these is fatal to the underlying work, and all of them are fatal to the present draft.</w:t>
      </w:r>
    </w:p>
    <w:p w14:paraId="22D23451" w14:textId="77777777" w:rsidR="006D5F45" w:rsidRDefault="00E07220">
      <w:pPr>
        <w:pStyle w:val="Heading1"/>
        <w:spacing w:before="340" w:after="160"/>
      </w:pPr>
      <w:r>
        <w:t>2. What is sound and should be protected</w:t>
      </w:r>
    </w:p>
    <w:p w14:paraId="22D23452" w14:textId="77777777" w:rsidR="006D5F45" w:rsidRDefault="00E07220">
      <w:pPr>
        <w:pStyle w:val="ListParagraph"/>
        <w:numPr>
          <w:ilvl w:val="0"/>
          <w:numId w:val="2"/>
        </w:numPr>
        <w:spacing w:after="80" w:line="288" w:lineRule="auto"/>
      </w:pPr>
      <w:r>
        <w:t xml:space="preserve">2.1 The five-stage diagnostic, reported in the </w:t>
      </w:r>
      <w:r>
        <w:t>order in which it was conducted and including the hypotheses that were ruled out, is the best written passage in either manuscript. Negative results reported as negative results are what reviewers trust.</w:t>
      </w:r>
    </w:p>
    <w:p w14:paraId="22D23453" w14:textId="77777777" w:rsidR="006D5F45" w:rsidRDefault="00E07220">
      <w:pPr>
        <w:pStyle w:val="ListParagraph"/>
        <w:numPr>
          <w:ilvl w:val="0"/>
          <w:numId w:val="2"/>
        </w:numPr>
        <w:spacing w:after="80" w:line="288" w:lineRule="auto"/>
      </w:pPr>
      <w:r>
        <w:t xml:space="preserve">2.2 The initial condition error reported in Section </w:t>
      </w:r>
      <w:r>
        <w:t xml:space="preserve">6.4, where five architecturally unrelated controllers returned identical metrics to four decimal places and this was </w:t>
      </w:r>
      <w:proofErr w:type="spellStart"/>
      <w:r>
        <w:t>recognised</w:t>
      </w:r>
      <w:proofErr w:type="spellEnd"/>
      <w:r>
        <w:t xml:space="preserve"> as the signature of a shared failure rather than a coincidence, is a genuinely instructive methodological contribution and is re</w:t>
      </w:r>
      <w:r>
        <w:t>usable by anyone running comparative closed-loop studies.</w:t>
      </w:r>
    </w:p>
    <w:p w14:paraId="22D23454" w14:textId="77777777" w:rsidR="006D5F45" w:rsidRDefault="00E07220">
      <w:pPr>
        <w:pStyle w:val="ListParagraph"/>
        <w:numPr>
          <w:ilvl w:val="0"/>
          <w:numId w:val="2"/>
        </w:numPr>
        <w:spacing w:after="80" w:line="288" w:lineRule="auto"/>
      </w:pPr>
      <w:r>
        <w:t>2.3 The generator torque switching trap is a real finding, correctly framed as a precondition for valid training data rather than as an implementation detail.</w:t>
      </w:r>
    </w:p>
    <w:p w14:paraId="22D23455" w14:textId="77777777" w:rsidR="006D5F45" w:rsidRDefault="00E07220">
      <w:pPr>
        <w:pStyle w:val="ListParagraph"/>
        <w:numPr>
          <w:ilvl w:val="0"/>
          <w:numId w:val="2"/>
        </w:numPr>
        <w:spacing w:after="80" w:line="288" w:lineRule="auto"/>
      </w:pPr>
      <w:r>
        <w:t>2.4 The appendix gives extraction and f</w:t>
      </w:r>
      <w:r>
        <w:t>orward-pass formulas for every architecture together with verification tolerances. This is what makes the paper reproducible and it is unusual to see.</w:t>
      </w:r>
    </w:p>
    <w:p w14:paraId="22D23456" w14:textId="77777777" w:rsidR="006D5F45" w:rsidRDefault="00E07220">
      <w:pPr>
        <w:pStyle w:val="ListParagraph"/>
        <w:numPr>
          <w:ilvl w:val="0"/>
          <w:numId w:val="2"/>
        </w:numPr>
        <w:spacing w:after="80" w:line="288" w:lineRule="auto"/>
      </w:pPr>
      <w:r>
        <w:t>2.5 The distinction drawn in Section 7.1 between functional divergence and computational infeasibility as</w:t>
      </w:r>
      <w:r>
        <w:t xml:space="preserve"> two different closed-loop failure modes is the best conceptual contribution of the paper and deserves more prominence than it currently has.</w:t>
      </w:r>
    </w:p>
    <w:p w14:paraId="22D23457" w14:textId="77777777" w:rsidR="006D5F45" w:rsidRDefault="00E07220">
      <w:pPr>
        <w:pStyle w:val="ListParagraph"/>
        <w:numPr>
          <w:ilvl w:val="0"/>
          <w:numId w:val="2"/>
        </w:numPr>
        <w:spacing w:after="80" w:line="288" w:lineRule="auto"/>
      </w:pPr>
      <w:r>
        <w:t>2.6 On the question of machine assistance in the writing: the register shows it, in the enumerated openers that be</w:t>
      </w:r>
      <w:r>
        <w:t>gin nearly every section and in the repeated appeal to the authors knowledge, but the substance could not have been generated. The disorder in the numbers is the disorder of real runs. The remedy is proofreading and reconciliation rather than rewriting.</w:t>
      </w:r>
    </w:p>
    <w:p w14:paraId="22D23458" w14:textId="77777777" w:rsidR="006D5F45" w:rsidRDefault="00E07220">
      <w:pPr>
        <w:pStyle w:val="Heading1"/>
        <w:spacing w:before="340" w:after="160"/>
      </w:pPr>
      <w:r>
        <w:lastRenderedPageBreak/>
        <w:t>3.</w:t>
      </w:r>
      <w:r>
        <w:t xml:space="preserve"> Findings requiring resolution</w:t>
      </w:r>
    </w:p>
    <w:p w14:paraId="22D23459" w14:textId="77777777" w:rsidR="006D5F45" w:rsidRDefault="00E07220">
      <w:pPr>
        <w:spacing w:after="140" w:line="288" w:lineRule="auto"/>
      </w:pPr>
      <w:r>
        <w:rPr>
          <w:b/>
          <w:bCs/>
        </w:rPr>
        <w:t xml:space="preserve">3.1 Two incompatible narratives. </w:t>
      </w:r>
      <w:r>
        <w:t>The second contribution and the opening of Section 6.2 claim a hard incompatibility between deep learning surrogates and the solver, caused by non-deterministic just-in-time recompilation. The</w:t>
      </w:r>
      <w:r>
        <w:t xml:space="preserve"> abstract, the later stages of Section 5.4, Section 6.4 and Section 7.1 demonstrate that no such incompatibility exists, and Section 6.4 then runs closed-loop simulations with the three surrogates that Section 6.2 declares unusable. Both statements survive</w:t>
      </w:r>
      <w:r>
        <w:t xml:space="preserve"> in the submitted text. Rewrite the second contribution as the diagnostic that it became, rewrite the opening of Section 6.2 to state that those runs preceded the diagnostic, and restructure the paper around the diagnostic.</w:t>
      </w:r>
    </w:p>
    <w:p w14:paraId="22D2345A" w14:textId="77777777" w:rsidR="006D5F45" w:rsidRDefault="00E07220">
      <w:pPr>
        <w:spacing w:after="140" w:line="288" w:lineRule="auto"/>
      </w:pPr>
      <w:r>
        <w:rPr>
          <w:b/>
          <w:bCs/>
        </w:rPr>
        <w:t>3.2 The mechanism is asserted ra</w:t>
      </w:r>
      <w:r>
        <w:rPr>
          <w:b/>
          <w:bCs/>
        </w:rPr>
        <w:t xml:space="preserve">ther than measured. </w:t>
      </w:r>
      <w:r>
        <w:t>Just-in-time recompilation is named as the cause but is never tested. The diagnostic establishes that the prediction function is the common factor and that removing it removes the cost; it does not establish why that function is expensi</w:t>
      </w:r>
      <w:r>
        <w:t xml:space="preserve">ve. Input validation and type dispatch, construction and teardown of the data object at every call, and single to double precision conversion are equally plausible. One experiment settles it: time the same trained network with an identical input repeated, </w:t>
      </w:r>
      <w:r>
        <w:t xml:space="preserve">with </w:t>
      </w:r>
      <w:proofErr w:type="spellStart"/>
      <w:r>
        <w:t>randomised</w:t>
      </w:r>
      <w:proofErr w:type="spellEnd"/>
      <w:r>
        <w:t xml:space="preserve"> inputs, through the batch prediction interface, with a pre-constructed input object, and through the manual forward pass. If the first two are equal, recompilation is not the mechanism. Report the table and name only the mechanism that can </w:t>
      </w:r>
      <w:r>
        <w:t>be defended; per-call overhead with the mechanism not isolated is still a publishable finding.</w:t>
      </w:r>
    </w:p>
    <w:p w14:paraId="22D2345B" w14:textId="77777777" w:rsidR="006D5F45" w:rsidRDefault="00E07220">
      <w:pPr>
        <w:spacing w:after="140" w:line="288" w:lineRule="auto"/>
      </w:pPr>
      <w:r>
        <w:rPr>
          <w:b/>
          <w:bCs/>
        </w:rPr>
        <w:t xml:space="preserve">3.3 Zero pitch activity is a frozen actuator, not a result. </w:t>
      </w:r>
      <w:r>
        <w:t>In above-rated operation with turbulent wind, collective pitch is the only actuator available for spe</w:t>
      </w:r>
      <w:r>
        <w:t>ed regulation. A controller reporting zero cumulative pitch activity over 120 seconds is not regulating; it is running open loop with a constant demand. The explanation offered, that the uncertainty penalty holds the pitch constant while the uncertainty te</w:t>
      </w:r>
      <w:r>
        <w:t>rm shapes the trajectory, is not physically meaningful, since a cost term cannot shape a trajectory when the only decision variable never changes. This is the same signature that Section 6.4 correctly diagnoses. Plot the pitch trace and the per-step solver</w:t>
      </w:r>
      <w:r>
        <w:t xml:space="preserve"> exit flag for that controller and check whether the problem was feasible at any step. If the command is frozen, the fourth contribution and the corresponding sentence in the abstract must be withdrawn and the controller re-run.</w:t>
      </w:r>
    </w:p>
    <w:p w14:paraId="22D2345C" w14:textId="77777777" w:rsidR="006D5F45" w:rsidRDefault="00E07220">
      <w:pPr>
        <w:spacing w:after="140" w:line="288" w:lineRule="auto"/>
      </w:pPr>
      <w:r>
        <w:rPr>
          <w:b/>
          <w:bCs/>
        </w:rPr>
        <w:t>3.4 Two Gaussian process ro</w:t>
      </w:r>
      <w:r>
        <w:rPr>
          <w:b/>
          <w:bCs/>
        </w:rPr>
        <w:t xml:space="preserve">ws are numerically identical. </w:t>
      </w:r>
      <w:r>
        <w:t>The closed-loop results for the improved Gaussian process controller match those of the earlier version to four decimal places across four different metrics, for two models with different kernels and different hyperparameters.</w:t>
      </w:r>
      <w:r>
        <w:t xml:space="preserve"> Section 6.3 reads this as evidence that the cost structure dominates the surrogate. By the standard the authors set for themselves in Section 6.4, the far more likely explanation is that the row was copied, or produced by a run that loaded the earlier mod</w:t>
      </w:r>
      <w:r>
        <w:t>el. Re-run from a clean workspace with an explicit assertion on the kernel type of the loaded model. Until then the conclusion drawn in Section 6.3 is unsupported.</w:t>
      </w:r>
    </w:p>
    <w:p w14:paraId="22D2345D" w14:textId="77777777" w:rsidR="006D5F45" w:rsidRDefault="00E07220">
      <w:pPr>
        <w:spacing w:after="140" w:line="288" w:lineRule="auto"/>
      </w:pPr>
      <w:r>
        <w:rPr>
          <w:b/>
          <w:bCs/>
        </w:rPr>
        <w:t xml:space="preserve">3.5 The comparison is not conducted under equal conditions. </w:t>
      </w:r>
      <w:r>
        <w:t>The stated gap is a comparison w</w:t>
      </w:r>
      <w:r>
        <w:t>ithin a single framework, on the same plant, under the same solver. In practice the rotor speed constraint set differs between the physical baseline and the surrogate controllers, the Gaussian process controller uses a different cost function, the predicti</w:t>
      </w:r>
      <w:r>
        <w:t>on and control horizons are stated three different ways in three places, the simulation window is 120 seconds in one set of results and 60 seconds in another, the initial condition changes partway through, and the Gaussian process active set differs betwee</w:t>
      </w:r>
      <w:r>
        <w:t>n the accuracy results and the closed-loop results. One authoritative protocol must be defined and every controller re-run under it, with the uncertainty term treated as an explicit ablation against the same base cost. This is the largest single block of w</w:t>
      </w:r>
      <w:r>
        <w:t>ork in the revision and it is unavoidable.</w:t>
      </w:r>
    </w:p>
    <w:p w14:paraId="22D2345E" w14:textId="77777777" w:rsidR="006D5F45" w:rsidRDefault="00E07220">
      <w:pPr>
        <w:spacing w:after="140" w:line="288" w:lineRule="auto"/>
      </w:pPr>
      <w:r>
        <w:rPr>
          <w:b/>
          <w:bCs/>
        </w:rPr>
        <w:lastRenderedPageBreak/>
        <w:t xml:space="preserve">3.6 Every reported solve terminates without convergence. </w:t>
      </w:r>
      <w:r>
        <w:t>The third stage of the diagnostic reports a non-positive exit flag at every simulation step for every controller, including the physical baseline, and the a</w:t>
      </w:r>
      <w:r>
        <w:t>ppendix confirms that this is expected under the chosen iteration limit. Every number in the results therefore comes from a solver that reached its iteration cap without satisfying its optimality tolerance. This is a defensible engineering choice, but it c</w:t>
      </w:r>
      <w:r>
        <w:t>hanges what the comparison measures: not which surrogate yields the best solution, but which surrogate makes the most progress within thirty iterations. The second question is arguably the more interesting one, but it must be the one that is claimed. Add a</w:t>
      </w:r>
      <w:r>
        <w:t xml:space="preserve"> sensitivity study over the iteration limit for the baseline and two surrogates, and state the non-convergence where the results are presented rather than only in an appendix note.</w:t>
      </w:r>
    </w:p>
    <w:p w14:paraId="22D2345F" w14:textId="77777777" w:rsidR="006D5F45" w:rsidRDefault="00E07220">
      <w:pPr>
        <w:spacing w:after="140" w:line="288" w:lineRule="auto"/>
      </w:pPr>
      <w:r>
        <w:rPr>
          <w:b/>
          <w:bCs/>
        </w:rPr>
        <w:t xml:space="preserve">3.7 There is no classical baseline. </w:t>
      </w:r>
      <w:r>
        <w:t>The introduction motivates predictive control against gain-scheduled proportional-integral pitch control, and no such controller appears anywhere in the results. The controller called the baseline is predictive control with the true plant model, which is a</w:t>
      </w:r>
      <w:r>
        <w:t>n upper bound on predictive control rather than the industrial reference. This matters because the absolute performance reported is poor by turbine control standards: a tracking error of one to two and a half revolutions per minute against a setpoint of tw</w:t>
      </w:r>
      <w:r>
        <w:t>elve is an error of eight to twenty per cent, and the figures show the rotor falling to eight or nine revolutions per minute at a mean wind speed of fourteen metres per second, which is the machine leaving above-rated operation altogether. Add a gain-sched</w:t>
      </w:r>
      <w:r>
        <w:t>uled controller, or the reference open-source controller for this turbine, to every table. If the predictive controllers do not beat it, that is worth reporting honestly and does not damage the actual contribution.</w:t>
      </w:r>
    </w:p>
    <w:p w14:paraId="22D23460" w14:textId="77777777" w:rsidR="006D5F45" w:rsidRDefault="00E07220">
      <w:pPr>
        <w:spacing w:after="140" w:line="288" w:lineRule="auto"/>
      </w:pPr>
      <w:r>
        <w:rPr>
          <w:b/>
          <w:bCs/>
        </w:rPr>
        <w:t>3.8 The generality of the finding is unte</w:t>
      </w:r>
      <w:r>
        <w:rPr>
          <w:b/>
          <w:bCs/>
        </w:rPr>
        <w:t xml:space="preserve">sted. </w:t>
      </w:r>
      <w:r>
        <w:t>The result concerns one function in one toolbox in one software version, and as written it reads as a workaround, which limits the venues that will accept it. Either replicate the core measurement in a second toolchain, which converts a toolbox speci</w:t>
      </w:r>
      <w:r>
        <w:t xml:space="preserve">fic observation into a general statement about calling learned models from inside </w:t>
      </w:r>
      <w:proofErr w:type="spellStart"/>
      <w:r>
        <w:t>optimisation</w:t>
      </w:r>
      <w:proofErr w:type="spellEnd"/>
      <w:r>
        <w:t xml:space="preserve"> solvers, or state the limitation explicitly in the abstract and in the title. The first option roughly doubles the reach of the paper for about a week of work.</w:t>
      </w:r>
    </w:p>
    <w:p w14:paraId="22D23461" w14:textId="77777777" w:rsidR="006D5F45" w:rsidRDefault="00E07220">
      <w:pPr>
        <w:pStyle w:val="Heading1"/>
        <w:spacing w:before="340" w:after="160"/>
      </w:pPr>
      <w:r>
        <w:t>4</w:t>
      </w:r>
      <w:r>
        <w:t>. Numerical and internal consistency checks</w:t>
      </w:r>
    </w:p>
    <w:p w14:paraId="22D23462" w14:textId="77777777" w:rsidR="006D5F45" w:rsidRDefault="00E07220">
      <w:pPr>
        <w:spacing w:after="140" w:line="288" w:lineRule="auto"/>
      </w:pPr>
      <w:r>
        <w:t>Each item gives the location, what is written, and what should be done. The first four are checked against the reference turbine definition report.</w:t>
      </w:r>
    </w:p>
    <w:p w14:paraId="22D23463" w14:textId="77777777" w:rsidR="006D5F45" w:rsidRDefault="00E07220">
      <w:pPr>
        <w:pStyle w:val="ListParagraph"/>
        <w:numPr>
          <w:ilvl w:val="0"/>
          <w:numId w:val="2"/>
        </w:numPr>
        <w:spacing w:after="80" w:line="288" w:lineRule="auto"/>
      </w:pPr>
      <w:r>
        <w:t xml:space="preserve">4.1 Rated generator torque. Table 1 and Section 2.1 give 40,680 </w:t>
      </w:r>
      <w:r>
        <w:t>newton metres, obtained by dividing rated power by rated speed and gear ratio. The reference definition gives 43,093.55 newton metres, because rated electric power of 5 megawatts at a generator efficiency of 94.4 per cent corresponds to 5.2966 megawatts of</w:t>
      </w:r>
      <w:r>
        <w:t xml:space="preserve"> mechanical power. The value used is 5.6 per cent low. Either adopt the reference value or state explicitly that the plant is a variant rated at 5 megawatts mechanical. This propagates into the torque law and into item 4.4.</w:t>
      </w:r>
    </w:p>
    <w:p w14:paraId="22D23464" w14:textId="77777777" w:rsidR="006D5F45" w:rsidRDefault="00E07220">
      <w:pPr>
        <w:pStyle w:val="ListParagraph"/>
        <w:numPr>
          <w:ilvl w:val="0"/>
          <w:numId w:val="2"/>
        </w:numPr>
        <w:spacing w:after="80" w:line="288" w:lineRule="auto"/>
      </w:pPr>
      <w:r>
        <w:t>4.2 Region two gain. Section 2.3</w:t>
      </w:r>
      <w:r>
        <w:t xml:space="preserve"> gives 2.5106 million newton </w:t>
      </w:r>
      <w:proofErr w:type="spellStart"/>
      <w:r>
        <w:t>metre</w:t>
      </w:r>
      <w:proofErr w:type="spellEnd"/>
      <w:r>
        <w:t xml:space="preserve"> seconds squared, referred to the </w:t>
      </w:r>
      <w:proofErr w:type="gramStart"/>
      <w:r>
        <w:t>low speed</w:t>
      </w:r>
      <w:proofErr w:type="gramEnd"/>
      <w:r>
        <w:t xml:space="preserve"> shaft. The reference definition specifies 0.0255764 newton metres per squared revolution per minute on the generator side, which referred to the </w:t>
      </w:r>
      <w:proofErr w:type="gramStart"/>
      <w:r>
        <w:t>low speed</w:t>
      </w:r>
      <w:proofErr w:type="gramEnd"/>
      <w:r>
        <w:t xml:space="preserve"> shaft is 2.13 million. </w:t>
      </w:r>
      <w:r>
        <w:t>The value used is 18 per cent higher, because it is calibrated at a tip speed ratio of seven with the efficiency omitted. The deviation is defensible but must be stated and justified against the reference value rather than presented as if derived from it.</w:t>
      </w:r>
    </w:p>
    <w:p w14:paraId="22D23465" w14:textId="77777777" w:rsidR="006D5F45" w:rsidRDefault="00E07220">
      <w:pPr>
        <w:pStyle w:val="ListParagraph"/>
        <w:numPr>
          <w:ilvl w:val="0"/>
          <w:numId w:val="2"/>
        </w:numPr>
        <w:spacing w:after="80" w:line="288" w:lineRule="auto"/>
      </w:pPr>
      <w:r>
        <w:lastRenderedPageBreak/>
        <w:t>4.3 Peak power coefficient. Section 2.2 reports a maximum of 0.480 at a tip speed ratio of 8.11. The reference definition reports 0.482 at a tip speed ratio of 7.55. The coefficient agrees; the tip speed ratio does not, and it carries the argument of Secti</w:t>
      </w:r>
      <w:r>
        <w:t>on 2.3. State which polynomial was used and reconcile the difference.</w:t>
      </w:r>
    </w:p>
    <w:p w14:paraId="22D23466" w14:textId="77777777" w:rsidR="006D5F45" w:rsidRDefault="00E07220">
      <w:pPr>
        <w:pStyle w:val="ListParagraph"/>
        <w:numPr>
          <w:ilvl w:val="0"/>
          <w:numId w:val="2"/>
        </w:numPr>
        <w:spacing w:after="80" w:line="288" w:lineRule="auto"/>
      </w:pPr>
      <w:r>
        <w:t>4.4 Torque discontinuity. Section 2.3 describes a 2.1 per cent discontinuity and calls it equivalent to a single point deficit of 4,128 newton metres, or 0.105 per cent. These are not eq</w:t>
      </w:r>
      <w:r>
        <w:t>uivalent: 2.1 per cent of the Region three torque is approximately 84,800 newton metres, which is twenty times the stated deficit, and the two percentages also disagree. One of the three numbers is wrong. Recompute, and state for each quantity whether it r</w:t>
      </w:r>
      <w:r>
        <w:t xml:space="preserve">efers to the low speed or the </w:t>
      </w:r>
      <w:proofErr w:type="gramStart"/>
      <w:r>
        <w:t>high speed</w:t>
      </w:r>
      <w:proofErr w:type="gramEnd"/>
      <w:r>
        <w:t xml:space="preserve"> shaft.</w:t>
      </w:r>
    </w:p>
    <w:p w14:paraId="22D23467" w14:textId="77777777" w:rsidR="006D5F45" w:rsidRDefault="00E07220">
      <w:pPr>
        <w:pStyle w:val="ListParagraph"/>
        <w:numPr>
          <w:ilvl w:val="0"/>
          <w:numId w:val="2"/>
        </w:numPr>
        <w:spacing w:after="80" w:line="288" w:lineRule="auto"/>
      </w:pPr>
      <w:r>
        <w:t xml:space="preserve">4.5 Training domain. Table 2 gives a minimum rotor speed of 10.28 revolutions per minute in the generated dataset, while Sections 2.3 and 3.1 state a training domain beginning at 8.02 and an </w:t>
      </w:r>
      <w:proofErr w:type="spellStart"/>
      <w:r>
        <w:t>initialisation</w:t>
      </w:r>
      <w:proofErr w:type="spellEnd"/>
      <w:r>
        <w:t xml:space="preserve"> re</w:t>
      </w:r>
      <w:r>
        <w:t>aching approximately 8. The surrogate constraint bounds are derived from 8.02 with a margin of half a revolution per minute, so the lower figure is the operative one, and the table contradicts it. Determine which is correct, since the controller bounds fol</w:t>
      </w:r>
      <w:r>
        <w:t>low from it.</w:t>
      </w:r>
    </w:p>
    <w:p w14:paraId="22D23468" w14:textId="77777777" w:rsidR="006D5F45" w:rsidRDefault="00E07220">
      <w:pPr>
        <w:pStyle w:val="ListParagraph"/>
        <w:numPr>
          <w:ilvl w:val="0"/>
          <w:numId w:val="2"/>
        </w:numPr>
        <w:spacing w:after="80" w:line="288" w:lineRule="auto"/>
      </w:pPr>
      <w:r>
        <w:t>4.6 Turbulence class. Section 2.4 states turbulence class B with an intensity of 0.16. In the third edition of the design standard the reference turbulence intensity is 0.16 for class A and 0.14 for class B, and the reported standard deviation</w:t>
      </w:r>
      <w:r>
        <w:t xml:space="preserve"> of 2.24 metres per second at fourteen metres per second corresponds to 0.14. The label and the value contradict each other; verify against the standard.</w:t>
      </w:r>
    </w:p>
    <w:p w14:paraId="22D23469" w14:textId="77777777" w:rsidR="006D5F45" w:rsidRDefault="00E07220">
      <w:pPr>
        <w:pStyle w:val="ListParagraph"/>
        <w:numPr>
          <w:ilvl w:val="0"/>
          <w:numId w:val="2"/>
        </w:numPr>
        <w:spacing w:after="80" w:line="288" w:lineRule="auto"/>
      </w:pPr>
      <w:r>
        <w:t>4.7 Turbulence validation. Section 2.4 reports zero residual error between the achieved and target sta</w:t>
      </w:r>
      <w:r>
        <w:t>ndard deviation after a scaling step applied in order to match them. This is true by construction and is not a validation. Present it as a construction step and validate instead against something independent, such as the achieved spectrum compared with the</w:t>
      </w:r>
      <w:r>
        <w:t xml:space="preserve"> analytical one.</w:t>
      </w:r>
    </w:p>
    <w:p w14:paraId="22D2346A" w14:textId="77777777" w:rsidR="006D5F45" w:rsidRDefault="00E07220">
      <w:pPr>
        <w:pStyle w:val="ListParagraph"/>
        <w:numPr>
          <w:ilvl w:val="0"/>
          <w:numId w:val="2"/>
        </w:numPr>
        <w:spacing w:after="80" w:line="288" w:lineRule="auto"/>
      </w:pPr>
      <w:r>
        <w:t>4.8 Best accuracy claim. Sections 4.2.1 and 4.3 state that the improved Gaussian process achieves the best overall accuracy. On the rotor speed channel its error is worse than that of the earlier Gaussian process and worse than that of the</w:t>
      </w:r>
      <w:r>
        <w:t xml:space="preserve"> neuro-fuzzy model. It is best on the pitch channel only. Both sentences are contradicted by the authors own table and must be corrected.</w:t>
      </w:r>
    </w:p>
    <w:p w14:paraId="22D2346B" w14:textId="77777777" w:rsidR="006D5F45" w:rsidRDefault="00E07220">
      <w:pPr>
        <w:pStyle w:val="ListParagraph"/>
        <w:numPr>
          <w:ilvl w:val="0"/>
          <w:numId w:val="2"/>
        </w:numPr>
        <w:spacing w:after="80" w:line="288" w:lineRule="auto"/>
      </w:pPr>
      <w:r>
        <w:t>4.9 Direction of change. Section 6.3 describes an error rising from 0.0066 to 0.0102 as an improvement, while the pare</w:t>
      </w:r>
      <w:r>
        <w:t>nthesis in the same sentence calls it a counter-intuitive regression. Rewrite.</w:t>
      </w:r>
    </w:p>
    <w:p w14:paraId="22D2346C" w14:textId="77777777" w:rsidR="006D5F45" w:rsidRDefault="00E07220">
      <w:pPr>
        <w:pStyle w:val="ListParagraph"/>
        <w:numPr>
          <w:ilvl w:val="0"/>
          <w:numId w:val="2"/>
        </w:numPr>
        <w:spacing w:after="80" w:line="288" w:lineRule="auto"/>
      </w:pPr>
      <w:r>
        <w:t>4.10 Pitch activity sentence. Section 6.3 states that the neuro-fuzzy controller improves markedly on pitch activity, gives figures showing an increase, and then describes the change as effectively unchanged. The sentence appears to combine two drafts. Rew</w:t>
      </w:r>
      <w:r>
        <w:t>rite.</w:t>
      </w:r>
    </w:p>
    <w:p w14:paraId="22D2346D" w14:textId="77777777" w:rsidR="006D5F45" w:rsidRDefault="00E07220">
      <w:pPr>
        <w:pStyle w:val="ListParagraph"/>
        <w:numPr>
          <w:ilvl w:val="0"/>
          <w:numId w:val="2"/>
        </w:numPr>
        <w:spacing w:after="80" w:line="288" w:lineRule="auto"/>
      </w:pPr>
      <w:r>
        <w:t xml:space="preserve">4.11 Software version. The caption of Table 4 names a different software version from the one stated everywhere else in the paper. Since the second contribution explicitly claims that the effect does not depend on the version, a stray second version </w:t>
      </w:r>
      <w:r>
        <w:t xml:space="preserve">in a results caption is the first thing a </w:t>
      </w:r>
      <w:proofErr w:type="spellStart"/>
      <w:r>
        <w:t>sceptical</w:t>
      </w:r>
      <w:proofErr w:type="spellEnd"/>
      <w:r>
        <w:t xml:space="preserve"> reviewer will notice. State the version once, in a setup subsection.</w:t>
      </w:r>
    </w:p>
    <w:p w14:paraId="22D2346E" w14:textId="77777777" w:rsidR="006D5F45" w:rsidRDefault="00E07220">
      <w:pPr>
        <w:pStyle w:val="ListParagraph"/>
        <w:numPr>
          <w:ilvl w:val="0"/>
          <w:numId w:val="2"/>
        </w:numPr>
        <w:spacing w:after="80" w:line="288" w:lineRule="auto"/>
      </w:pPr>
      <w:r>
        <w:t xml:space="preserve">4.12 Conflicting timing. Three of the six architectures report manual forward-pass cost per step differing by a factor of two to three </w:t>
      </w:r>
      <w:r>
        <w:t>between Tables 5 and 8, with no stated difference in protocol, while the other three agree closely. Explain or re-run; as printed these numbers are not citable.</w:t>
      </w:r>
    </w:p>
    <w:p w14:paraId="22D2346F" w14:textId="77777777" w:rsidR="006D5F45" w:rsidRDefault="00E07220">
      <w:pPr>
        <w:pStyle w:val="ListParagraph"/>
        <w:numPr>
          <w:ilvl w:val="0"/>
          <w:numId w:val="2"/>
        </w:numPr>
        <w:spacing w:after="80" w:line="288" w:lineRule="auto"/>
      </w:pPr>
      <w:r>
        <w:t>4.13 Verification tolerance. The same quantity is quoted with three different ranges in three p</w:t>
      </w:r>
      <w:r>
        <w:t>laces. Adopt one convention and report it in a single table as maximum absolute deviation per architecture.</w:t>
      </w:r>
    </w:p>
    <w:p w14:paraId="22D23470" w14:textId="77777777" w:rsidR="006D5F45" w:rsidRDefault="00E07220">
      <w:pPr>
        <w:pStyle w:val="ListParagraph"/>
        <w:numPr>
          <w:ilvl w:val="0"/>
          <w:numId w:val="2"/>
        </w:numPr>
        <w:spacing w:after="80" w:line="288" w:lineRule="auto"/>
      </w:pPr>
      <w:r>
        <w:lastRenderedPageBreak/>
        <w:t>4.14 Horizon settings. The title of Figure 5 gives horizon settings that contradict those stated in Section 5.1, and Section 6.3 states that the set</w:t>
      </w:r>
      <w:r>
        <w:t>tings could not be confirmed. This must be resolved before any result in Section 6 can be relied upon.</w:t>
      </w:r>
    </w:p>
    <w:p w14:paraId="22D23471" w14:textId="77777777" w:rsidR="006D5F45" w:rsidRDefault="00E07220">
      <w:pPr>
        <w:pStyle w:val="ListParagraph"/>
        <w:numPr>
          <w:ilvl w:val="0"/>
          <w:numId w:val="2"/>
        </w:numPr>
        <w:spacing w:after="80" w:line="288" w:lineRule="auto"/>
      </w:pPr>
      <w:r>
        <w:t xml:space="preserve">4.15 Power metric. Tables 6 to 8 report a power error of 1.5 to 3.3 megawatts on a </w:t>
      </w:r>
      <w:proofErr w:type="gramStart"/>
      <w:r>
        <w:t>5 megawatt</w:t>
      </w:r>
      <w:proofErr w:type="gramEnd"/>
      <w:r>
        <w:t xml:space="preserve"> machine, and the corresponding figure shows power reaching </w:t>
      </w:r>
      <w:r>
        <w:t>approximately 11 megawatts. The caption confirms that this is aerodynamic rotor power computed from the power coefficient without any torque or power limit, which is why it exceeds rated. Relabel accordingly, and either remove the power error column or def</w:t>
      </w:r>
      <w:r>
        <w:t>ine what it is measured against.</w:t>
      </w:r>
    </w:p>
    <w:p w14:paraId="22D23472" w14:textId="77777777" w:rsidR="006D5F45" w:rsidRDefault="00E07220">
      <w:pPr>
        <w:pStyle w:val="ListParagraph"/>
        <w:numPr>
          <w:ilvl w:val="0"/>
          <w:numId w:val="2"/>
        </w:numPr>
        <w:spacing w:after="80" w:line="288" w:lineRule="auto"/>
      </w:pPr>
      <w:r>
        <w:t>4.16 Unresolved citation. Section 5.4 contains an unresolved citation marker where the nominal plus learned correction structure is attributed. Fill it in.</w:t>
      </w:r>
    </w:p>
    <w:p w14:paraId="22D23473" w14:textId="77777777" w:rsidR="006D5F45" w:rsidRDefault="00E07220">
      <w:pPr>
        <w:pStyle w:val="Heading1"/>
        <w:spacing w:before="340" w:after="160"/>
      </w:pPr>
      <w:r>
        <w:t>5. References</w:t>
      </w:r>
    </w:p>
    <w:p w14:paraId="22D23474" w14:textId="77777777" w:rsidR="006D5F45" w:rsidRDefault="00E07220">
      <w:pPr>
        <w:pStyle w:val="ListParagraph"/>
        <w:numPr>
          <w:ilvl w:val="0"/>
          <w:numId w:val="2"/>
        </w:numPr>
        <w:spacing w:after="80" w:line="288" w:lineRule="auto"/>
      </w:pPr>
      <w:r>
        <w:t xml:space="preserve">5.1 The reference list contains sixteen entries and, </w:t>
      </w:r>
      <w:r>
        <w:t>with three exceptions, they are real and correctly used. The exceptions are the two that carry the most argumentative weight.</w:t>
      </w:r>
    </w:p>
    <w:p w14:paraId="22D23475" w14:textId="77777777" w:rsidR="006D5F45" w:rsidRDefault="00E07220">
      <w:pPr>
        <w:pStyle w:val="ListParagraph"/>
        <w:numPr>
          <w:ilvl w:val="0"/>
          <w:numId w:val="2"/>
        </w:numPr>
        <w:spacing w:after="80" w:line="288" w:lineRule="auto"/>
      </w:pPr>
      <w:r>
        <w:t>5.2 The two papers by Klein and colleagues are described as having demonstrated a neuro-fuzzy surrogate inside an adaptive predict</w:t>
      </w:r>
      <w:r>
        <w:t xml:space="preserve">ive control framework validated on a </w:t>
      </w:r>
      <w:proofErr w:type="gramStart"/>
      <w:r>
        <w:t>full scale</w:t>
      </w:r>
      <w:proofErr w:type="gramEnd"/>
      <w:r>
        <w:t xml:space="preserve"> turbine. The 2025 journal paper is a robust linear time-varying controller combined with an extended Kalman filter and its abstract describes no learned surrogate; the 2024 item is a load estimator presented </w:t>
      </w:r>
      <w:r>
        <w:t>at a conference. Since these are named as the direct starting point of the modelling approach, the description must be exact. The same overstatement appears in the companion review manuscript.</w:t>
      </w:r>
    </w:p>
    <w:p w14:paraId="22D23476" w14:textId="77777777" w:rsidR="006D5F45" w:rsidRDefault="00E07220">
      <w:pPr>
        <w:pStyle w:val="ListParagraph"/>
        <w:numPr>
          <w:ilvl w:val="0"/>
          <w:numId w:val="2"/>
        </w:numPr>
        <w:spacing w:after="80" w:line="288" w:lineRule="auto"/>
      </w:pPr>
      <w:r>
        <w:t>5.3 The paper by Witter and colleagues is contrasted in Section</w:t>
      </w:r>
      <w:r>
        <w:t xml:space="preserve"> 7.1 with the present failure mode. The </w:t>
      </w:r>
      <w:proofErr w:type="spellStart"/>
      <w:r>
        <w:t>contrast</w:t>
      </w:r>
      <w:proofErr w:type="spellEnd"/>
      <w:r>
        <w:t xml:space="preserve"> is worth drawing but must be stated accurately: that study places a plant surrogate in a loop with the turbine own controller and contains no predictive controller. Verify also that the word divergence is su</w:t>
      </w:r>
      <w:r>
        <w:t>pported by their results.</w:t>
      </w:r>
    </w:p>
    <w:p w14:paraId="22D23477" w14:textId="77777777" w:rsidR="006D5F45" w:rsidRDefault="00E07220">
      <w:pPr>
        <w:pStyle w:val="ListParagraph"/>
        <w:numPr>
          <w:ilvl w:val="0"/>
          <w:numId w:val="2"/>
        </w:numPr>
        <w:spacing w:after="80" w:line="288" w:lineRule="auto"/>
      </w:pPr>
      <w:r>
        <w:t>5.4 The caption of Table 1 cites an internal configuration script as the source of the turbine parameters. Cite the reference definition report instead, and place the script in the data availability statement.</w:t>
      </w:r>
    </w:p>
    <w:p w14:paraId="22D23478" w14:textId="77777777" w:rsidR="006D5F45" w:rsidRDefault="00E07220">
      <w:pPr>
        <w:pStyle w:val="ListParagraph"/>
        <w:numPr>
          <w:ilvl w:val="0"/>
          <w:numId w:val="2"/>
        </w:numPr>
        <w:spacing w:after="80" w:line="288" w:lineRule="auto"/>
      </w:pPr>
      <w:r>
        <w:t>5.5 Sixteen referenc</w:t>
      </w:r>
      <w:r>
        <w:t xml:space="preserve">es </w:t>
      </w:r>
      <w:proofErr w:type="gramStart"/>
      <w:r>
        <w:t>is</w:t>
      </w:r>
      <w:proofErr w:type="gramEnd"/>
      <w:r>
        <w:t xml:space="preserve"> thin for a journal paper. Missing at minimum: explicit predictive control and its neural approximations; surrogate-in-controller studies outside wind energy; the reference controller for this turbine; and, since a first is claimed, the Gaussian proce</w:t>
      </w:r>
      <w:r>
        <w:t>ss predictive control literature in wind, including the 2025 study on floating turbines that the companion review already cites. The novelty claim in the fourth contribution must be checked against it.</w:t>
      </w:r>
    </w:p>
    <w:p w14:paraId="22D23479" w14:textId="77777777" w:rsidR="006D5F45" w:rsidRDefault="00E07220">
      <w:pPr>
        <w:pStyle w:val="ListParagraph"/>
        <w:numPr>
          <w:ilvl w:val="0"/>
          <w:numId w:val="2"/>
        </w:numPr>
        <w:spacing w:after="80" w:line="288" w:lineRule="auto"/>
      </w:pPr>
      <w:r>
        <w:t>5.6 Declare the overlap with the companion review manu</w:t>
      </w:r>
      <w:r>
        <w:t>script. Two submissions from the same team on adjacent topics, sharing references and framing, should each state what the other contains.</w:t>
      </w:r>
    </w:p>
    <w:p w14:paraId="22D2347A" w14:textId="77777777" w:rsidR="006D5F45" w:rsidRDefault="00E07220">
      <w:pPr>
        <w:pStyle w:val="Heading1"/>
        <w:spacing w:before="340" w:after="160"/>
      </w:pPr>
      <w:r>
        <w:t>6. Proposed restructuring</w:t>
      </w:r>
    </w:p>
    <w:p w14:paraId="22D2347B" w14:textId="77777777" w:rsidR="006D5F45" w:rsidRDefault="00E07220">
      <w:pPr>
        <w:spacing w:after="140" w:line="288" w:lineRule="auto"/>
      </w:pPr>
      <w:r>
        <w:t xml:space="preserve">The paper is presently </w:t>
      </w:r>
      <w:proofErr w:type="spellStart"/>
      <w:r>
        <w:t>organised</w:t>
      </w:r>
      <w:proofErr w:type="spellEnd"/>
      <w:r>
        <w:t xml:space="preserve"> as a six-architecture comparison with the diagnostic embedded in one subsection. The comparison is the weaker half: it is not conducted under equal conditions, it rests on non-converged solves, and it lacks the industrial r</w:t>
      </w:r>
      <w:r>
        <w:t>eference. The diagnostic is the stronger half and is close to submission ready. Lead with it.</w:t>
      </w:r>
    </w:p>
    <w:p w14:paraId="22D2347C" w14:textId="77777777" w:rsidR="006D5F45" w:rsidRDefault="00E07220">
      <w:pPr>
        <w:pStyle w:val="ListParagraph"/>
        <w:numPr>
          <w:ilvl w:val="0"/>
          <w:numId w:val="2"/>
        </w:numPr>
        <w:spacing w:after="80" w:line="288" w:lineRule="auto"/>
      </w:pPr>
      <w:r>
        <w:lastRenderedPageBreak/>
        <w:t>6.1 Title. Two options are proposed. Option A: "Why Machine Learning Surrogates Appear Infeasible Inside Nonlinear Model Predictive Control: A Diagnostic Study an</w:t>
      </w:r>
      <w:r>
        <w:t>d a Verified Forward-Pass Remedy for Wind Turbine Speed Regulation". Option B: "Implementation Overhead, Not Architecture: Restoring Real-Time Feasibility for Six Machine Learning Surrogates in Nonlinear Predictive Control of a Wind Turbine".</w:t>
      </w:r>
    </w:p>
    <w:p w14:paraId="22D2347D" w14:textId="77777777" w:rsidR="006D5F45" w:rsidRDefault="00E07220">
      <w:pPr>
        <w:pStyle w:val="ListParagraph"/>
        <w:numPr>
          <w:ilvl w:val="0"/>
          <w:numId w:val="2"/>
        </w:numPr>
        <w:spacing w:after="80" w:line="288" w:lineRule="auto"/>
      </w:pPr>
      <w:r>
        <w:t>6.2 Abstract.</w:t>
      </w:r>
      <w:r>
        <w:t xml:space="preserve"> Lead with the diagnostic and the remedy. Remove the </w:t>
      </w:r>
      <w:proofErr w:type="gramStart"/>
      <w:r>
        <w:t>zero pitch</w:t>
      </w:r>
      <w:proofErr w:type="gramEnd"/>
      <w:r>
        <w:t xml:space="preserve"> activity claim until item 3.3 is settled. State the two conditions under which the results hold, namely a bounded thirty iteration solver budget and one software toolchain. Give one headline t</w:t>
      </w:r>
      <w:r>
        <w:t>iming figure with its conditions attached, and name the hardware, which the paper never does.</w:t>
      </w:r>
    </w:p>
    <w:p w14:paraId="22D2347E" w14:textId="77777777" w:rsidR="006D5F45" w:rsidRDefault="00E07220">
      <w:pPr>
        <w:pStyle w:val="ListParagraph"/>
        <w:numPr>
          <w:ilvl w:val="0"/>
          <w:numId w:val="2"/>
        </w:numPr>
        <w:spacing w:after="80" w:line="288" w:lineRule="auto"/>
      </w:pPr>
      <w:r>
        <w:t>6.3 Promote the feasibility analysis from a subsection to its own top-level section. This is the paper.</w:t>
      </w:r>
    </w:p>
    <w:p w14:paraId="22D2347F" w14:textId="77777777" w:rsidR="006D5F45" w:rsidRDefault="00E07220">
      <w:pPr>
        <w:pStyle w:val="ListParagraph"/>
        <w:numPr>
          <w:ilvl w:val="0"/>
          <w:numId w:val="2"/>
        </w:numPr>
        <w:spacing w:after="80" w:line="288" w:lineRule="auto"/>
      </w:pPr>
      <w:r>
        <w:t>6.4 Add an explicit protocol subsection to the control for</w:t>
      </w:r>
      <w:r>
        <w:t>mulation section, stating the single configuration used for every controller, the solver budget and the hardware.</w:t>
      </w:r>
    </w:p>
    <w:p w14:paraId="22D23480" w14:textId="77777777" w:rsidR="006D5F45" w:rsidRDefault="00E07220">
      <w:pPr>
        <w:pStyle w:val="ListParagraph"/>
        <w:numPr>
          <w:ilvl w:val="0"/>
          <w:numId w:val="2"/>
        </w:numPr>
        <w:spacing w:after="80" w:line="288" w:lineRule="auto"/>
      </w:pPr>
      <w:r>
        <w:t xml:space="preserve">6.5 Add a plant validation subsection comparing the two-state model with the reference steady-state curves. There is at present no validation </w:t>
      </w:r>
      <w:r>
        <w:t>of the plant model against the turbine it claims to represent.</w:t>
      </w:r>
    </w:p>
    <w:p w14:paraId="22D23481" w14:textId="77777777" w:rsidR="006D5F45" w:rsidRDefault="00E07220">
      <w:pPr>
        <w:pStyle w:val="ListParagraph"/>
        <w:numPr>
          <w:ilvl w:val="0"/>
          <w:numId w:val="2"/>
        </w:numPr>
        <w:spacing w:after="80" w:line="288" w:lineRule="auto"/>
      </w:pPr>
      <w:r>
        <w:t>6.6 Report one snapshot of surrogate accuracy rather than two. The division into two model generations is an artefact of the workflow rather than a finding, and the unexplained differences betw</w:t>
      </w:r>
      <w:r>
        <w:t>een the two runs for deterministic models are currently reported and left open.</w:t>
      </w:r>
    </w:p>
    <w:p w14:paraId="22D23482" w14:textId="77777777" w:rsidR="006D5F45" w:rsidRDefault="00E07220">
      <w:pPr>
        <w:pStyle w:val="ListParagraph"/>
        <w:numPr>
          <w:ilvl w:val="0"/>
          <w:numId w:val="2"/>
        </w:numPr>
        <w:spacing w:after="80" w:line="288" w:lineRule="auto"/>
      </w:pPr>
      <w:r>
        <w:t>6.7 Reduce the closed-loop results to one authoritative protocol with the classical baseline included, and move the earlier runs to an appendix or remove them.</w:t>
      </w:r>
    </w:p>
    <w:p w14:paraId="22D23483" w14:textId="77777777" w:rsidR="006D5F45" w:rsidRDefault="00E07220">
      <w:pPr>
        <w:pStyle w:val="ListParagraph"/>
        <w:numPr>
          <w:ilvl w:val="0"/>
          <w:numId w:val="2"/>
        </w:numPr>
        <w:spacing w:after="80" w:line="288" w:lineRule="auto"/>
      </w:pPr>
      <w:r>
        <w:t xml:space="preserve">6.8 Add a </w:t>
      </w:r>
      <w:proofErr w:type="gramStart"/>
      <w:r>
        <w:t>threat</w:t>
      </w:r>
      <w:r>
        <w:t>s</w:t>
      </w:r>
      <w:proofErr w:type="gramEnd"/>
      <w:r>
        <w:t xml:space="preserve"> to validity section covering non-convergence, the single toolchain, the two-state plant, the five seed sample and the absence of significance testing.</w:t>
      </w:r>
    </w:p>
    <w:p w14:paraId="22D23484" w14:textId="77777777" w:rsidR="006D5F45" w:rsidRDefault="00E07220">
      <w:pPr>
        <w:pStyle w:val="Heading1"/>
        <w:spacing w:before="340" w:after="160"/>
      </w:pPr>
      <w:r>
        <w:t>7. Figures and tables to add</w:t>
      </w:r>
    </w:p>
    <w:p w14:paraId="22D23485" w14:textId="77777777" w:rsidR="006D5F45" w:rsidRDefault="00E07220">
      <w:pPr>
        <w:pStyle w:val="ListParagraph"/>
        <w:numPr>
          <w:ilvl w:val="0"/>
          <w:numId w:val="2"/>
        </w:numPr>
        <w:spacing w:after="80" w:line="288" w:lineRule="auto"/>
      </w:pPr>
      <w:r>
        <w:t>7.1 A table of prior surrogate-in-controller studies, with columns for fam</w:t>
      </w:r>
      <w:r>
        <w:t>ily, plant, solver, whether closed-loop validation was reached, whether computational cost was reported, and the scope of comparison. This is the gap argument and it replaces the appeals to the authors knowledge.</w:t>
      </w:r>
    </w:p>
    <w:p w14:paraId="22D23486" w14:textId="77777777" w:rsidR="006D5F45" w:rsidRDefault="00E07220">
      <w:pPr>
        <w:pStyle w:val="ListParagraph"/>
        <w:numPr>
          <w:ilvl w:val="0"/>
          <w:numId w:val="2"/>
        </w:numPr>
        <w:spacing w:after="80" w:line="288" w:lineRule="auto"/>
      </w:pPr>
      <w:r>
        <w:t>7.2 A protocol table fixing every setting u</w:t>
      </w:r>
      <w:r>
        <w:t>sed in the authoritative comparison: horizons, sampling time, cost weights, constraint sets, window, initial condition, seeds, solver options, hardware and software version. Its existence is the answer to item 3.5.</w:t>
      </w:r>
    </w:p>
    <w:p w14:paraId="22D23487" w14:textId="77777777" w:rsidR="006D5F45" w:rsidRDefault="00E07220">
      <w:pPr>
        <w:pStyle w:val="ListParagraph"/>
        <w:numPr>
          <w:ilvl w:val="0"/>
          <w:numId w:val="2"/>
        </w:numPr>
        <w:spacing w:after="80" w:line="288" w:lineRule="auto"/>
      </w:pPr>
      <w:r>
        <w:t>7.3 A small table reporting the five timi</w:t>
      </w:r>
      <w:r>
        <w:t>ng variants described in item 3.2. Short and decisive.</w:t>
      </w:r>
    </w:p>
    <w:p w14:paraId="22D23488" w14:textId="77777777" w:rsidR="006D5F45" w:rsidRDefault="00E07220">
      <w:pPr>
        <w:pStyle w:val="ListParagraph"/>
        <w:numPr>
          <w:ilvl w:val="0"/>
          <w:numId w:val="2"/>
        </w:numPr>
        <w:spacing w:after="80" w:line="288" w:lineRule="auto"/>
      </w:pPr>
      <w:r>
        <w:t>7.4 A verification table giving, for each architecture, the maximum absolute deviation from the library implementation, the number of test points and the arithmetic precision used.</w:t>
      </w:r>
    </w:p>
    <w:p w14:paraId="22D23489" w14:textId="77777777" w:rsidR="006D5F45" w:rsidRDefault="00E07220">
      <w:pPr>
        <w:pStyle w:val="ListParagraph"/>
        <w:numPr>
          <w:ilvl w:val="0"/>
          <w:numId w:val="2"/>
        </w:numPr>
        <w:spacing w:after="80" w:line="288" w:lineRule="auto"/>
      </w:pPr>
      <w:r>
        <w:t xml:space="preserve">7.5 A solver budget </w:t>
      </w:r>
      <w:r>
        <w:t>table crossing three iteration limits with three controllers, reporting tracking error, cost per step and the proportion of steps that converged.</w:t>
      </w:r>
    </w:p>
    <w:p w14:paraId="22D2348A" w14:textId="77777777" w:rsidR="006D5F45" w:rsidRDefault="00E07220">
      <w:pPr>
        <w:pStyle w:val="ListParagraph"/>
        <w:numPr>
          <w:ilvl w:val="0"/>
          <w:numId w:val="2"/>
        </w:numPr>
        <w:spacing w:after="80" w:line="288" w:lineRule="auto"/>
      </w:pPr>
      <w:r>
        <w:t>7.6 A figure decomposing the cost of one control step into solver iterations, state function calls per iterati</w:t>
      </w:r>
      <w:r>
        <w:t>on and cost per call, for the library implementation and the manual one. This makes the diagnostic legible in a single image.</w:t>
      </w:r>
    </w:p>
    <w:p w14:paraId="22D2348B" w14:textId="77777777" w:rsidR="006D5F45" w:rsidRDefault="00E07220">
      <w:pPr>
        <w:pStyle w:val="ListParagraph"/>
        <w:numPr>
          <w:ilvl w:val="0"/>
          <w:numId w:val="2"/>
        </w:numPr>
        <w:spacing w:after="80" w:line="288" w:lineRule="auto"/>
      </w:pPr>
      <w:r>
        <w:t>7.7 A scatter plot of cost per step against closed-loop tracking error, one marker per controller, with the sampling period marked</w:t>
      </w:r>
      <w:r>
        <w:t xml:space="preserve">. This replaces the </w:t>
      </w:r>
      <w:proofErr w:type="gramStart"/>
      <w:r>
        <w:t>three panel</w:t>
      </w:r>
      <w:proofErr w:type="gramEnd"/>
      <w:r>
        <w:t xml:space="preserve"> summary figure with something the reader can act on.</w:t>
      </w:r>
    </w:p>
    <w:p w14:paraId="22D2348C" w14:textId="77777777" w:rsidR="006D5F45" w:rsidRDefault="00E07220">
      <w:pPr>
        <w:pStyle w:val="ListParagraph"/>
        <w:numPr>
          <w:ilvl w:val="0"/>
          <w:numId w:val="2"/>
        </w:numPr>
        <w:spacing w:after="80" w:line="288" w:lineRule="auto"/>
      </w:pPr>
      <w:r>
        <w:lastRenderedPageBreak/>
        <w:t>7.8 A figure showing the pitch trace together with rotor speed for the Gaussian process controller, which is the evidence required by item 3.3.</w:t>
      </w:r>
    </w:p>
    <w:p w14:paraId="22D2348D" w14:textId="77777777" w:rsidR="006D5F45" w:rsidRDefault="00E07220">
      <w:pPr>
        <w:pStyle w:val="ListParagraph"/>
        <w:numPr>
          <w:ilvl w:val="0"/>
          <w:numId w:val="2"/>
        </w:numPr>
        <w:spacing w:after="80" w:line="288" w:lineRule="auto"/>
      </w:pPr>
      <w:r>
        <w:t>7.9 A plant validation figu</w:t>
      </w:r>
      <w:r>
        <w:t>re comparing steady-state rotor speed, pitch and power against the reference curves across the operating range.</w:t>
      </w:r>
    </w:p>
    <w:p w14:paraId="22D2348E" w14:textId="77777777" w:rsidR="006D5F45" w:rsidRDefault="00E07220">
      <w:pPr>
        <w:pStyle w:val="ListParagraph"/>
        <w:numPr>
          <w:ilvl w:val="0"/>
          <w:numId w:val="2"/>
        </w:numPr>
        <w:spacing w:after="80" w:line="288" w:lineRule="auto"/>
      </w:pPr>
      <w:r>
        <w:t>7.10 Replace the mean and standard deviation bars at five seeds with box plots or bootstrap intervals, and state a test before describing the di</w:t>
      </w:r>
      <w:r>
        <w:t>fference between two groups of controllers as a qualitative crossover.</w:t>
      </w:r>
    </w:p>
    <w:p w14:paraId="22D2348F" w14:textId="77777777" w:rsidR="006D5F45" w:rsidRDefault="00E07220">
      <w:pPr>
        <w:pStyle w:val="Heading1"/>
        <w:spacing w:before="340" w:after="160"/>
      </w:pPr>
      <w:r>
        <w:t>8. Section-level notes</w:t>
      </w:r>
    </w:p>
    <w:p w14:paraId="22D23490" w14:textId="77777777" w:rsidR="006D5F45" w:rsidRDefault="00E07220">
      <w:pPr>
        <w:pStyle w:val="ListParagraph"/>
        <w:numPr>
          <w:ilvl w:val="0"/>
          <w:numId w:val="2"/>
        </w:numPr>
        <w:spacing w:after="80" w:line="288" w:lineRule="auto"/>
      </w:pPr>
      <w:r>
        <w:t>8.1 Neuro-fuzzy model. One of the two sub-networks is reported as oscillating for the full training budget without reaching its error goal. Oscillation without co</w:t>
      </w:r>
      <w:r>
        <w:t>nvergence usually indicates an inappropriate step size or rule count. Either correct it or state it as a limitation; at present it is reported and then set aside. The note on the incompatible training interface is useful practitioner information but interr</w:t>
      </w:r>
      <w:r>
        <w:t>upts the model description and belongs in a footnote.</w:t>
      </w:r>
    </w:p>
    <w:p w14:paraId="22D23491" w14:textId="77777777" w:rsidR="006D5F45" w:rsidRDefault="00E07220">
      <w:pPr>
        <w:pStyle w:val="ListParagraph"/>
        <w:numPr>
          <w:ilvl w:val="0"/>
          <w:numId w:val="2"/>
        </w:numPr>
        <w:spacing w:after="80" w:line="288" w:lineRule="auto"/>
      </w:pPr>
      <w:r>
        <w:t>8.2 Physics-informed network. The deliberate exclusion of the pitch physics residual, because the sampling interval equals the actuator time constant and the discrete actuator equation degenerates, is a</w:t>
      </w:r>
      <w:r>
        <w:t xml:space="preserve"> good and honest modelling decision and deserves its own short paragraph. The corollary should be stated: under that choice the pitch channel is nearly trivial and the comparison reduces largely to the rotor speed channel. Two sentences in this subsection </w:t>
      </w:r>
      <w:r>
        <w:t>and the next contain grammatical errors that change their meaning.</w:t>
      </w:r>
    </w:p>
    <w:p w14:paraId="22D23492" w14:textId="77777777" w:rsidR="006D5F45" w:rsidRDefault="00E07220">
      <w:pPr>
        <w:pStyle w:val="ListParagraph"/>
        <w:numPr>
          <w:ilvl w:val="0"/>
          <w:numId w:val="2"/>
        </w:numPr>
        <w:spacing w:after="80" w:line="288" w:lineRule="auto"/>
      </w:pPr>
      <w:r>
        <w:t xml:space="preserve">8.3 Improved physics-informed network. A change from 0.0193 to 0.0183 does not round to zero difference at the precision printed. State the actual difference and whether it lies within </w:t>
      </w:r>
      <w:proofErr w:type="gramStart"/>
      <w:r>
        <w:t xml:space="preserve">run </w:t>
      </w:r>
      <w:r>
        <w:t>to run</w:t>
      </w:r>
      <w:proofErr w:type="gramEnd"/>
      <w:r>
        <w:t xml:space="preserve"> variation.</w:t>
      </w:r>
    </w:p>
    <w:p w14:paraId="22D23493" w14:textId="77777777" w:rsidR="006D5F45" w:rsidRDefault="00E07220">
      <w:pPr>
        <w:pStyle w:val="ListParagraph"/>
        <w:numPr>
          <w:ilvl w:val="0"/>
          <w:numId w:val="2"/>
        </w:numPr>
        <w:spacing w:after="80" w:line="288" w:lineRule="auto"/>
      </w:pPr>
      <w:r>
        <w:t xml:space="preserve">8.4 Accuracy comparison. The unexplained discrepancy between the two evaluation runs for deterministic components is documented, and Section 7.2 states that it would need to be closed before submission quality reporting. That sentence is </w:t>
      </w:r>
      <w:r>
        <w:t>correct and amounts to a statement that the paper is not yet ready. Both components are deterministic, so the cause lies in the evaluation script or the test split and should be findable quickly.</w:t>
      </w:r>
    </w:p>
    <w:p w14:paraId="22D23494" w14:textId="77777777" w:rsidR="006D5F45" w:rsidRDefault="00E07220">
      <w:pPr>
        <w:pStyle w:val="ListParagraph"/>
        <w:numPr>
          <w:ilvl w:val="0"/>
          <w:numId w:val="2"/>
        </w:numPr>
        <w:spacing w:after="80" w:line="288" w:lineRule="auto"/>
      </w:pPr>
      <w:r>
        <w:t xml:space="preserve">8.5 Control formulation. The cost weights are given without </w:t>
      </w:r>
      <w:r>
        <w:t>a tuning rationale. State how they were chosen and whether they were tuned per controller, since if they were, the equal conditions problem is more serious than described. The observation of a twenty second solve at one simulation step is a striking data p</w:t>
      </w:r>
      <w:r>
        <w:t>oint currently buried in a parenthesis and belongs in the diagnostic section.</w:t>
      </w:r>
    </w:p>
    <w:p w14:paraId="22D23495" w14:textId="77777777" w:rsidR="006D5F45" w:rsidRDefault="00E07220">
      <w:pPr>
        <w:pStyle w:val="ListParagraph"/>
        <w:numPr>
          <w:ilvl w:val="0"/>
          <w:numId w:val="2"/>
        </w:numPr>
        <w:spacing w:after="80" w:line="288" w:lineRule="auto"/>
      </w:pPr>
      <w:r>
        <w:t>8.6 Uncertainty cost. The penalty weight is unmotivated. A sweep over it is cheap and converts a hard-coded constant into a design result. The decision to hard-code the cost weights inside the custom cost function, because the solver interface does not exp</w:t>
      </w:r>
      <w:r>
        <w:t>ose them, is a genuine reproducibility hazard and is correctly documented; add a run-time assertion checking them against the configuration file and say so.</w:t>
      </w:r>
    </w:p>
    <w:p w14:paraId="22D23496" w14:textId="77777777" w:rsidR="006D5F45" w:rsidRDefault="00E07220">
      <w:pPr>
        <w:pStyle w:val="ListParagraph"/>
        <w:numPr>
          <w:ilvl w:val="0"/>
          <w:numId w:val="2"/>
        </w:numPr>
        <w:spacing w:after="80" w:line="288" w:lineRule="auto"/>
      </w:pPr>
      <w:r>
        <w:t>8.7 Statistical analysis. Five seeds, no significance test, and a qualitative crossover claimed bet</w:t>
      </w:r>
      <w:r>
        <w:t xml:space="preserve">ween two groups separated by roughly one standard deviation. Either raise the seed count or present the claim as a hypothesis. The </w:t>
      </w:r>
      <w:proofErr w:type="gramStart"/>
      <w:r>
        <w:t>seed to seed</w:t>
      </w:r>
      <w:proofErr w:type="gramEnd"/>
      <w:r>
        <w:t xml:space="preserve"> variability of the recurrent controller at the lowest wind speed is the most interesting unexplained result in t</w:t>
      </w:r>
      <w:r>
        <w:t xml:space="preserve">he paper; one targeted run with the pitch trace </w:t>
      </w:r>
      <w:r>
        <w:lastRenderedPageBreak/>
        <w:t>and exit flag logged would probably explain it, and the proximity of that wind speed to the torque switching boundary is a strong hint.</w:t>
      </w:r>
    </w:p>
    <w:p w14:paraId="22D23497" w14:textId="77777777" w:rsidR="006D5F45" w:rsidRDefault="00E07220">
      <w:pPr>
        <w:pStyle w:val="Heading1"/>
        <w:spacing w:before="340" w:after="160"/>
      </w:pPr>
      <w:r>
        <w:t>9. Presentation</w:t>
      </w:r>
    </w:p>
    <w:p w14:paraId="22D23498" w14:textId="77777777" w:rsidR="006D5F45" w:rsidRDefault="00E07220">
      <w:pPr>
        <w:pStyle w:val="ListParagraph"/>
        <w:numPr>
          <w:ilvl w:val="0"/>
          <w:numId w:val="2"/>
        </w:numPr>
        <w:spacing w:after="80" w:line="288" w:lineRule="auto"/>
      </w:pPr>
      <w:r>
        <w:t xml:space="preserve">9.1 Nearly every section opens by announcing the number </w:t>
      </w:r>
      <w:r>
        <w:t>of findings, patterns or directions that follow. Vary these.</w:t>
      </w:r>
    </w:p>
    <w:p w14:paraId="22D23499" w14:textId="77777777" w:rsidR="006D5F45" w:rsidRDefault="00E07220">
      <w:pPr>
        <w:pStyle w:val="ListParagraph"/>
        <w:numPr>
          <w:ilvl w:val="0"/>
          <w:numId w:val="2"/>
        </w:numPr>
        <w:spacing w:after="80" w:line="288" w:lineRule="auto"/>
      </w:pPr>
      <w:r>
        <w:t>9.2 The appeal to the authors knowledge occurs three times, twice attached to a novelty claim that item 5.5 puts in doubt.</w:t>
      </w:r>
    </w:p>
    <w:p w14:paraId="22D2349A" w14:textId="77777777" w:rsidR="006D5F45" w:rsidRDefault="00E07220">
      <w:pPr>
        <w:pStyle w:val="ListParagraph"/>
        <w:numPr>
          <w:ilvl w:val="0"/>
          <w:numId w:val="2"/>
        </w:numPr>
        <w:spacing w:after="80" w:line="288" w:lineRule="auto"/>
      </w:pPr>
      <w:r>
        <w:t>9.3 Several sentences in the discussion run to nine lines and contain th</w:t>
      </w:r>
      <w:r>
        <w:t>ree separate claims. One idea per sentence; long sentences conceal unverified claims.</w:t>
      </w:r>
    </w:p>
    <w:p w14:paraId="22D2349B" w14:textId="77777777" w:rsidR="006D5F45" w:rsidRDefault="00E07220">
      <w:pPr>
        <w:pStyle w:val="ListParagraph"/>
        <w:numPr>
          <w:ilvl w:val="0"/>
          <w:numId w:val="2"/>
        </w:numPr>
        <w:spacing w:after="80" w:line="288" w:lineRule="auto"/>
      </w:pPr>
      <w:r>
        <w:t>9.4 Define every abbreviation at first use, including in the abstract, and add a nomenclature block. The paper carries approximately thirty symbols and defines them inlin</w:t>
      </w:r>
      <w:r>
        <w:t>e only.</w:t>
      </w:r>
    </w:p>
    <w:p w14:paraId="22D2349C" w14:textId="77777777" w:rsidR="006D5F45" w:rsidRDefault="00E07220">
      <w:pPr>
        <w:pStyle w:val="ListParagraph"/>
        <w:numPr>
          <w:ilvl w:val="0"/>
          <w:numId w:val="2"/>
        </w:numPr>
        <w:spacing w:after="80" w:line="288" w:lineRule="auto"/>
      </w:pPr>
      <w:r>
        <w:t>9.5 Add affiliations, corresponding author, identifiers, author contribution statement, competing interests, funding, data availability and a declaration of generative artificial intelligence use. Remove the trailing comma in the author list.</w:t>
      </w:r>
    </w:p>
    <w:p w14:paraId="22D2349D" w14:textId="77777777" w:rsidR="006D5F45" w:rsidRDefault="00E07220">
      <w:pPr>
        <w:pStyle w:val="ListParagraph"/>
        <w:numPr>
          <w:ilvl w:val="0"/>
          <w:numId w:val="2"/>
        </w:numPr>
        <w:spacing w:after="80" w:line="288" w:lineRule="auto"/>
      </w:pPr>
      <w:r>
        <w:t>9.6 Publish the code. The paper cites its own scripts by filename; a repository turns that from a weakness into the reproducibility claim the work deserves to make.</w:t>
      </w:r>
    </w:p>
    <w:p w14:paraId="22D2349E" w14:textId="77777777" w:rsidR="006D5F45" w:rsidRDefault="00E07220">
      <w:pPr>
        <w:pStyle w:val="Heading1"/>
        <w:spacing w:before="340" w:after="160"/>
      </w:pPr>
      <w:r>
        <w:t>10. Order of work</w:t>
      </w:r>
    </w:p>
    <w:p w14:paraId="22D2349F" w14:textId="77777777" w:rsidR="006D5F45" w:rsidRDefault="00E07220">
      <w:pPr>
        <w:pStyle w:val="ListParagraph"/>
        <w:numPr>
          <w:ilvl w:val="0"/>
          <w:numId w:val="2"/>
        </w:numPr>
        <w:spacing w:after="80" w:line="288" w:lineRule="auto"/>
      </w:pPr>
      <w:r>
        <w:t xml:space="preserve">10.1 Settle items 3.3 and 3.4 by plotting the pitch trace and re-running </w:t>
      </w:r>
      <w:r>
        <w:t>the improved Gaussian process controller. Until these are settled the fourth contribution is unknown.</w:t>
      </w:r>
    </w:p>
    <w:p w14:paraId="22D234A0" w14:textId="77777777" w:rsidR="006D5F45" w:rsidRDefault="00E07220">
      <w:pPr>
        <w:pStyle w:val="ListParagraph"/>
        <w:numPr>
          <w:ilvl w:val="0"/>
          <w:numId w:val="2"/>
        </w:numPr>
        <w:spacing w:after="80" w:line="288" w:lineRule="auto"/>
      </w:pPr>
      <w:r>
        <w:t>10.2 Reconcile the two narratives and run the mechanism isolation experiment. Together these give the paper its contribution.</w:t>
      </w:r>
    </w:p>
    <w:p w14:paraId="22D234A1" w14:textId="77777777" w:rsidR="006D5F45" w:rsidRDefault="00E07220">
      <w:pPr>
        <w:pStyle w:val="ListParagraph"/>
        <w:numPr>
          <w:ilvl w:val="0"/>
          <w:numId w:val="2"/>
        </w:numPr>
        <w:spacing w:after="80" w:line="288" w:lineRule="auto"/>
      </w:pPr>
      <w:r>
        <w:t>10.3 Correct the numerical i</w:t>
      </w:r>
      <w:r>
        <w:t>nconsistencies in Section 4. Items 4.1 to 4.7 change the plant and must be done before any re-run.</w:t>
      </w:r>
    </w:p>
    <w:p w14:paraId="22D234A2" w14:textId="77777777" w:rsidR="006D5F45" w:rsidRDefault="00E07220">
      <w:pPr>
        <w:pStyle w:val="ListParagraph"/>
        <w:numPr>
          <w:ilvl w:val="0"/>
          <w:numId w:val="2"/>
        </w:numPr>
        <w:spacing w:after="80" w:line="288" w:lineRule="auto"/>
      </w:pPr>
      <w:r>
        <w:t>10.4 Define one protocol and re-run the full comparison under it, with the classical baseline included.</w:t>
      </w:r>
    </w:p>
    <w:p w14:paraId="22D234A3" w14:textId="77777777" w:rsidR="006D5F45" w:rsidRDefault="00E07220">
      <w:pPr>
        <w:pStyle w:val="ListParagraph"/>
        <w:numPr>
          <w:ilvl w:val="0"/>
          <w:numId w:val="2"/>
        </w:numPr>
        <w:spacing w:after="80" w:line="288" w:lineRule="auto"/>
      </w:pPr>
      <w:r>
        <w:t xml:space="preserve">10.5 Add the solver budget study and the statistical </w:t>
      </w:r>
      <w:r>
        <w:t>treatment.</w:t>
      </w:r>
    </w:p>
    <w:p w14:paraId="22D234A4" w14:textId="77777777" w:rsidR="006D5F45" w:rsidRDefault="00E07220">
      <w:pPr>
        <w:pStyle w:val="ListParagraph"/>
        <w:numPr>
          <w:ilvl w:val="0"/>
          <w:numId w:val="2"/>
        </w:numPr>
        <w:spacing w:after="80" w:line="288" w:lineRule="auto"/>
      </w:pPr>
      <w:r>
        <w:t>10.6 Decide the generality question, either by one replication in a second toolchain or by an explicit scope statement.</w:t>
      </w:r>
    </w:p>
    <w:p w14:paraId="22D234A5" w14:textId="77777777" w:rsidR="006D5F45" w:rsidRDefault="00E07220">
      <w:pPr>
        <w:pStyle w:val="ListParagraph"/>
        <w:numPr>
          <w:ilvl w:val="0"/>
          <w:numId w:val="2"/>
        </w:numPr>
        <w:spacing w:after="80" w:line="288" w:lineRule="auto"/>
      </w:pPr>
      <w:r>
        <w:t>10.7 Restructure as proposed in Section 6 and add the figures and tables of Section 7.</w:t>
      </w:r>
    </w:p>
    <w:p w14:paraId="22D234A6" w14:textId="77777777" w:rsidR="006D5F45" w:rsidRDefault="00E07220">
      <w:pPr>
        <w:pStyle w:val="ListParagraph"/>
        <w:numPr>
          <w:ilvl w:val="0"/>
          <w:numId w:val="2"/>
        </w:numPr>
        <w:spacing w:after="80" w:line="288" w:lineRule="auto"/>
      </w:pPr>
      <w:r>
        <w:t>10.8 Correct the references, the front</w:t>
      </w:r>
      <w:r>
        <w:t xml:space="preserve"> matter and the language.</w:t>
      </w:r>
    </w:p>
    <w:p w14:paraId="22D234A7" w14:textId="77777777" w:rsidR="006D5F45" w:rsidRDefault="00E07220">
      <w:pPr>
        <w:spacing w:after="140" w:line="288" w:lineRule="auto"/>
      </w:pPr>
      <w:r>
        <w:t>Items 10.1 and 10.2 are the paper. Item 10.4 is the largest single block of work. Items 10.7 and 10.8 are about a week.</w:t>
      </w:r>
    </w:p>
    <w:sectPr w:rsidR="006D5F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066BD"/>
    <w:multiLevelType w:val="hybridMultilevel"/>
    <w:tmpl w:val="4AD8918A"/>
    <w:lvl w:ilvl="0" w:tplc="C72C7A06">
      <w:start w:val="1"/>
      <w:numFmt w:val="bullet"/>
      <w:lvlText w:val="•"/>
      <w:lvlJc w:val="left"/>
      <w:pPr>
        <w:ind w:left="400" w:hanging="200"/>
      </w:pPr>
    </w:lvl>
    <w:lvl w:ilvl="1" w:tplc="AA8AE800">
      <w:numFmt w:val="decimal"/>
      <w:lvlText w:val=""/>
      <w:lvlJc w:val="left"/>
    </w:lvl>
    <w:lvl w:ilvl="2" w:tplc="105CEDC0">
      <w:numFmt w:val="decimal"/>
      <w:lvlText w:val=""/>
      <w:lvlJc w:val="left"/>
    </w:lvl>
    <w:lvl w:ilvl="3" w:tplc="9746CC22">
      <w:numFmt w:val="decimal"/>
      <w:lvlText w:val=""/>
      <w:lvlJc w:val="left"/>
    </w:lvl>
    <w:lvl w:ilvl="4" w:tplc="BDD4DEBC">
      <w:numFmt w:val="decimal"/>
      <w:lvlText w:val=""/>
      <w:lvlJc w:val="left"/>
    </w:lvl>
    <w:lvl w:ilvl="5" w:tplc="82EC17C4">
      <w:numFmt w:val="decimal"/>
      <w:lvlText w:val=""/>
      <w:lvlJc w:val="left"/>
    </w:lvl>
    <w:lvl w:ilvl="6" w:tplc="401A9318">
      <w:numFmt w:val="decimal"/>
      <w:lvlText w:val=""/>
      <w:lvlJc w:val="left"/>
    </w:lvl>
    <w:lvl w:ilvl="7" w:tplc="69602790">
      <w:numFmt w:val="decimal"/>
      <w:lvlText w:val=""/>
      <w:lvlJc w:val="left"/>
    </w:lvl>
    <w:lvl w:ilvl="8" w:tplc="30720506">
      <w:numFmt w:val="decimal"/>
      <w:lvlText w:val=""/>
      <w:lvlJc w:val="left"/>
    </w:lvl>
  </w:abstractNum>
  <w:abstractNum w:abstractNumId="1" w15:restartNumberingAfterBreak="0">
    <w:nsid w:val="752B3997"/>
    <w:multiLevelType w:val="hybridMultilevel"/>
    <w:tmpl w:val="1AC2E7FE"/>
    <w:lvl w:ilvl="0" w:tplc="95F8E22A">
      <w:start w:val="1"/>
      <w:numFmt w:val="bullet"/>
      <w:lvlText w:val="●"/>
      <w:lvlJc w:val="left"/>
      <w:pPr>
        <w:ind w:left="720" w:hanging="360"/>
      </w:pPr>
    </w:lvl>
    <w:lvl w:ilvl="1" w:tplc="22D8029C">
      <w:start w:val="1"/>
      <w:numFmt w:val="bullet"/>
      <w:lvlText w:val="○"/>
      <w:lvlJc w:val="left"/>
      <w:pPr>
        <w:ind w:left="1440" w:hanging="360"/>
      </w:pPr>
    </w:lvl>
    <w:lvl w:ilvl="2" w:tplc="69CC5674">
      <w:start w:val="1"/>
      <w:numFmt w:val="bullet"/>
      <w:lvlText w:val="■"/>
      <w:lvlJc w:val="left"/>
      <w:pPr>
        <w:ind w:left="2160" w:hanging="360"/>
      </w:pPr>
    </w:lvl>
    <w:lvl w:ilvl="3" w:tplc="238617C0">
      <w:start w:val="1"/>
      <w:numFmt w:val="bullet"/>
      <w:lvlText w:val="●"/>
      <w:lvlJc w:val="left"/>
      <w:pPr>
        <w:ind w:left="2880" w:hanging="360"/>
      </w:pPr>
    </w:lvl>
    <w:lvl w:ilvl="4" w:tplc="913056D6">
      <w:start w:val="1"/>
      <w:numFmt w:val="bullet"/>
      <w:lvlText w:val="○"/>
      <w:lvlJc w:val="left"/>
      <w:pPr>
        <w:ind w:left="3600" w:hanging="360"/>
      </w:pPr>
    </w:lvl>
    <w:lvl w:ilvl="5" w:tplc="B02E6518">
      <w:start w:val="1"/>
      <w:numFmt w:val="bullet"/>
      <w:lvlText w:val="■"/>
      <w:lvlJc w:val="left"/>
      <w:pPr>
        <w:ind w:left="4320" w:hanging="360"/>
      </w:pPr>
    </w:lvl>
    <w:lvl w:ilvl="6" w:tplc="A91C3378">
      <w:start w:val="1"/>
      <w:numFmt w:val="bullet"/>
      <w:lvlText w:val="●"/>
      <w:lvlJc w:val="left"/>
      <w:pPr>
        <w:ind w:left="5040" w:hanging="360"/>
      </w:pPr>
    </w:lvl>
    <w:lvl w:ilvl="7" w:tplc="CFFC93C4">
      <w:start w:val="1"/>
      <w:numFmt w:val="bullet"/>
      <w:lvlText w:val="●"/>
      <w:lvlJc w:val="left"/>
      <w:pPr>
        <w:ind w:left="5760" w:hanging="360"/>
      </w:pPr>
    </w:lvl>
    <w:lvl w:ilvl="8" w:tplc="34029C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45"/>
    <w:rsid w:val="006D5F45"/>
    <w:rsid w:val="00E07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3446"/>
  <w15:docId w15:val="{1EB350C2-7A04-48F2-950F-9CD978B2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26"/>
      <w:szCs w:val="26"/>
    </w:rPr>
  </w:style>
  <w:style w:type="paragraph" w:styleId="Heading2">
    <w:name w:val="heading 2"/>
    <w:uiPriority w:val="9"/>
    <w:semiHidden/>
    <w:unhideWhenUsed/>
    <w:qFormat/>
    <w:pPr>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4003</Words>
  <Characters>22822</Characters>
  <Application>Microsoft Office Word</Application>
  <DocSecurity>0</DocSecurity>
  <Lines>190</Lines>
  <Paragraphs>53</Paragraphs>
  <ScaleCrop>false</ScaleCrop>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Amidou MAIGA</cp:lastModifiedBy>
  <cp:revision>2</cp:revision>
  <dcterms:created xsi:type="dcterms:W3CDTF">2026-08-10T10:52:00Z</dcterms:created>
  <dcterms:modified xsi:type="dcterms:W3CDTF">2026-08-12T07:51:00Z</dcterms:modified>
</cp:coreProperties>
</file>