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944DC" w14:textId="77777777" w:rsidR="00A61935" w:rsidRDefault="0047261D">
      <w:pPr>
        <w:spacing w:after="60"/>
      </w:pPr>
      <w:r>
        <w:rPr>
          <w:b/>
          <w:bCs/>
          <w:sz w:val="32"/>
          <w:szCs w:val="32"/>
        </w:rPr>
        <w:t>Revision Guide</w:t>
      </w:r>
    </w:p>
    <w:p w14:paraId="2CD944DD" w14:textId="77777777" w:rsidR="00A61935" w:rsidRDefault="0047261D">
      <w:pPr>
        <w:spacing w:after="140" w:line="288" w:lineRule="auto"/>
      </w:pPr>
      <w:r>
        <w:rPr>
          <w:i/>
          <w:iCs/>
          <w:sz w:val="22"/>
          <w:szCs w:val="22"/>
        </w:rPr>
        <w:t>Machine Learning Surrogates for Model Predictive Control in Wind Energy Systems. A Critical Review.</w:t>
      </w:r>
    </w:p>
    <w:p w14:paraId="2CD944DE" w14:textId="77777777" w:rsidR="00A61935" w:rsidRDefault="0047261D">
      <w:pPr>
        <w:spacing w:after="260" w:line="288" w:lineRule="auto"/>
      </w:pPr>
      <w:r>
        <w:rPr>
          <w:color w:val="555555"/>
          <w:sz w:val="19"/>
          <w:szCs w:val="19"/>
        </w:rPr>
        <w:t>Companion to the referee report of 8 August 2026. Heading proposals, text corrections, and material to be added.</w:t>
      </w:r>
    </w:p>
    <w:p w14:paraId="2CD944DF" w14:textId="77777777" w:rsidR="00A61935" w:rsidRDefault="0047261D">
      <w:pPr>
        <w:pStyle w:val="Heading1"/>
        <w:spacing w:before="340" w:after="160"/>
      </w:pPr>
      <w:r>
        <w:t>1. How to use this guide</w:t>
      </w:r>
    </w:p>
    <w:p w14:paraId="2CD944E0" w14:textId="77777777" w:rsidR="00A61935" w:rsidRDefault="0047261D">
      <w:pPr>
        <w:spacing w:after="140" w:line="288" w:lineRule="auto"/>
      </w:pPr>
      <w:r>
        <w:t xml:space="preserve">Items are numbered so that they can be assigned to co-authors and ticked off individually. Each item states where the </w:t>
      </w:r>
      <w:r>
        <w:t>change belongs, what is wrong, and what to do about it. Items 2 to 9 in Section 4 concern citations that do not support the sentences attached to them, and they must be settled first. Language and heading work comes last, because rewriting prose over a mis</w:t>
      </w:r>
      <w:r>
        <w:t>attributed citation makes the problem harder to see rather than smaller.</w:t>
      </w:r>
    </w:p>
    <w:p w14:paraId="2CD944E1" w14:textId="77777777" w:rsidR="00A61935" w:rsidRDefault="0047261D">
      <w:pPr>
        <w:pStyle w:val="Heading1"/>
        <w:spacing w:before="340" w:after="160"/>
      </w:pPr>
      <w:r>
        <w:t>2. Title, abstract and front matter</w:t>
      </w:r>
    </w:p>
    <w:p w14:paraId="2CD944E2" w14:textId="77777777" w:rsidR="00A61935" w:rsidRDefault="0047261D">
      <w:pPr>
        <w:spacing w:after="140" w:line="288" w:lineRule="auto"/>
      </w:pPr>
      <w:r>
        <w:rPr>
          <w:b/>
          <w:bCs/>
        </w:rPr>
        <w:t xml:space="preserve">2.1 Title. </w:t>
      </w:r>
      <w:r>
        <w:t>The present title describes an itinerary rather than the criterion that makes the review critical. Two options are proposed. Option A: "</w:t>
      </w:r>
      <w:r>
        <w:t>Are Machine Learning Surrogates Ready for Model Predictive Control in Wind Energy? Closed-Loop Validation and Real-Time Feasibility at Turbine and Farm Scale". Option B: "Machine Learning Surrogates Inside the MPC Prediction Step: A Critical Review at Turb</w:t>
      </w:r>
      <w:r>
        <w:t>ine and Farm Scale". Option B has the further advantage of naming, in the title, the inclusion rule that the review needs to adopt.</w:t>
      </w:r>
    </w:p>
    <w:p w14:paraId="2CD944E3" w14:textId="77777777" w:rsidR="00A61935" w:rsidRDefault="0047261D">
      <w:pPr>
        <w:spacing w:after="140" w:line="288" w:lineRule="auto"/>
      </w:pPr>
      <w:r>
        <w:rPr>
          <w:b/>
          <w:bCs/>
        </w:rPr>
        <w:t xml:space="preserve">2.2 Abstract. </w:t>
      </w:r>
      <w:r>
        <w:t>Remove the statement that the neuro-fuzzy family has been field-tested on an operating 3 MW turbine until item</w:t>
      </w:r>
      <w:r>
        <w:t xml:space="preserve"> 4.1 is resolved, since this is the load-bearing claim of the abstract and it is not currently supported. Rewrite the sentence on recurrent versus attention architectures in line with item 4.2. Remove the assertion that only a minority of the surveyed lite</w:t>
      </w:r>
      <w:r>
        <w:t>rature reaches closed-loop demonstration unless the new methodology section supports a count. Define every abbreviation at first use and keep the abstract to about 220 words.</w:t>
      </w:r>
    </w:p>
    <w:p w14:paraId="2CD944E4" w14:textId="77777777" w:rsidR="00A61935" w:rsidRDefault="0047261D">
      <w:pPr>
        <w:spacing w:after="140" w:line="288" w:lineRule="auto"/>
      </w:pPr>
      <w:r>
        <w:rPr>
          <w:b/>
          <w:bCs/>
        </w:rPr>
        <w:t xml:space="preserve">2.3 Front matter. </w:t>
      </w:r>
      <w:r>
        <w:t xml:space="preserve">Add affiliations, corresponding author, and ORCID identifiers, </w:t>
      </w:r>
      <w:r>
        <w:t>and remove the trailing comma after the final author. Add the author contribution statement, the declaration of competing interests, the data availability statement and the funding acknowledgement. Add a declaration of generative artificial intelligence us</w:t>
      </w:r>
      <w:r>
        <w:t>e, which both IEEE and Elsevier now require. Add a nomenclature block, and for an Elsevier venue a set of three to five highlights.</w:t>
      </w:r>
    </w:p>
    <w:p w14:paraId="2CD944E5" w14:textId="77777777" w:rsidR="00A61935" w:rsidRDefault="0047261D">
      <w:pPr>
        <w:pStyle w:val="Heading1"/>
        <w:spacing w:before="340" w:after="160"/>
      </w:pPr>
      <w:r>
        <w:t>3. Structural changes</w:t>
      </w:r>
    </w:p>
    <w:p w14:paraId="2CD944E6" w14:textId="77777777" w:rsidR="00A61935" w:rsidRDefault="0047261D">
      <w:pPr>
        <w:spacing w:after="140" w:line="288" w:lineRule="auto"/>
      </w:pPr>
      <w:r>
        <w:t>Six changes to the architecture of the paper. Numbering shifts by one from the present Section 2 onwar</w:t>
      </w:r>
      <w:r>
        <w:t>d.</w:t>
      </w:r>
    </w:p>
    <w:p w14:paraId="2CD944E7" w14:textId="77777777" w:rsidR="00A61935" w:rsidRDefault="0047261D">
      <w:pPr>
        <w:pStyle w:val="ListParagraph"/>
        <w:numPr>
          <w:ilvl w:val="0"/>
          <w:numId w:val="2"/>
        </w:numPr>
        <w:spacing w:after="80" w:line="288" w:lineRule="auto"/>
      </w:pPr>
      <w:r>
        <w:t>3.1 Add a new Section 2, Review methodology. This is mandatory for a review venue and its absence is currently the strongest single ground for rejection.</w:t>
      </w:r>
    </w:p>
    <w:p w14:paraId="2CD944E8" w14:textId="77777777" w:rsidR="00A61935" w:rsidRDefault="0047261D">
      <w:pPr>
        <w:pStyle w:val="ListParagraph"/>
        <w:numPr>
          <w:ilvl w:val="0"/>
          <w:numId w:val="2"/>
        </w:numPr>
        <w:spacing w:after="80" w:line="288" w:lineRule="auto"/>
      </w:pPr>
      <w:r>
        <w:t>3.2 Move the present Section 1.5, Scope and Delimitation, into the new methodology section as inclu</w:t>
      </w:r>
      <w:r>
        <w:t>sion and exclusion criteria. Move the present Section 5.9 to the same place, since the two duplicate each other.</w:t>
      </w:r>
    </w:p>
    <w:p w14:paraId="2CD944E9" w14:textId="77777777" w:rsidR="00A61935" w:rsidRDefault="0047261D">
      <w:pPr>
        <w:pStyle w:val="ListParagraph"/>
        <w:numPr>
          <w:ilvl w:val="0"/>
          <w:numId w:val="2"/>
        </w:numPr>
        <w:spacing w:after="80" w:line="288" w:lineRule="auto"/>
      </w:pPr>
      <w:r>
        <w:t>3.3 Delete the present Section 2.3, which contains no content and only refers the reader to Section 4.1. Make the cross-reference inline.</w:t>
      </w:r>
    </w:p>
    <w:p w14:paraId="2CD944EA" w14:textId="77777777" w:rsidR="00A61935" w:rsidRDefault="0047261D">
      <w:pPr>
        <w:pStyle w:val="ListParagraph"/>
        <w:numPr>
          <w:ilvl w:val="0"/>
          <w:numId w:val="2"/>
        </w:numPr>
        <w:spacing w:after="80" w:line="288" w:lineRule="auto"/>
      </w:pPr>
      <w:r>
        <w:lastRenderedPageBreak/>
        <w:t>3.4 D</w:t>
      </w:r>
      <w:r>
        <w:t>elete the present Section 2.4, or reduce it to three sentences, since it repeats the opening of Section 5.</w:t>
      </w:r>
    </w:p>
    <w:p w14:paraId="2CD944EB" w14:textId="77777777" w:rsidR="00A61935" w:rsidRDefault="0047261D">
      <w:pPr>
        <w:pStyle w:val="ListParagraph"/>
        <w:numPr>
          <w:ilvl w:val="0"/>
          <w:numId w:val="2"/>
        </w:numPr>
        <w:spacing w:after="80" w:line="288" w:lineRule="auto"/>
      </w:pPr>
      <w:r>
        <w:t>3.5 Delete the present Section 6.4, which shares its title and most of its content with Section 5.6.</w:t>
      </w:r>
    </w:p>
    <w:p w14:paraId="2CD944EC" w14:textId="77777777" w:rsidR="00A61935" w:rsidRDefault="0047261D">
      <w:pPr>
        <w:pStyle w:val="ListParagraph"/>
        <w:numPr>
          <w:ilvl w:val="0"/>
          <w:numId w:val="2"/>
        </w:numPr>
        <w:spacing w:after="80" w:line="288" w:lineRule="auto"/>
      </w:pPr>
      <w:r>
        <w:t>3.6 Add a short subsection at the head of Sectio</w:t>
      </w:r>
      <w:r>
        <w:t>n 3 explaining where a surrogate sits in the control loop: as internal predictor, as learned control law, as state estimator, or as safety layer. This is what makes the review classification reproducible, and its absence is the reason the family assignment</w:t>
      </w:r>
      <w:r>
        <w:t>s in Appendix Table 4 went wrong.</w:t>
      </w:r>
    </w:p>
    <w:p w14:paraId="2CD944ED" w14:textId="77777777" w:rsidR="00A61935" w:rsidRDefault="0047261D">
      <w:pPr>
        <w:pStyle w:val="Heading1"/>
        <w:spacing w:before="340" w:after="160"/>
      </w:pPr>
      <w:r>
        <w:t>4. Corrections, section by section</w:t>
      </w:r>
    </w:p>
    <w:p w14:paraId="2CD944EE" w14:textId="77777777" w:rsidR="00A61935" w:rsidRDefault="0047261D">
      <w:pPr>
        <w:pStyle w:val="Heading2"/>
        <w:spacing w:before="260" w:after="120"/>
      </w:pPr>
      <w:r>
        <w:t>Section 1, Introduction</w:t>
      </w:r>
    </w:p>
    <w:p w14:paraId="2CD944EF" w14:textId="77777777" w:rsidR="00A61935" w:rsidRDefault="0047261D">
      <w:pPr>
        <w:spacing w:after="140" w:line="288" w:lineRule="auto"/>
      </w:pPr>
      <w:r>
        <w:rPr>
          <w:b/>
          <w:bCs/>
        </w:rPr>
        <w:t xml:space="preserve">4.1 Section 1.1. </w:t>
      </w:r>
      <w:r>
        <w:t>Proposed heading: Wind energy control at increasing scale. The opening sentence about wind energy as a pillar of the net zero transition is the ge</w:t>
      </w:r>
      <w:r>
        <w:t xml:space="preserve">neric formulation that reviewers now read as machine drafted. Replace it with a quantitative anchor: installed capacity and its growth rate, typical rotor diameter and rating today against a decade ago, and the resulting increase in structural loading and </w:t>
      </w:r>
      <w:r>
        <w:t>control bandwidth, each with a source. References 1 and 2 are the same International Energy Agency report entered twice, and the second entry has no publisher; merge them.</w:t>
      </w:r>
    </w:p>
    <w:p w14:paraId="2CD944F0" w14:textId="77777777" w:rsidR="00A61935" w:rsidRDefault="0047261D">
      <w:pPr>
        <w:spacing w:after="140" w:line="288" w:lineRule="auto"/>
      </w:pPr>
      <w:r>
        <w:rPr>
          <w:b/>
          <w:bCs/>
        </w:rPr>
        <w:t xml:space="preserve">4.2 Section 1.2. </w:t>
      </w:r>
      <w:r>
        <w:t xml:space="preserve">Proposed heading: Why model predictive control, and why it has not </w:t>
      </w:r>
      <w:r>
        <w:t xml:space="preserve">reached deployment. This is the strongest paragraph in the introduction and its structure should be kept, since each of the four cited statements about computational cost carries a mechanism. Remove the dash construction from the heading, which is used in </w:t>
      </w:r>
      <w:r>
        <w:t>five headings across the paper. End the paragraph on the consequence that motivates Section 3 rather than on a forward reference to it.</w:t>
      </w:r>
    </w:p>
    <w:p w14:paraId="2CD944F1" w14:textId="77777777" w:rsidR="00A61935" w:rsidRDefault="0047261D">
      <w:pPr>
        <w:spacing w:after="140" w:line="288" w:lineRule="auto"/>
      </w:pPr>
      <w:r>
        <w:rPr>
          <w:b/>
          <w:bCs/>
        </w:rPr>
        <w:t xml:space="preserve">4.3 Section 1.3. </w:t>
      </w:r>
      <w:r>
        <w:t>Proposed heading: What existing reviews do not cover. This is the highest value edit in the introductio</w:t>
      </w:r>
      <w:r>
        <w:t xml:space="preserve">n. The gap is currently a conjunction of four qualifiers, which reads as engineered to be true rather than found. Name the review by </w:t>
      </w:r>
      <w:proofErr w:type="spellStart"/>
      <w:r>
        <w:t>Göçmen</w:t>
      </w:r>
      <w:proofErr w:type="spellEnd"/>
      <w:r>
        <w:t xml:space="preserve"> and colleagues explicitly as the closest existing work and state in one sentence what it covers and what it does not</w:t>
      </w:r>
      <w:r>
        <w:t>. Replace the paragraph listing calls for a systematic framework with the new comparison table described in item 8.4.</w:t>
      </w:r>
    </w:p>
    <w:p w14:paraId="2CD944F2" w14:textId="77777777" w:rsidR="00A61935" w:rsidRDefault="0047261D">
      <w:pPr>
        <w:spacing w:after="140" w:line="288" w:lineRule="auto"/>
      </w:pPr>
      <w:r>
        <w:rPr>
          <w:b/>
          <w:bCs/>
        </w:rPr>
        <w:t xml:space="preserve">4.4 Section 1.4. </w:t>
      </w:r>
      <w:r>
        <w:t>Proposed heading: Contributions. Delete the word quantified from the third contribution, since Section 7.2 explicitly dec</w:t>
      </w:r>
      <w:r>
        <w:t>lines to quantify. Check that each contribution closes a gap named in Section 1.3; the fourth contribution currently closes no stated gap and should either be paired with one or moved to Section 8 as a finding.</w:t>
      </w:r>
    </w:p>
    <w:p w14:paraId="2CD944F3" w14:textId="77777777" w:rsidR="00A61935" w:rsidRDefault="0047261D">
      <w:pPr>
        <w:spacing w:after="140" w:line="288" w:lineRule="auto"/>
      </w:pPr>
      <w:r>
        <w:rPr>
          <w:b/>
          <w:bCs/>
        </w:rPr>
        <w:t xml:space="preserve">4.5 Section 1.6. </w:t>
      </w:r>
      <w:r>
        <w:t xml:space="preserve">Proposed heading: </w:t>
      </w:r>
      <w:proofErr w:type="spellStart"/>
      <w:r>
        <w:t>Organisati</w:t>
      </w:r>
      <w:r>
        <w:t>on</w:t>
      </w:r>
      <w:proofErr w:type="spellEnd"/>
      <w:r>
        <w:t>. The subsection restates the table of contents in prose. Four sentences are sufficient, and if the taxonomy figure is added the subsection can point to it instead.</w:t>
      </w:r>
    </w:p>
    <w:p w14:paraId="2CD944F4" w14:textId="77777777" w:rsidR="00A61935" w:rsidRDefault="0047261D">
      <w:pPr>
        <w:pStyle w:val="Heading2"/>
        <w:spacing w:before="260" w:after="120"/>
      </w:pPr>
      <w:r>
        <w:t>Section 2 (new), Review methodology</w:t>
      </w:r>
    </w:p>
    <w:p w14:paraId="2CD944F5" w14:textId="77777777" w:rsidR="00A61935" w:rsidRDefault="0047261D">
      <w:pPr>
        <w:spacing w:after="140" w:line="288" w:lineRule="auto"/>
      </w:pPr>
      <w:r>
        <w:t>The section does not exist and is required. Four subsections are proposed.</w:t>
      </w:r>
    </w:p>
    <w:p w14:paraId="2CD944F6" w14:textId="77777777" w:rsidR="00A61935" w:rsidRDefault="0047261D">
      <w:pPr>
        <w:pStyle w:val="ListParagraph"/>
        <w:numPr>
          <w:ilvl w:val="0"/>
          <w:numId w:val="2"/>
        </w:numPr>
        <w:spacing w:after="80" w:line="288" w:lineRule="auto"/>
      </w:pPr>
      <w:r>
        <w:t>4.6 Search strategy: databases consulted, the exact query strings, the date window, the language and document type filters, and the date of the last search.</w:t>
      </w:r>
    </w:p>
    <w:p w14:paraId="2CD944F7" w14:textId="77777777" w:rsidR="00A61935" w:rsidRDefault="0047261D">
      <w:pPr>
        <w:pStyle w:val="ListParagraph"/>
        <w:numPr>
          <w:ilvl w:val="0"/>
          <w:numId w:val="2"/>
        </w:numPr>
        <w:spacing w:after="80" w:line="288" w:lineRule="auto"/>
      </w:pPr>
      <w:r>
        <w:t>4.7 Inclusion and exclus</w:t>
      </w:r>
      <w:r>
        <w:t xml:space="preserve">ion criteria, containing the single rule that resolves the classification errors: the learned model is evaluated inside the prediction step of an </w:t>
      </w:r>
      <w:proofErr w:type="spellStart"/>
      <w:r>
        <w:t>optimisation</w:t>
      </w:r>
      <w:proofErr w:type="spellEnd"/>
      <w:r>
        <w:t xml:space="preserve"> based controller, at the scale under which it is tabulated. State what this excludes, namely cond</w:t>
      </w:r>
      <w:r>
        <w:t>ition monitoring, maintenance planning, converter level control and pure forecasting, and why.</w:t>
      </w:r>
    </w:p>
    <w:p w14:paraId="2CD944F8" w14:textId="77777777" w:rsidR="00A61935" w:rsidRDefault="0047261D">
      <w:pPr>
        <w:pStyle w:val="ListParagraph"/>
        <w:numPr>
          <w:ilvl w:val="0"/>
          <w:numId w:val="2"/>
        </w:numPr>
        <w:spacing w:after="80" w:line="288" w:lineRule="auto"/>
      </w:pPr>
      <w:r>
        <w:lastRenderedPageBreak/>
        <w:t>4.8 Coding rubric: the three axes on which every study is coded, that is validation level, simulation fidelity tier, and evidence of real-time capability.</w:t>
      </w:r>
    </w:p>
    <w:p w14:paraId="2CD944F9" w14:textId="77777777" w:rsidR="00A61935" w:rsidRDefault="0047261D">
      <w:pPr>
        <w:pStyle w:val="ListParagraph"/>
        <w:numPr>
          <w:ilvl w:val="0"/>
          <w:numId w:val="2"/>
        </w:numPr>
        <w:spacing w:after="80" w:line="288" w:lineRule="auto"/>
      </w:pPr>
      <w:r>
        <w:t>4.9 Co</w:t>
      </w:r>
      <w:r>
        <w:t>rpus statistics with counts at each screening stage. Once this section exists, the self-limiting sentences in Section 7.2 and in the appendix become unnecessary and should be removed, since they read as an assistant bounding its own reliability rather than</w:t>
      </w:r>
      <w:r>
        <w:t xml:space="preserve"> as a research team describing a method.</w:t>
      </w:r>
    </w:p>
    <w:p w14:paraId="2CD944FA" w14:textId="77777777" w:rsidR="00A61935" w:rsidRDefault="0047261D">
      <w:pPr>
        <w:pStyle w:val="Heading2"/>
        <w:spacing w:before="260" w:after="120"/>
      </w:pPr>
      <w:r>
        <w:t>Section 3 (was 2), Classical control and the case for MPC</w:t>
      </w:r>
    </w:p>
    <w:p w14:paraId="2CD944FB" w14:textId="77777777" w:rsidR="00A61935" w:rsidRDefault="0047261D">
      <w:pPr>
        <w:spacing w:after="140" w:line="288" w:lineRule="auto"/>
      </w:pPr>
      <w:r>
        <w:rPr>
          <w:b/>
          <w:bCs/>
        </w:rPr>
        <w:t xml:space="preserve">4.10 Section 2.1. </w:t>
      </w:r>
      <w:r>
        <w:t xml:space="preserve">The six numbered limitations are well constructed and should be kept. The second and third carry citations without a stated mechanism; add </w:t>
      </w:r>
      <w:r>
        <w:t>what fails and at which operating point.</w:t>
      </w:r>
    </w:p>
    <w:p w14:paraId="2CD944FC" w14:textId="77777777" w:rsidR="00A61935" w:rsidRDefault="0047261D">
      <w:pPr>
        <w:spacing w:after="140" w:line="288" w:lineRule="auto"/>
      </w:pPr>
      <w:r>
        <w:rPr>
          <w:b/>
          <w:bCs/>
        </w:rPr>
        <w:t xml:space="preserve">4.11 Section 2.2. </w:t>
      </w:r>
      <w:r>
        <w:t>In Equation 1 the same symbol denotes the controlled output and, in the following sentence, the state. Correct the notation and define every symbol. No terminal cost or terminal constraint appears,</w:t>
      </w:r>
      <w:r>
        <w:t xml:space="preserve"> although Section 7.5 makes the absence of stability guarantees the central open gap of the review; the standard mechanism by which model predictive control obtains those guarantees must therefore be presented here, in one paragraph. Add one sentence stati</w:t>
      </w:r>
      <w:r>
        <w:t>ng where the surrogate will be inserted, pointing to the new block diagram.</w:t>
      </w:r>
    </w:p>
    <w:p w14:paraId="2CD944FD" w14:textId="77777777" w:rsidR="00A61935" w:rsidRDefault="0047261D">
      <w:pPr>
        <w:pStyle w:val="Heading2"/>
        <w:spacing w:before="260" w:after="120"/>
      </w:pPr>
      <w:r>
        <w:t>Section 4 (was 3), Turbine-level surrogates</w:t>
      </w:r>
    </w:p>
    <w:p w14:paraId="2CD944FE" w14:textId="77777777" w:rsidR="00A61935" w:rsidRDefault="0047261D">
      <w:pPr>
        <w:spacing w:after="140" w:line="288" w:lineRule="auto"/>
      </w:pPr>
      <w:r>
        <w:rPr>
          <w:b/>
          <w:bCs/>
        </w:rPr>
        <w:t xml:space="preserve">4.12 Section 3.1, neuro-fuzzy models. </w:t>
      </w:r>
      <w:r>
        <w:t xml:space="preserve">The field-test claim must be re-established or withdrawn. The 2025 Wind Energy paper by Klein and </w:t>
      </w:r>
      <w:r>
        <w:t>colleagues is a robust linear time-varying model predictive controller combined with an extended Kalman filter, and its abstract describes no machine learning surrogate. The 2024 item is an extended Kalman filter load estimator presented at the TORQUE conf</w:t>
      </w:r>
      <w:r>
        <w:t>erence, and is not a field test, although the appendix table records it as one. Locate the subsection of the 2025 paper that describes the internal prediction model and cite it by number, or remove the claim from the abstract, from this subsection, from Ta</w:t>
      </w:r>
      <w:r>
        <w:t>bles 1, 3 and 4, from Section 8.1 and from the conclusion.</w:t>
      </w:r>
    </w:p>
    <w:p w14:paraId="2CD944FF" w14:textId="77777777" w:rsidR="00A61935" w:rsidRDefault="0047261D">
      <w:pPr>
        <w:spacing w:after="140" w:line="288" w:lineRule="auto"/>
      </w:pPr>
      <w:r>
        <w:rPr>
          <w:b/>
          <w:bCs/>
        </w:rPr>
        <w:t xml:space="preserve">4.13 Section 3.1, corpus. </w:t>
      </w:r>
      <w:r>
        <w:t>Remove the study on blade defect detection, which is condition monitoring and is excluded by the review own scope statement. Reclassify the two studies that are fuzzy logi</w:t>
      </w:r>
      <w:r>
        <w:t>c controllers combined with an extended Kalman filter, since neither is a learned surrogate inside a prediction step. Move the recurrent network study on pitch control to Section 3.4, where it belongs; at present it is counted in two families at once. Afte</w:t>
      </w:r>
      <w:r>
        <w:t>r these changes the closed-loop count for this family changes, so Table 1 must be regenerated rather than edited by hand.</w:t>
      </w:r>
    </w:p>
    <w:p w14:paraId="2CD94500" w14:textId="77777777" w:rsidR="00A61935" w:rsidRDefault="0047261D">
      <w:pPr>
        <w:spacing w:after="140" w:line="288" w:lineRule="auto"/>
      </w:pPr>
      <w:r>
        <w:rPr>
          <w:b/>
          <w:bCs/>
        </w:rPr>
        <w:t xml:space="preserve">4.14 Section 3.2, Gaussian processes. </w:t>
      </w:r>
      <w:r>
        <w:t xml:space="preserve">Remove the study by </w:t>
      </w:r>
      <w:proofErr w:type="spellStart"/>
      <w:r>
        <w:t>Lio</w:t>
      </w:r>
      <w:proofErr w:type="spellEnd"/>
      <w:r>
        <w:t xml:space="preserve"> and Meng, which is a bank of extended Kalman filters combined by interacting multiple model weighting and contains no Gaussian process. Remove the study by Palma and colleagues, which uses dynamic mode decomposition, as the title in</w:t>
      </w:r>
      <w:r>
        <w:t xml:space="preserve"> your own bibliography states. Describe the remaining radial basis function study accurately rather than as closely related to Gaussian process kernels. State that the airborne wind energy study concerns a kite rather than a horizontal axis turbine and dec</w:t>
      </w:r>
      <w:r>
        <w:t>ide explicitly whether it is in scope. The honest consequence, which should be stated, is that the family reduces to essentially one genuine turbine-level study.</w:t>
      </w:r>
    </w:p>
    <w:p w14:paraId="2CD94501" w14:textId="77777777" w:rsidR="00A61935" w:rsidRDefault="0047261D">
      <w:pPr>
        <w:spacing w:after="140" w:line="288" w:lineRule="auto"/>
      </w:pPr>
      <w:r>
        <w:rPr>
          <w:b/>
          <w:bCs/>
        </w:rPr>
        <w:t xml:space="preserve">4.15 Section 3.2, priority claim. </w:t>
      </w:r>
      <w:r>
        <w:t>Soften the description of the 2004 Gaussian process controll</w:t>
      </w:r>
      <w:r>
        <w:t xml:space="preserve">er as the earliest such formulation to among the earliest, unless a priority search has been carried out. Verify also whether that paper </w:t>
      </w:r>
      <w:proofErr w:type="spellStart"/>
      <w:r>
        <w:t>penalises</w:t>
      </w:r>
      <w:proofErr w:type="spellEnd"/>
      <w:r>
        <w:t xml:space="preserve"> the predicted variance in the cost or constrains it, since the two formulations differ and the review states </w:t>
      </w:r>
      <w:r>
        <w:t>the second.</w:t>
      </w:r>
    </w:p>
    <w:p w14:paraId="2CD94502" w14:textId="77777777" w:rsidR="00A61935" w:rsidRDefault="0047261D">
      <w:pPr>
        <w:spacing w:after="140" w:line="288" w:lineRule="auto"/>
      </w:pPr>
      <w:r>
        <w:rPr>
          <w:b/>
          <w:bCs/>
        </w:rPr>
        <w:lastRenderedPageBreak/>
        <w:t xml:space="preserve">4.16 Section 3.3, physics-informed networks. </w:t>
      </w:r>
      <w:r>
        <w:t>The subsection rests on a single study, from which the abstract concludes that this family shows the widest documented gap between motivation and control readiness. One study does not support a super</w:t>
      </w:r>
      <w:r>
        <w:t>lative. Either widen the corpus or reframe the subsection around the contrast that physics-informed models are absent at turbine level but present and closed-loop validated at farm level, which is a genuine finding and links this subsection to Section 5.4.</w:t>
      </w:r>
    </w:p>
    <w:p w14:paraId="2CD94503" w14:textId="77777777" w:rsidR="00A61935" w:rsidRDefault="0047261D">
      <w:pPr>
        <w:spacing w:after="140" w:line="288" w:lineRule="auto"/>
      </w:pPr>
      <w:r>
        <w:rPr>
          <w:b/>
          <w:bCs/>
        </w:rPr>
        <w:t xml:space="preserve">4.17 Section 3.4, sequential architectures. </w:t>
      </w:r>
      <w:r>
        <w:t>Temporal convolutional networks are defined and named in the heading but never applied to a wind study and never appear in Table 1; either add the studies or remove them from the heading. The study by Witter and</w:t>
      </w:r>
      <w:r>
        <w:t xml:space="preserve"> colleagues, on which the central claim of the review rests, builds a surrogate of a multibody simulation model for real-time digital twin use and runs it in a loop with the turbine own controller. There is no model predictive controller in that paper. Rew</w:t>
      </w:r>
      <w:r>
        <w:t>rite the passage accordingly: a plant surrogate in closed loop with a conventional controller, in which recurrent architectures degraded and a transformer did not. The description of the architecture as decoder only, and the coefficient of determination of</w:t>
      </w:r>
      <w:r>
        <w:t xml:space="preserve"> 0.94, could not be found in any accessible record and must be traced to a specific table or figure, and reported with the output channel, the sampling rate and the horizon. The underlying thesis, that offline accuracy and closed-loop stability are only lo</w:t>
      </w:r>
      <w:r>
        <w:t>osely coupled, is correct and survives; only its evidence must change.</w:t>
      </w:r>
    </w:p>
    <w:p w14:paraId="2CD94504" w14:textId="77777777" w:rsidR="00A61935" w:rsidRDefault="0047261D">
      <w:pPr>
        <w:spacing w:after="140" w:line="288" w:lineRule="auto"/>
      </w:pPr>
      <w:r>
        <w:rPr>
          <w:b/>
          <w:bCs/>
        </w:rPr>
        <w:t xml:space="preserve">4.18 Section 3.4, scale. </w:t>
      </w:r>
      <w:r>
        <w:t>Three farm-level studies are discussed here and counted in the turbine-level appendix table. Move them to Section 5.</w:t>
      </w:r>
    </w:p>
    <w:p w14:paraId="2CD94505" w14:textId="77777777" w:rsidR="00A61935" w:rsidRDefault="0047261D">
      <w:pPr>
        <w:spacing w:after="140" w:line="288" w:lineRule="auto"/>
      </w:pPr>
      <w:r>
        <w:rPr>
          <w:b/>
          <w:bCs/>
        </w:rPr>
        <w:t xml:space="preserve">4.19 Section 3.5, reinforcement learning. </w:t>
      </w:r>
      <w:r>
        <w:t>M</w:t>
      </w:r>
      <w:r>
        <w:t>ove the wind farm study to Section 5.5, where it also appears, so that it is counted once. Several reference numbers appear in the running text as plain parentheses rather than as citations; correct these throughout.</w:t>
      </w:r>
    </w:p>
    <w:p w14:paraId="2CD94506" w14:textId="77777777" w:rsidR="00A61935" w:rsidRDefault="0047261D">
      <w:pPr>
        <w:pStyle w:val="Heading2"/>
        <w:spacing w:before="260" w:after="120"/>
      </w:pPr>
      <w:r>
        <w:t>Section 5 (was 4), Wind preview and est</w:t>
      </w:r>
      <w:r>
        <w:t>imation</w:t>
      </w:r>
    </w:p>
    <w:p w14:paraId="2CD94507" w14:textId="77777777" w:rsidR="00A61935" w:rsidRDefault="0047261D">
      <w:pPr>
        <w:spacing w:after="140" w:line="288" w:lineRule="auto"/>
      </w:pPr>
      <w:r>
        <w:rPr>
          <w:b/>
          <w:bCs/>
        </w:rPr>
        <w:t xml:space="preserve">4.20 Section 4.1. </w:t>
      </w:r>
      <w:r>
        <w:t xml:space="preserve">The reductions of up to 50 per cent in extreme gust loading and 30 per cent in lifetime fatigue are correctly reported, but the source presents that controller explicitly as an upper bound, with real-time suitable schemes treated </w:t>
      </w:r>
      <w:r>
        <w:t xml:space="preserve">separately. State this condition alongside the numbers, together with the load channel and the simulation environment. Absorb the deleted Section 2.3 here. The five practical limitations of lidar are the best argued passage in the manuscript and should be </w:t>
      </w:r>
      <w:r>
        <w:t>left intact.</w:t>
      </w:r>
    </w:p>
    <w:p w14:paraId="2CD94508" w14:textId="77777777" w:rsidR="00A61935" w:rsidRDefault="0047261D">
      <w:pPr>
        <w:spacing w:after="140" w:line="288" w:lineRule="auto"/>
      </w:pPr>
      <w:r>
        <w:rPr>
          <w:b/>
          <w:bCs/>
        </w:rPr>
        <w:t xml:space="preserve">4.21 Section 4.3. </w:t>
      </w:r>
      <w:r>
        <w:t xml:space="preserve">The subsection describes a method that the cited paper does not use. The simplest correct remedy is to fold two accurate sentences into Section 4.2 and delete the subsection. If it is retained, the heading and every sentence </w:t>
      </w:r>
      <w:r>
        <w:t>in it must change.</w:t>
      </w:r>
    </w:p>
    <w:p w14:paraId="2CD94509" w14:textId="77777777" w:rsidR="00A61935" w:rsidRDefault="0047261D">
      <w:pPr>
        <w:pStyle w:val="Heading2"/>
        <w:spacing w:before="260" w:after="120"/>
      </w:pPr>
      <w:r>
        <w:t>Section 6 (was 5), Farm-level control</w:t>
      </w:r>
    </w:p>
    <w:p w14:paraId="2CD9450A" w14:textId="77777777" w:rsidR="00A61935" w:rsidRDefault="0047261D">
      <w:pPr>
        <w:spacing w:after="140" w:line="288" w:lineRule="auto"/>
      </w:pPr>
      <w:r>
        <w:rPr>
          <w:b/>
          <w:bCs/>
        </w:rPr>
        <w:t xml:space="preserve">4.22 Sections 5.1 to 5.4. </w:t>
      </w:r>
      <w:r>
        <w:t>These four subsections are the most solid part of the manuscript and require no substantive change. The observation that comparative claims in this literature are demonstrat</w:t>
      </w:r>
      <w:r>
        <w:t>ed on the authors own case studies rather than head to head is exactly the critical register that the remainder of the review needs.</w:t>
      </w:r>
    </w:p>
    <w:p w14:paraId="2CD9450B" w14:textId="77777777" w:rsidR="00A61935" w:rsidRDefault="0047261D">
      <w:pPr>
        <w:spacing w:after="140" w:line="288" w:lineRule="auto"/>
      </w:pPr>
      <w:r>
        <w:rPr>
          <w:b/>
          <w:bCs/>
        </w:rPr>
        <w:t xml:space="preserve">4.23 Section 5.5. </w:t>
      </w:r>
      <w:r>
        <w:t>The claim of an inverse relationship between architectural novelty and validation realism is derived from</w:t>
      </w:r>
      <w:r>
        <w:t xml:space="preserve"> the fidelity column of Table 2, which classifies the same simulator as high fidelity in three rows and low fidelity in a fourth. Re-derive the claim after the fidelity ladder is corrected, and report the outcome either way; if it does not survive, that is</w:t>
      </w:r>
      <w:r>
        <w:t xml:space="preserve"> also a finding. Describe the hierarchical reinforcement learning study accurately as an April 2026 preprint with a three-turbine case and a </w:t>
      </w:r>
      <w:r>
        <w:lastRenderedPageBreak/>
        <w:t>reported 23 per cent power gain, in which the learning agent supplies state estimates to a model predictive control</w:t>
      </w:r>
      <w:r>
        <w:t xml:space="preserve"> layer rather than controlling turbines directly.</w:t>
      </w:r>
    </w:p>
    <w:p w14:paraId="2CD9450C" w14:textId="77777777" w:rsidR="00A61935" w:rsidRDefault="0047261D">
      <w:pPr>
        <w:spacing w:after="140" w:line="288" w:lineRule="auto"/>
      </w:pPr>
      <w:r>
        <w:rPr>
          <w:b/>
          <w:bCs/>
        </w:rPr>
        <w:t xml:space="preserve">4.24 Section 5.8. </w:t>
      </w:r>
      <w:r>
        <w:t>Rebuild Table 2 with a three-tier fidelity classification, an explicit turbine count column, and a column recording whether computational cost was reported. Two rows are coded as not appli</w:t>
      </w:r>
      <w:r>
        <w:t>cable in a table of control studies; either widen the table title or move those rows out.</w:t>
      </w:r>
    </w:p>
    <w:p w14:paraId="2CD9450D" w14:textId="77777777" w:rsidR="00A61935" w:rsidRDefault="0047261D">
      <w:pPr>
        <w:pStyle w:val="Heading2"/>
        <w:spacing w:before="260" w:after="120"/>
      </w:pPr>
      <w:r>
        <w:t>Section 7 (was 6), Real-time feasibility</w:t>
      </w:r>
    </w:p>
    <w:p w14:paraId="2CD9450E" w14:textId="77777777" w:rsidR="00A61935" w:rsidRDefault="0047261D">
      <w:pPr>
        <w:spacing w:after="140" w:line="288" w:lineRule="auto"/>
      </w:pPr>
      <w:r>
        <w:rPr>
          <w:b/>
          <w:bCs/>
        </w:rPr>
        <w:t xml:space="preserve">4.25 Section 6.1. </w:t>
      </w:r>
      <w:r>
        <w:t>The text states that nonlinear model predictive control is typically solved by sequential quadratic program</w:t>
      </w:r>
      <w:r>
        <w:t>ming and cites a paper that certifies complexity for the fast gradient method on input-constrained linear problems. Either change the sentence or add an appropriate source.</w:t>
      </w:r>
    </w:p>
    <w:p w14:paraId="2CD9450F" w14:textId="18AB0F79" w:rsidR="00A61935" w:rsidRDefault="0047261D">
      <w:pPr>
        <w:spacing w:after="140" w:line="288" w:lineRule="auto"/>
      </w:pPr>
      <w:r>
        <w:rPr>
          <w:b/>
          <w:bCs/>
        </w:rPr>
        <w:t xml:space="preserve">4.26 Section 6.2. </w:t>
      </w:r>
      <w:r>
        <w:t>Six technical claims appear with one citation between them: basis</w:t>
      </w:r>
      <w:r>
        <w:t xml:space="preserve"> function parameterization</w:t>
      </w:r>
      <w:r>
        <w:t xml:space="preserve">, Koopman approximation, piecewise affine and neural approximation of the control law, warm starting, horizon truncation and early termination. Explicit model predictive control and its neural approximations have a </w:t>
      </w:r>
      <w:proofErr w:type="spellStart"/>
      <w:r>
        <w:t>well defined</w:t>
      </w:r>
      <w:proofErr w:type="spellEnd"/>
      <w:r>
        <w:t xml:space="preserve"> pr</w:t>
      </w:r>
      <w:r>
        <w:t>imary literature, and move blocking has been applied by the same group to the same turbine discussed earlier in the review. Cite or delete. A short table giving, for each strategy, what it reduces, what it costs and whether constraint satisfaction survives</w:t>
      </w:r>
      <w:r>
        <w:t xml:space="preserve"> would give the reader something no primary paper provides.</w:t>
      </w:r>
    </w:p>
    <w:p w14:paraId="2CD94510" w14:textId="77777777" w:rsidR="00A61935" w:rsidRDefault="0047261D">
      <w:pPr>
        <w:spacing w:after="140" w:line="288" w:lineRule="auto"/>
      </w:pPr>
      <w:r>
        <w:rPr>
          <w:b/>
          <w:bCs/>
        </w:rPr>
        <w:t xml:space="preserve">4.27 Section 6.3. </w:t>
      </w:r>
      <w:r>
        <w:t>Five references are devoted to finite control set control of the power electronic stage, which involves no learned surrogate and operates at a switching frequency one to two orders of magnitude above the mechanical loop. Reduce to two sentences in the scop</w:t>
      </w:r>
      <w:r>
        <w:t>e statement or justify the inclusion explicitly.</w:t>
      </w:r>
    </w:p>
    <w:p w14:paraId="2CD94511" w14:textId="77777777" w:rsidR="00A61935" w:rsidRDefault="0047261D">
      <w:pPr>
        <w:spacing w:after="140" w:line="288" w:lineRule="auto"/>
      </w:pPr>
      <w:r>
        <w:rPr>
          <w:b/>
          <w:bCs/>
        </w:rPr>
        <w:t xml:space="preserve">4.28 Section 6.5. </w:t>
      </w:r>
      <w:r>
        <w:t>This is technically the strongest passage in the manuscript. The argument that a calibrated predictive variance provides a principled basis for constraint tightening, whereas a point predic</w:t>
      </w:r>
      <w:r>
        <w:t>tion does not, is the best original observation in the review. Expand it to cover the ensemble and conformal prediction alternatives that Section 8.4 later proposes, so that the open challenge is grounded in a mechanism discussed here.</w:t>
      </w:r>
    </w:p>
    <w:p w14:paraId="2CD94512" w14:textId="77777777" w:rsidR="00A61935" w:rsidRDefault="0047261D">
      <w:pPr>
        <w:pStyle w:val="Heading2"/>
        <w:spacing w:before="260" w:after="120"/>
      </w:pPr>
      <w:r>
        <w:t>Section 8 (was 7), C</w:t>
      </w:r>
      <w:r>
        <w:t>ritical synthesis</w:t>
      </w:r>
    </w:p>
    <w:p w14:paraId="2CD94513" w14:textId="77777777" w:rsidR="00A61935" w:rsidRDefault="0047261D">
      <w:pPr>
        <w:spacing w:after="140" w:line="288" w:lineRule="auto"/>
      </w:pPr>
      <w:r>
        <w:rPr>
          <w:b/>
          <w:bCs/>
        </w:rPr>
        <w:t xml:space="preserve">4.29 Section 7.1. </w:t>
      </w:r>
      <w:r>
        <w:t>Table 3 restates Tables 1 and 2 without adding information. Replace it with the comparison on fixed axes described in item 8.2.</w:t>
      </w:r>
    </w:p>
    <w:p w14:paraId="2CD94514" w14:textId="77777777" w:rsidR="00A61935" w:rsidRDefault="0047261D">
      <w:pPr>
        <w:spacing w:after="140" w:line="288" w:lineRule="auto"/>
      </w:pPr>
      <w:r>
        <w:rPr>
          <w:b/>
          <w:bCs/>
        </w:rPr>
        <w:t xml:space="preserve">4.30 Section 7.2. </w:t>
      </w:r>
      <w:r>
        <w:t xml:space="preserve">Proposed heading: How large is the gap, and what can be claimed about it. </w:t>
      </w:r>
      <w:r>
        <w:t>Once the methodology section exists, this subsection either reports a count or is rewritten as an explicitly qualitative claim. The present combination, in which a contribution promises quantification, the abstract asserts a proportion, the subsection decl</w:t>
      </w:r>
      <w:r>
        <w:t>ines to quantify and the appendix reports the opposite ratio, is an internal contradiction that a reviewer will read as a claim the authors know they cannot support.</w:t>
      </w:r>
    </w:p>
    <w:p w14:paraId="2CD94515" w14:textId="77777777" w:rsidR="00A61935" w:rsidRDefault="0047261D">
      <w:pPr>
        <w:spacing w:after="140" w:line="288" w:lineRule="auto"/>
      </w:pPr>
      <w:r>
        <w:rPr>
          <w:b/>
          <w:bCs/>
        </w:rPr>
        <w:t xml:space="preserve">4.31 Section 7.3. </w:t>
      </w:r>
      <w:r>
        <w:t>The observation that physics-guided wake models play the same structural</w:t>
      </w:r>
      <w:r>
        <w:t xml:space="preserve"> role at farm level as physics-informed networks at turbine level, and that reinforcement learning recurs at both scales with the same missing guarantee, is a genuine insight. It survives every finding in the referee report and should be considered for the</w:t>
      </w:r>
      <w:r>
        <w:t xml:space="preserve"> abstract.</w:t>
      </w:r>
    </w:p>
    <w:p w14:paraId="2CD94516" w14:textId="77777777" w:rsidR="00A61935" w:rsidRDefault="0047261D">
      <w:pPr>
        <w:spacing w:after="140" w:line="288" w:lineRule="auto"/>
      </w:pPr>
      <w:r>
        <w:rPr>
          <w:b/>
          <w:bCs/>
        </w:rPr>
        <w:t xml:space="preserve">4.32 Section 7.4. </w:t>
      </w:r>
      <w:r>
        <w:t>Both pillars of this subsection are the two findings under repair, namely the misattributed turbine-level evidence and the fidelity column. Rewrite once both are settled.</w:t>
      </w:r>
    </w:p>
    <w:p w14:paraId="2CD94517" w14:textId="77777777" w:rsidR="00A61935" w:rsidRDefault="0047261D">
      <w:pPr>
        <w:spacing w:after="140" w:line="288" w:lineRule="auto"/>
      </w:pPr>
      <w:r>
        <w:rPr>
          <w:b/>
          <w:bCs/>
        </w:rPr>
        <w:lastRenderedPageBreak/>
        <w:t xml:space="preserve">4.33 Section 7.5. </w:t>
      </w:r>
      <w:r>
        <w:t xml:space="preserve">Correct and well argued, and the most </w:t>
      </w:r>
      <w:r>
        <w:t>defensible claim in the paper. Correct the bare reference numbers and leave the argument alone.</w:t>
      </w:r>
    </w:p>
    <w:p w14:paraId="2CD94518" w14:textId="77777777" w:rsidR="00A61935" w:rsidRDefault="0047261D">
      <w:pPr>
        <w:pStyle w:val="Heading2"/>
        <w:spacing w:before="260" w:after="120"/>
      </w:pPr>
      <w:r>
        <w:t>Section 9 (was 8), Open challenges</w:t>
      </w:r>
    </w:p>
    <w:p w14:paraId="2CD94519" w14:textId="77777777" w:rsidR="00A61935" w:rsidRDefault="0047261D">
      <w:pPr>
        <w:spacing w:after="140" w:line="288" w:lineRule="auto"/>
      </w:pPr>
      <w:r>
        <w:rPr>
          <w:b/>
          <w:bCs/>
        </w:rPr>
        <w:t xml:space="preserve">4.34 Section 8.1. </w:t>
      </w:r>
      <w:r>
        <w:t>The argument stands, but the sentence naming the single field test must state what was actually field-teste</w:t>
      </w:r>
      <w:r>
        <w:t>d, namely a model predictive controller with an extended Kalman filter, on a 3 MW turbine, over roughly three hours of continuous controller access. Whether a learned surrogate was inside it is the open question.</w:t>
      </w:r>
    </w:p>
    <w:p w14:paraId="2CD9451A" w14:textId="77777777" w:rsidR="00A61935" w:rsidRDefault="0047261D">
      <w:pPr>
        <w:spacing w:after="140" w:line="288" w:lineRule="auto"/>
      </w:pPr>
      <w:r>
        <w:rPr>
          <w:b/>
          <w:bCs/>
        </w:rPr>
        <w:t xml:space="preserve">4.35 Section 8.2. </w:t>
      </w:r>
      <w:r>
        <w:t>The claim that evaluation</w:t>
      </w:r>
      <w:r>
        <w:t xml:space="preserve"> metrics are not </w:t>
      </w:r>
      <w:proofErr w:type="spellStart"/>
      <w:r>
        <w:t>standardised</w:t>
      </w:r>
      <w:proofErr w:type="spellEnd"/>
      <w:r>
        <w:t xml:space="preserve"> is asserted rather than shown. The cells marked as not reported in the new comparison table are the evidence and are more persuasive than the claim.</w:t>
      </w:r>
    </w:p>
    <w:p w14:paraId="2CD9451B" w14:textId="77777777" w:rsidR="00A61935" w:rsidRDefault="0047261D">
      <w:pPr>
        <w:spacing w:after="140" w:line="288" w:lineRule="auto"/>
      </w:pPr>
      <w:r>
        <w:rPr>
          <w:b/>
          <w:bCs/>
        </w:rPr>
        <w:t xml:space="preserve">4.36 Section 8.3. </w:t>
      </w:r>
      <w:r>
        <w:t>The claim that hybrid mechanism and data models inside a co</w:t>
      </w:r>
      <w:r>
        <w:t>ntrol loop are largely absent is refuted by two of the review own references, one of which places a Gaussian process residual on a simplified mechanistic model inside a controller, and one of which embeds a physics-guided neural wake model in a wake steeri</w:t>
      </w:r>
      <w:r>
        <w:t>ng controller. Restate the gap as the absence of hybrid models with a stated validity envelope and a bound on the learned correction, which is both true and directly connected to Section 7.5.</w:t>
      </w:r>
    </w:p>
    <w:p w14:paraId="2CD9451C" w14:textId="77777777" w:rsidR="00A61935" w:rsidRDefault="0047261D">
      <w:pPr>
        <w:pStyle w:val="Heading2"/>
        <w:spacing w:before="260" w:after="120"/>
      </w:pPr>
      <w:r>
        <w:t>Section 10 (was 9), Conclusion</w:t>
      </w:r>
    </w:p>
    <w:p w14:paraId="2CD9451D" w14:textId="77777777" w:rsidR="00A61935" w:rsidRDefault="0047261D">
      <w:pPr>
        <w:spacing w:after="140" w:line="288" w:lineRule="auto"/>
      </w:pPr>
      <w:r>
        <w:rPr>
          <w:b/>
          <w:bCs/>
        </w:rPr>
        <w:t xml:space="preserve">4.37 </w:t>
      </w:r>
      <w:r>
        <w:t>Remove the recommendation to</w:t>
      </w:r>
      <w:r>
        <w:t xml:space="preserve"> practitioners that points to the neuro-fuzzy family on the basis of a field-tested precedent, until item 4.12 is resolved. Reconcile the third contribution with Sections 1.4 and 7.2. The closing sentence, that progress depends less on new architectures th</w:t>
      </w:r>
      <w:r>
        <w:t xml:space="preserve">an on closing the gap between prediction and control, is the right ending and should be kept. A review should not declare a winner; reframe the closing recommendation around the conditions that will decide the question, namely access to field testing, </w:t>
      </w:r>
      <w:proofErr w:type="spellStart"/>
      <w:r>
        <w:t>stan</w:t>
      </w:r>
      <w:r>
        <w:t>dardised</w:t>
      </w:r>
      <w:proofErr w:type="spellEnd"/>
      <w:r>
        <w:t xml:space="preserve"> benchmarks, uncertainty quantification outside one family, and embedded solver hardware.</w:t>
      </w:r>
    </w:p>
    <w:p w14:paraId="2CD9451E" w14:textId="77777777" w:rsidR="00A61935" w:rsidRDefault="0047261D">
      <w:pPr>
        <w:pStyle w:val="Heading1"/>
        <w:spacing w:before="340" w:after="160"/>
      </w:pPr>
      <w:r>
        <w:t>5. Figures to add</w:t>
      </w:r>
    </w:p>
    <w:p w14:paraId="2CD9451F" w14:textId="77777777" w:rsidR="00A61935" w:rsidRDefault="0047261D">
      <w:pPr>
        <w:spacing w:after="140" w:line="288" w:lineRule="auto"/>
      </w:pPr>
      <w:r>
        <w:t>The manuscript contains no figures, which for a review of this length is by itself a revision request. Two of the five proposed figures woul</w:t>
      </w:r>
      <w:r>
        <w:t>d have prevented the classification errors described above.</w:t>
      </w:r>
    </w:p>
    <w:p w14:paraId="2CD94520" w14:textId="77777777" w:rsidR="00A61935" w:rsidRDefault="0047261D">
      <w:pPr>
        <w:pStyle w:val="ListParagraph"/>
        <w:numPr>
          <w:ilvl w:val="0"/>
          <w:numId w:val="2"/>
        </w:numPr>
        <w:spacing w:after="80" w:line="288" w:lineRule="auto"/>
      </w:pPr>
      <w:r>
        <w:t>5.1 A taxonomy figure showing the five turbine-level families and the three farm-level architectures on one page, with the shared families linked across scales. The paper should then walk this fig</w:t>
      </w:r>
      <w:r>
        <w:t>ure.</w:t>
      </w:r>
    </w:p>
    <w:p w14:paraId="2CD94521" w14:textId="77777777" w:rsidR="00A61935" w:rsidRDefault="0047261D">
      <w:pPr>
        <w:pStyle w:val="ListParagraph"/>
        <w:numPr>
          <w:ilvl w:val="0"/>
          <w:numId w:val="2"/>
        </w:numPr>
        <w:spacing w:after="80" w:line="288" w:lineRule="auto"/>
      </w:pPr>
      <w:r>
        <w:t>5.2 A block diagram of the control loop with numbered insertion points for the surrogate, and every surveyed family mapped to one of them. This is the figure that makes the classification reproducible.</w:t>
      </w:r>
    </w:p>
    <w:p w14:paraId="2CD94522" w14:textId="77777777" w:rsidR="00A61935" w:rsidRDefault="0047261D">
      <w:pPr>
        <w:pStyle w:val="ListParagraph"/>
        <w:numPr>
          <w:ilvl w:val="0"/>
          <w:numId w:val="2"/>
        </w:numPr>
        <w:spacing w:after="80" w:line="288" w:lineRule="auto"/>
      </w:pPr>
      <w:r>
        <w:t>5.3 A maturity map placing every study on an evid</w:t>
      </w:r>
      <w:r>
        <w:t>ence axis running from offline prediction to field deployment, against publication year, with marker shape indicating the family.</w:t>
      </w:r>
    </w:p>
    <w:p w14:paraId="2CD94523" w14:textId="77777777" w:rsidR="00A61935" w:rsidRDefault="0047261D">
      <w:pPr>
        <w:pStyle w:val="ListParagraph"/>
        <w:numPr>
          <w:ilvl w:val="0"/>
          <w:numId w:val="2"/>
        </w:numPr>
        <w:spacing w:after="80" w:line="288" w:lineRule="auto"/>
      </w:pPr>
      <w:r>
        <w:t>5.4 A scatter plot of validation fidelity against architectural novelty for the farm-level studies, which tests the claim of Section 5.5 rather than asserting it.</w:t>
      </w:r>
    </w:p>
    <w:p w14:paraId="2CD94524" w14:textId="77777777" w:rsidR="00A61935" w:rsidRDefault="0047261D">
      <w:pPr>
        <w:pStyle w:val="ListParagraph"/>
        <w:numPr>
          <w:ilvl w:val="0"/>
          <w:numId w:val="2"/>
        </w:numPr>
        <w:spacing w:after="80" w:line="288" w:lineRule="auto"/>
      </w:pPr>
      <w:r>
        <w:t>5.5 A screening flow diagram for the new methodology section, with counts and exclusion reaso</w:t>
      </w:r>
      <w:r>
        <w:t>ns at each stage.</w:t>
      </w:r>
    </w:p>
    <w:p w14:paraId="2CD94525" w14:textId="77777777" w:rsidR="00A61935" w:rsidRDefault="0047261D">
      <w:pPr>
        <w:pStyle w:val="ListParagraph"/>
        <w:numPr>
          <w:ilvl w:val="0"/>
          <w:numId w:val="2"/>
        </w:numPr>
        <w:spacing w:after="80" w:line="288" w:lineRule="auto"/>
      </w:pPr>
      <w:r>
        <w:lastRenderedPageBreak/>
        <w:t>5.6 Optional. A schematic showing how the online cost accumulates through solver iterations, horizon steps and surrogate evaluations, which explains why a deep network in the inner loop differs structurally from a locally linear model.</w:t>
      </w:r>
    </w:p>
    <w:p w14:paraId="2CD94526" w14:textId="77777777" w:rsidR="00A61935" w:rsidRDefault="0047261D">
      <w:pPr>
        <w:pStyle w:val="Heading1"/>
        <w:spacing w:before="340" w:after="160"/>
      </w:pPr>
      <w:r>
        <w:t>6.</w:t>
      </w:r>
      <w:r>
        <w:t xml:space="preserve"> Tables to rebuild or add</w:t>
      </w:r>
    </w:p>
    <w:p w14:paraId="2CD94527" w14:textId="77777777" w:rsidR="00A61935" w:rsidRDefault="0047261D">
      <w:pPr>
        <w:pStyle w:val="ListParagraph"/>
        <w:numPr>
          <w:ilvl w:val="0"/>
          <w:numId w:val="2"/>
        </w:numPr>
        <w:spacing w:after="80" w:line="288" w:lineRule="auto"/>
      </w:pPr>
      <w:r>
        <w:t>6.1 Rebuild Table 1 from the coding sheet after the reclassifications above. Two cells are currently empty and the counts disagree with the appendix table.</w:t>
      </w:r>
    </w:p>
    <w:p w14:paraId="2CD94528" w14:textId="77777777" w:rsidR="00A61935" w:rsidRDefault="0047261D">
      <w:pPr>
        <w:pStyle w:val="ListParagraph"/>
        <w:numPr>
          <w:ilvl w:val="0"/>
          <w:numId w:val="2"/>
        </w:numPr>
        <w:spacing w:after="80" w:line="288" w:lineRule="auto"/>
      </w:pPr>
      <w:r>
        <w:t>6.2 Add a comparison of all families on fixed axes, replacing Table 3: pre</w:t>
      </w:r>
      <w:r>
        <w:t>diction horizon, control sampling rate, reported online solve time, hardware platform, model size, availability of calibrated uncertainty, constraint handling, stability guarantee, and evidence level. Where a study reports nothing, write not reported; that</w:t>
      </w:r>
      <w:r>
        <w:t xml:space="preserve"> column is the evidence for the </w:t>
      </w:r>
      <w:proofErr w:type="spellStart"/>
      <w:r>
        <w:t>standardisation</w:t>
      </w:r>
      <w:proofErr w:type="spellEnd"/>
      <w:r>
        <w:t xml:space="preserve"> argument.</w:t>
      </w:r>
    </w:p>
    <w:p w14:paraId="2CD94529" w14:textId="77777777" w:rsidR="00A61935" w:rsidRDefault="0047261D">
      <w:pPr>
        <w:pStyle w:val="ListParagraph"/>
        <w:numPr>
          <w:ilvl w:val="0"/>
          <w:numId w:val="2"/>
        </w:numPr>
        <w:spacing w:after="80" w:line="288" w:lineRule="auto"/>
      </w:pPr>
      <w:r>
        <w:t>6.3 Rebuild Table 2 as described in item 4.24.</w:t>
      </w:r>
    </w:p>
    <w:p w14:paraId="2CD9452A" w14:textId="77777777" w:rsidR="00A61935" w:rsidRDefault="0047261D">
      <w:pPr>
        <w:pStyle w:val="ListParagraph"/>
        <w:numPr>
          <w:ilvl w:val="0"/>
          <w:numId w:val="2"/>
        </w:numPr>
        <w:spacing w:after="80" w:line="288" w:lineRule="auto"/>
      </w:pPr>
      <w:r>
        <w:t>6.4 Add a table of prior reviews, with columns for scope, turbine level coverage, farm level coverage, closed-loop criterion, real-time criterion and year. This table is the gap argument and replaces the four-qualifier sentence in Section 1.3.</w:t>
      </w:r>
    </w:p>
    <w:p w14:paraId="2CD9452B" w14:textId="77777777" w:rsidR="00A61935" w:rsidRDefault="0047261D">
      <w:pPr>
        <w:pStyle w:val="ListParagraph"/>
        <w:numPr>
          <w:ilvl w:val="0"/>
          <w:numId w:val="2"/>
        </w:numPr>
        <w:spacing w:after="80" w:line="288" w:lineRule="auto"/>
      </w:pPr>
      <w:r>
        <w:t>6.5 Add a ta</w:t>
      </w:r>
      <w:r>
        <w:t>ble of inclusion and exclusion criteria with the number of studies excluded on each. Include the borderline cases decided against, since naming a hard exclusion is one of the clearest signals of a real screening process.</w:t>
      </w:r>
    </w:p>
    <w:p w14:paraId="2CD9452C" w14:textId="77777777" w:rsidR="00A61935" w:rsidRDefault="0047261D">
      <w:pPr>
        <w:pStyle w:val="ListParagraph"/>
        <w:numPr>
          <w:ilvl w:val="0"/>
          <w:numId w:val="2"/>
        </w:numPr>
        <w:spacing w:after="80" w:line="288" w:lineRule="auto"/>
      </w:pPr>
      <w:r>
        <w:t>6.6 Publish the per-study coding sh</w:t>
      </w:r>
      <w:r>
        <w:t>eet as supplementary material rather than as an appendix table. The present table counts one study twice and mixes the two scales.</w:t>
      </w:r>
    </w:p>
    <w:p w14:paraId="2CD9452D" w14:textId="77777777" w:rsidR="00A61935" w:rsidRDefault="0047261D">
      <w:pPr>
        <w:pStyle w:val="ListParagraph"/>
        <w:numPr>
          <w:ilvl w:val="0"/>
          <w:numId w:val="2"/>
        </w:numPr>
        <w:spacing w:after="80" w:line="288" w:lineRule="auto"/>
      </w:pPr>
      <w:r>
        <w:t>6.7 Keep an internal citation verification record, not for publication: reference key, digital object identifier, whether the</w:t>
      </w:r>
      <w:r>
        <w:t xml:space="preserve"> source was checked, and where in the source the support for the attached claim is located. This is what allows a co-author to check the reference list without repeating the searches.</w:t>
      </w:r>
    </w:p>
    <w:p w14:paraId="2CD9452E" w14:textId="77777777" w:rsidR="00A61935" w:rsidRDefault="0047261D">
      <w:pPr>
        <w:pStyle w:val="Heading1"/>
        <w:spacing w:before="340" w:after="160"/>
      </w:pPr>
      <w:r>
        <w:t>7. Language</w:t>
      </w:r>
    </w:p>
    <w:p w14:paraId="2CD9452F" w14:textId="77777777" w:rsidR="00A61935" w:rsidRDefault="0047261D">
      <w:pPr>
        <w:spacing w:after="140" w:line="288" w:lineRule="auto"/>
      </w:pPr>
      <w:r>
        <w:t>To be done last, after the content is settled. Counts are fr</w:t>
      </w:r>
      <w:r>
        <w:t>om the present draft.</w:t>
      </w:r>
    </w:p>
    <w:p w14:paraId="2CD94530" w14:textId="77777777" w:rsidR="00A61935" w:rsidRDefault="0047261D">
      <w:pPr>
        <w:pStyle w:val="ListParagraph"/>
        <w:numPr>
          <w:ilvl w:val="0"/>
          <w:numId w:val="2"/>
        </w:numPr>
        <w:spacing w:after="80" w:line="288" w:lineRule="auto"/>
      </w:pPr>
      <w:r>
        <w:t>7.1 The phrase on the evidence surveyed occurs eight times. Vary or delete.</w:t>
      </w:r>
    </w:p>
    <w:p w14:paraId="2CD94531" w14:textId="77777777" w:rsidR="00A61935" w:rsidRDefault="0047261D">
      <w:pPr>
        <w:pStyle w:val="ListParagraph"/>
        <w:numPr>
          <w:ilvl w:val="0"/>
          <w:numId w:val="2"/>
        </w:numPr>
        <w:spacing w:after="80" w:line="288" w:lineRule="auto"/>
      </w:pPr>
      <w:r>
        <w:t>7.2 Superlative constructions such as the single most instructive finding occur at least five times. Keep at most one.</w:t>
      </w:r>
    </w:p>
    <w:p w14:paraId="2CD94532" w14:textId="77777777" w:rsidR="00A61935" w:rsidRDefault="0047261D">
      <w:pPr>
        <w:pStyle w:val="ListParagraph"/>
        <w:numPr>
          <w:ilvl w:val="0"/>
          <w:numId w:val="2"/>
        </w:numPr>
        <w:spacing w:after="80" w:line="288" w:lineRule="auto"/>
      </w:pPr>
      <w:r>
        <w:t>7.3 Roughly fifteen paragraphs end with</w:t>
      </w:r>
      <w:r>
        <w:t xml:space="preserve"> a forward reference to a later section. Three or four is normal.</w:t>
      </w:r>
    </w:p>
    <w:p w14:paraId="2CD94533" w14:textId="77777777" w:rsidR="00A61935" w:rsidRDefault="0047261D">
      <w:pPr>
        <w:pStyle w:val="ListParagraph"/>
        <w:numPr>
          <w:ilvl w:val="0"/>
          <w:numId w:val="2"/>
        </w:numPr>
        <w:spacing w:after="80" w:line="288" w:lineRule="auto"/>
      </w:pPr>
      <w:r>
        <w:t>7.4 Stock openers such as this review fills that gap, to our knowledge, and it is precisely this that has motivated should be replaced.</w:t>
      </w:r>
    </w:p>
    <w:p w14:paraId="2CD94534" w14:textId="77777777" w:rsidR="00A61935" w:rsidRDefault="0047261D">
      <w:pPr>
        <w:pStyle w:val="ListParagraph"/>
        <w:numPr>
          <w:ilvl w:val="0"/>
          <w:numId w:val="2"/>
        </w:numPr>
        <w:spacing w:after="80" w:line="288" w:lineRule="auto"/>
      </w:pPr>
      <w:r>
        <w:t>7.5 Three-part lists are used as a default closing rhy</w:t>
      </w:r>
      <w:r>
        <w:t>thm and dashes are used as the default contrast device. Break both patterns.</w:t>
      </w:r>
    </w:p>
    <w:p w14:paraId="2CD94535" w14:textId="77777777" w:rsidR="00A61935" w:rsidRDefault="0047261D">
      <w:pPr>
        <w:pStyle w:val="ListParagraph"/>
        <w:numPr>
          <w:ilvl w:val="0"/>
          <w:numId w:val="2"/>
        </w:numPr>
        <w:spacing w:after="80" w:line="288" w:lineRule="auto"/>
      </w:pPr>
      <w:r>
        <w:t>7.6 The five family subsections follow an identical three-move template and are of near-equal length. Vary the depth deliberately, writing at length on the families the author tea</w:t>
      </w:r>
      <w:r>
        <w:t>m knows best.</w:t>
      </w:r>
    </w:p>
    <w:p w14:paraId="2CD94536" w14:textId="77777777" w:rsidR="00A61935" w:rsidRDefault="0047261D">
      <w:pPr>
        <w:pStyle w:val="ListParagraph"/>
        <w:numPr>
          <w:ilvl w:val="0"/>
          <w:numId w:val="2"/>
        </w:numPr>
        <w:spacing w:after="80" w:line="288" w:lineRule="auto"/>
      </w:pPr>
      <w:r>
        <w:t>7.7 Broken words in the tables may be artefacts of text extraction rather than defects in the compiled document. Verify against the compiled file and the source before spending effort on them.</w:t>
      </w:r>
    </w:p>
    <w:p w14:paraId="2CD94537" w14:textId="77777777" w:rsidR="00A61935" w:rsidRDefault="0047261D">
      <w:pPr>
        <w:pStyle w:val="Heading1"/>
        <w:spacing w:before="340" w:after="160"/>
      </w:pPr>
      <w:r>
        <w:lastRenderedPageBreak/>
        <w:t>8. Order of work</w:t>
      </w:r>
    </w:p>
    <w:p w14:paraId="2CD94538" w14:textId="77777777" w:rsidR="00A61935" w:rsidRDefault="0047261D">
      <w:pPr>
        <w:pStyle w:val="ListParagraph"/>
        <w:numPr>
          <w:ilvl w:val="0"/>
          <w:numId w:val="2"/>
        </w:numPr>
        <w:spacing w:after="80" w:line="288" w:lineRule="auto"/>
      </w:pPr>
      <w:r>
        <w:t xml:space="preserve">8.1 Audit the reference list in </w:t>
      </w:r>
      <w:r>
        <w:t>full, and for every citation locate the passage in the source that supports the sentence it is attached to.</w:t>
      </w:r>
    </w:p>
    <w:p w14:paraId="2CD94539" w14:textId="77777777" w:rsidR="00A61935" w:rsidRDefault="0047261D">
      <w:pPr>
        <w:pStyle w:val="ListParagraph"/>
        <w:numPr>
          <w:ilvl w:val="0"/>
          <w:numId w:val="2"/>
        </w:numPr>
        <w:spacing w:after="80" w:line="288" w:lineRule="auto"/>
      </w:pPr>
      <w:r>
        <w:t>8.2 Re-read the nine sources named in items 4.12 to 4.17 and rewrite Sections 3.1, 3.2, 3.4 and 4.3 to match what they contain.</w:t>
      </w:r>
    </w:p>
    <w:p w14:paraId="2CD9453A" w14:textId="77777777" w:rsidR="00A61935" w:rsidRDefault="0047261D">
      <w:pPr>
        <w:pStyle w:val="ListParagraph"/>
        <w:numPr>
          <w:ilvl w:val="0"/>
          <w:numId w:val="2"/>
        </w:numPr>
        <w:spacing w:after="80" w:line="288" w:lineRule="auto"/>
      </w:pPr>
      <w:r>
        <w:t>8.3 Write the method</w:t>
      </w:r>
      <w:r>
        <w:t>ology section and build the coding sheet.</w:t>
      </w:r>
    </w:p>
    <w:p w14:paraId="2CD9453B" w14:textId="77777777" w:rsidR="00A61935" w:rsidRDefault="0047261D">
      <w:pPr>
        <w:pStyle w:val="ListParagraph"/>
        <w:numPr>
          <w:ilvl w:val="0"/>
          <w:numId w:val="2"/>
        </w:numPr>
        <w:spacing w:after="80" w:line="288" w:lineRule="auto"/>
      </w:pPr>
      <w:r>
        <w:t>8.4 Re-code every study, rebuild the tables from the coding sheet, and correct the fidelity ladder.</w:t>
      </w:r>
    </w:p>
    <w:p w14:paraId="2CD9453C" w14:textId="77777777" w:rsidR="00A61935" w:rsidRDefault="0047261D">
      <w:pPr>
        <w:pStyle w:val="ListParagraph"/>
        <w:numPr>
          <w:ilvl w:val="0"/>
          <w:numId w:val="2"/>
        </w:numPr>
        <w:spacing w:after="80" w:line="288" w:lineRule="auto"/>
      </w:pPr>
      <w:r>
        <w:t>8.5 Reconcile the abstract, the contribution list and Section 7.2.</w:t>
      </w:r>
    </w:p>
    <w:p w14:paraId="2CD9453D" w14:textId="77777777" w:rsidR="00A61935" w:rsidRDefault="0047261D">
      <w:pPr>
        <w:pStyle w:val="ListParagraph"/>
        <w:numPr>
          <w:ilvl w:val="0"/>
          <w:numId w:val="2"/>
        </w:numPr>
        <w:spacing w:after="80" w:line="288" w:lineRule="auto"/>
      </w:pPr>
      <w:r>
        <w:t>8.6 Add the figures and the new tables.</w:t>
      </w:r>
    </w:p>
    <w:p w14:paraId="2CD9453E" w14:textId="77777777" w:rsidR="00A61935" w:rsidRDefault="0047261D">
      <w:pPr>
        <w:pStyle w:val="ListParagraph"/>
        <w:numPr>
          <w:ilvl w:val="0"/>
          <w:numId w:val="2"/>
        </w:numPr>
        <w:spacing w:after="80" w:line="288" w:lineRule="auto"/>
      </w:pPr>
      <w:r>
        <w:t>8.7 App</w:t>
      </w:r>
      <w:r>
        <w:t>ly the heading changes and the deletions in Section 3 of this guide.</w:t>
      </w:r>
    </w:p>
    <w:p w14:paraId="2CD9453F" w14:textId="77777777" w:rsidR="00A61935" w:rsidRDefault="0047261D">
      <w:pPr>
        <w:pStyle w:val="ListParagraph"/>
        <w:numPr>
          <w:ilvl w:val="0"/>
          <w:numId w:val="2"/>
        </w:numPr>
        <w:spacing w:after="80" w:line="288" w:lineRule="auto"/>
      </w:pPr>
      <w:r>
        <w:t>8.8 Correct the bibliography, the front matter and the declarations.</w:t>
      </w:r>
    </w:p>
    <w:p w14:paraId="2CD94540" w14:textId="77777777" w:rsidR="00A61935" w:rsidRDefault="0047261D">
      <w:pPr>
        <w:pStyle w:val="ListParagraph"/>
        <w:numPr>
          <w:ilvl w:val="0"/>
          <w:numId w:val="2"/>
        </w:numPr>
        <w:spacing w:after="80" w:line="288" w:lineRule="auto"/>
      </w:pPr>
      <w:r>
        <w:t>8.9 Revise the language.</w:t>
      </w:r>
    </w:p>
    <w:p w14:paraId="2CD94541" w14:textId="77777777" w:rsidR="00A61935" w:rsidRDefault="0047261D">
      <w:pPr>
        <w:spacing w:after="140" w:line="288" w:lineRule="auto"/>
      </w:pPr>
      <w:r>
        <w:t>Items 8.1 and 8.2 determine whether the paper is publishable. The remainder is work rather th</w:t>
      </w:r>
      <w:r>
        <w:t>an risk.</w:t>
      </w:r>
    </w:p>
    <w:sectPr w:rsidR="00A619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31C97"/>
    <w:multiLevelType w:val="hybridMultilevel"/>
    <w:tmpl w:val="FC98E7B4"/>
    <w:lvl w:ilvl="0" w:tplc="A73897BC">
      <w:start w:val="1"/>
      <w:numFmt w:val="bullet"/>
      <w:lvlText w:val="●"/>
      <w:lvlJc w:val="left"/>
      <w:pPr>
        <w:ind w:left="720" w:hanging="360"/>
      </w:pPr>
    </w:lvl>
    <w:lvl w:ilvl="1" w:tplc="83142390">
      <w:start w:val="1"/>
      <w:numFmt w:val="bullet"/>
      <w:lvlText w:val="○"/>
      <w:lvlJc w:val="left"/>
      <w:pPr>
        <w:ind w:left="1440" w:hanging="360"/>
      </w:pPr>
    </w:lvl>
    <w:lvl w:ilvl="2" w:tplc="D7A45E9C">
      <w:start w:val="1"/>
      <w:numFmt w:val="bullet"/>
      <w:lvlText w:val="■"/>
      <w:lvlJc w:val="left"/>
      <w:pPr>
        <w:ind w:left="2160" w:hanging="360"/>
      </w:pPr>
    </w:lvl>
    <w:lvl w:ilvl="3" w:tplc="DE1C94DA">
      <w:start w:val="1"/>
      <w:numFmt w:val="bullet"/>
      <w:lvlText w:val="●"/>
      <w:lvlJc w:val="left"/>
      <w:pPr>
        <w:ind w:left="2880" w:hanging="360"/>
      </w:pPr>
    </w:lvl>
    <w:lvl w:ilvl="4" w:tplc="DFDC7808">
      <w:start w:val="1"/>
      <w:numFmt w:val="bullet"/>
      <w:lvlText w:val="○"/>
      <w:lvlJc w:val="left"/>
      <w:pPr>
        <w:ind w:left="3600" w:hanging="360"/>
      </w:pPr>
    </w:lvl>
    <w:lvl w:ilvl="5" w:tplc="7098DFB4">
      <w:start w:val="1"/>
      <w:numFmt w:val="bullet"/>
      <w:lvlText w:val="■"/>
      <w:lvlJc w:val="left"/>
      <w:pPr>
        <w:ind w:left="4320" w:hanging="360"/>
      </w:pPr>
    </w:lvl>
    <w:lvl w:ilvl="6" w:tplc="85FA6A8C">
      <w:start w:val="1"/>
      <w:numFmt w:val="bullet"/>
      <w:lvlText w:val="●"/>
      <w:lvlJc w:val="left"/>
      <w:pPr>
        <w:ind w:left="5040" w:hanging="360"/>
      </w:pPr>
    </w:lvl>
    <w:lvl w:ilvl="7" w:tplc="FA948392">
      <w:start w:val="1"/>
      <w:numFmt w:val="bullet"/>
      <w:lvlText w:val="●"/>
      <w:lvlJc w:val="left"/>
      <w:pPr>
        <w:ind w:left="5760" w:hanging="360"/>
      </w:pPr>
    </w:lvl>
    <w:lvl w:ilvl="8" w:tplc="D7A0929A">
      <w:start w:val="1"/>
      <w:numFmt w:val="bullet"/>
      <w:lvlText w:val="●"/>
      <w:lvlJc w:val="left"/>
      <w:pPr>
        <w:ind w:left="6480" w:hanging="360"/>
      </w:pPr>
    </w:lvl>
  </w:abstractNum>
  <w:abstractNum w:abstractNumId="1" w15:restartNumberingAfterBreak="0">
    <w:nsid w:val="627C03D3"/>
    <w:multiLevelType w:val="hybridMultilevel"/>
    <w:tmpl w:val="C62C3AD0"/>
    <w:lvl w:ilvl="0" w:tplc="BEB2301A">
      <w:start w:val="1"/>
      <w:numFmt w:val="bullet"/>
      <w:lvlText w:val="•"/>
      <w:lvlJc w:val="left"/>
      <w:pPr>
        <w:ind w:left="400" w:hanging="200"/>
      </w:pPr>
    </w:lvl>
    <w:lvl w:ilvl="1" w:tplc="DC064A94">
      <w:numFmt w:val="decimal"/>
      <w:lvlText w:val=""/>
      <w:lvlJc w:val="left"/>
    </w:lvl>
    <w:lvl w:ilvl="2" w:tplc="8A6CDF82">
      <w:numFmt w:val="decimal"/>
      <w:lvlText w:val=""/>
      <w:lvlJc w:val="left"/>
    </w:lvl>
    <w:lvl w:ilvl="3" w:tplc="029C9554">
      <w:numFmt w:val="decimal"/>
      <w:lvlText w:val=""/>
      <w:lvlJc w:val="left"/>
    </w:lvl>
    <w:lvl w:ilvl="4" w:tplc="5504F7BC">
      <w:numFmt w:val="decimal"/>
      <w:lvlText w:val=""/>
      <w:lvlJc w:val="left"/>
    </w:lvl>
    <w:lvl w:ilvl="5" w:tplc="87868086">
      <w:numFmt w:val="decimal"/>
      <w:lvlText w:val=""/>
      <w:lvlJc w:val="left"/>
    </w:lvl>
    <w:lvl w:ilvl="6" w:tplc="02E0C8DC">
      <w:numFmt w:val="decimal"/>
      <w:lvlText w:val=""/>
      <w:lvlJc w:val="left"/>
    </w:lvl>
    <w:lvl w:ilvl="7" w:tplc="47FE54DE">
      <w:numFmt w:val="decimal"/>
      <w:lvlText w:val=""/>
      <w:lvlJc w:val="left"/>
    </w:lvl>
    <w:lvl w:ilvl="8" w:tplc="5A665B8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935"/>
    <w:rsid w:val="0047261D"/>
    <w:rsid w:val="00A61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44DC"/>
  <w15:docId w15:val="{1EB350C2-7A04-48F2-950F-9CD978B2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A5F"/>
      <w:sz w:val="26"/>
      <w:szCs w:val="26"/>
    </w:rPr>
  </w:style>
  <w:style w:type="paragraph" w:styleId="Heading2">
    <w:name w:val="heading 2"/>
    <w:uiPriority w:val="9"/>
    <w:unhideWhenUsed/>
    <w:qFormat/>
    <w:pPr>
      <w:outlineLvl w:val="1"/>
    </w:pPr>
    <w:rPr>
      <w:b/>
      <w:bCs/>
      <w:color w:val="333333"/>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3558</Words>
  <Characters>20282</Characters>
  <Application>Microsoft Office Word</Application>
  <DocSecurity>0</DocSecurity>
  <Lines>169</Lines>
  <Paragraphs>47</Paragraphs>
  <ScaleCrop>false</ScaleCrop>
  <Company/>
  <LinksUpToDate>false</LinksUpToDate>
  <CharactersWithSpaces>23793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Amidou MAIGA</cp:lastModifiedBy>
  <cp:revision>2</cp:revision>
  <dcterms:created xsi:type="dcterms:W3CDTF">2026-08-10T10:52:00Z</dcterms:created>
  <dcterms:modified xsi:type="dcterms:W3CDTF">2026-08-12T13:29:00Z</dcterms:modified>
</cp:coreProperties>
</file>