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5.3 问题二的模型建立与求解</w:t>
      </w:r>
    </w:p>
    <w:p>
      <w:pPr>
        <w:pStyle w:val="Heading1"/>
      </w:pPr>
      <w:r>
        <w:t>5.3.1 问题描述与建模目标</w:t>
      </w:r>
    </w:p>
    <w:p>
      <w:pPr/>
      <w:r>
        <w:t>问题一建立了文本、音频和视觉的特征提取与时间映射方法。问题二进一步考虑实际采集过程中局部连续片段缺失的情况：在保留其他有效信息的条件下，同时预测情感极性与情感强度，并分析缺失模态、缺失位置及缺失长度对预测性能的影响。本文以显式有效掩码、输入一致的缺失模拟和可靠性门控融合构建鲁棒预测主线，并通过七轮受控实验检验参数搜索、集成、任务权衡、结构改造及端到端表示学习的有效边界。</w:t>
      </w:r>
    </w:p>
    <w:p>
      <w:pPr/>
      <w:r>
        <w:t>本问采用附件2给定的对齐版本，包含3395条训练样本、728条验证样本及727条历史测试样本。模型训练与统计量估计仅使用训练部分，验证集用于赛题允许的模型选择与后处理检查。附件3的30条样本没有标签，仅用于专项推理，不计算准确率。问题一的100条视频及其自提取特征不混入本问的训练数据；其音频25维、视觉20维也不替代附件2的74维、35维输入。</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表5-13 问题二输入、输出与数据边界</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37"/>
        <w:gridCol w:w="3137"/>
        <w:gridCol w:w="3137"/>
      </w:tblGrid>
      <w:tr>
        <w:trPr>
          <w:cantSplit/>
          <w:tblHeader/>
        </w:trPr>
        <w:tc>
          <w:tcPr>
            <w:tcW w:type="dxa" w:w="3137"/>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对象</w:t>
            </w:r>
          </w:p>
        </w:tc>
        <w:tc>
          <w:tcPr>
            <w:tcW w:type="dxa" w:w="3137"/>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维度或规模</w:t>
            </w:r>
          </w:p>
        </w:tc>
        <w:tc>
          <w:tcPr>
            <w:tcW w:type="dxa" w:w="3137"/>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本文处理方式</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文本输入</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每条最多50个词元</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使用附件词元；历史MiniLM输出384维，最终BERT输出768维</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音频、视觉</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50×74、50×35</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仅训练部分估计标准化参数；保留有效掩码</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情感极性</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负向、中性、正向</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按标签小于0、等于0、大于0划分</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情感强度</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实数，范围[-3,3]</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S₀独立回归；历史F₀／B₀采用极性一致性映射</w:t>
            </w:r>
          </w:p>
        </w:tc>
      </w:tr>
      <w:tr>
        <w:trPr>
          <w:cantSplit/>
        </w:trPr>
        <w:tc>
          <w:tcPr>
            <w:tcW w:type="dxa" w:w="3137"/>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附件3专项样本</w:t>
            </w:r>
          </w:p>
        </w:tc>
        <w:tc>
          <w:tcPr>
            <w:tcW w:type="dxa" w:w="3137"/>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30条，无标签</w:t>
            </w:r>
          </w:p>
        </w:tc>
        <w:tc>
          <w:tcPr>
            <w:tcW w:type="dxa" w:w="3137"/>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使用历史基线B₀模型推理，完整结果见表5-24</w:t>
            </w:r>
          </w:p>
        </w:tc>
      </w:tr>
    </w:tbl>
    <w:p>
      <w:pPr>
        <w:spacing w:after="0"/>
      </w:pPr>
    </w:p>
    <w:p>
      <w:pPr/>
      <w:r>
        <w:t>附件提供的对齐序列位置不等同于精确物理时间。因此，下文的缺失长度采用有效跨度中的位置比例表示，起始、中部和末尾也指序列位置，不能直接解释为若干秒。问题一的词级时间映射为后续原视频证据定位提供接口，但不改变本问已给定特征的坐标语义。</w:t>
      </w:r>
    </w:p>
    <w:p>
      <w:pPr>
        <w:pStyle w:val="Heading1"/>
      </w:pPr>
      <w:r>
        <w:t>5.3.2 优化基线与研究思路</w:t>
      </w:r>
    </w:p>
    <w:p>
      <w:pPr>
        <w:pStyle w:val="Heading2"/>
      </w:pPr>
      <w:r>
        <w:t>1 基线模型及其作用</w:t>
      </w:r>
    </w:p>
    <w:p>
      <w:pPr/>
      <w:r>
        <w:t>以MiniLM–Fusion作为基础建模框架：文本编码器学习上下文语义，音频与视觉投影到公共空间，带掩码的模态内聚合与可靠性门控整合可用证据，最后联合输出极性与强度。该框架将缺失处理嵌入输入与聚合阶段，无须为每一种缺失组合训练独立模型，适合小样本、多种缺失环境并存的任务。</w:t>
      </w:r>
    </w:p>
    <w:p>
      <w:pPr/>
      <w:r>
        <w:t>研究中区分两种基础配置。冻结鲁棒基线记为F₀，采用冻结的int8 MiniLM、64维融合层与较强缺失增强，用于前期受控优化及缺失机制分析。校准微调基线记为B₀，在相同融合框架内更新MiniLM顶部两层，并按实际量化推理路径进行类别偏置校准。最终预测和第三问采用S₀；B₀仅作为历史校准微调对照，最终S₀的方法与结果见第5.3.7节。</w:t>
      </w:r>
    </w:p>
    <w:p>
      <w:pPr/>
      <w:r>
        <w:t>七轮实验并不是从同一检查点连续叠加七次改动。前五轮主要围绕冻结表示下的搜索与融合展开，后两轮在统一开发划分下重新检验在线微调及表示交互。明确这一关系，可以避免将不同训练范式下的结果误写成单调提高的精度曲线。</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表5-14 两种基础配置及评价角色</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37"/>
        <w:gridCol w:w="3137"/>
        <w:gridCol w:w="3137"/>
      </w:tblGrid>
      <w:tr>
        <w:trPr>
          <w:cantSplit/>
          <w:tblHeader/>
        </w:trPr>
        <w:tc>
          <w:tcPr>
            <w:tcW w:type="dxa" w:w="3137"/>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配置</w:t>
            </w:r>
          </w:p>
        </w:tc>
        <w:tc>
          <w:tcPr>
            <w:tcW w:type="dxa" w:w="3137"/>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冻结鲁棒基线F₀</w:t>
            </w:r>
          </w:p>
        </w:tc>
        <w:tc>
          <w:tcPr>
            <w:tcW w:type="dxa" w:w="3137"/>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校准微调基线B₀</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文本表示</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冻结MiniLM，缓存隐藏序列</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MiniLM顶部两层参与学习</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融合宽度</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64维</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64维</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训练样本</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附件2训练部分</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全部3395条train</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缺失施加概率</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0.8</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0.3</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优化器与batch</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AdamW，64</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AdamW，32</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任务头学习率</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8×10⁻⁴</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2×10⁻⁴</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文本学习率</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不更新</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2×10⁻⁵</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输出处理</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极性—强度一致性约束</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int8推理、类别校准及一致性约束</w:t>
            </w:r>
          </w:p>
        </w:tc>
      </w:tr>
      <w:tr>
        <w:trPr>
          <w:cantSplit/>
        </w:trPr>
        <w:tc>
          <w:tcPr>
            <w:tcW w:type="dxa" w:w="3137"/>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实验作用</w:t>
            </w:r>
          </w:p>
        </w:tc>
        <w:tc>
          <w:tcPr>
            <w:tcW w:type="dxa" w:w="3137"/>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早期搜索与鲁棒性分析参照</w:t>
            </w:r>
          </w:p>
        </w:tc>
        <w:tc>
          <w:tcPr>
            <w:tcW w:type="dxa" w:w="3137"/>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历史校准微调对照及消融参照来源</w:t>
            </w:r>
          </w:p>
        </w:tc>
      </w:tr>
    </w:tbl>
    <w:p>
      <w:pPr>
        <w:spacing w:after="0"/>
      </w:pPr>
    </w:p>
    <w:p>
      <w:pPr/>
      <w:r>
        <w:t>B₀以逆平方根类别频率加权交叉熵加0.8倍SmoothL1为目标，权重衰减0.01、梯度裁剪1，每种子训练10轮；三个种子的最佳epoch为2、3、5，采用seed20260925的第3轮模型。权重学习仅使用train，valid用于选择epoch与后处理。该验证使用方式符合本题开发用途，但所得结果不能称为独立测试泛化估计。</w:t>
      </w:r>
    </w:p>
    <w:p>
      <w:pPr>
        <w:pStyle w:val="Heading2"/>
      </w:pPr>
      <w:r>
        <w:t>2 从误差来源到优化假设</w:t>
      </w:r>
    </w:p>
    <w:p>
      <w:pPr/>
      <w:r>
        <w:t>优化围绕三个层面展开。其一是估计层面：若现有参数与特征配置不合适，外层搜索和通道筛选应能改善相同训练预算下的验证目标；若模型误差具有互补性，集成应能降低预测波动。其二是目标层面：若分类与回归任务或类别权重存在冲突，调整损失比例、缺失强度和采样分布应能改善分类边界。其三是表示层面：若单模态池化过早丢失交互证据，则扩大融合容量、引入独立专家或在池化前进行跨模态交互，可能保留更多有效信息。</w:t>
      </w:r>
    </w:p>
    <w:p>
      <w:pPr/>
      <w:r>
        <w:t>上述假设均具有对应的反证条件。例如，训练目标下降但验证性能下降，不能证明表示改善；内部集成目标上升但外部条件退化，不能证明泛化增益；单个种子提高而多数种子下降，也不能证明结构稳定有效。因此，每轮同时考察ACC、Macro-F1、强度误差和缺失条件表现，而不只报告最高准确率。</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表5-15 七轮优化的假设、操作与判定重点</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3"/>
        <w:gridCol w:w="2353"/>
        <w:gridCol w:w="2353"/>
        <w:gridCol w:w="2353"/>
      </w:tblGrid>
      <w:tr>
        <w:trPr>
          <w:cantSplit/>
          <w:tblHeader/>
        </w:trPr>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轮次</w:t>
            </w:r>
          </w:p>
        </w:tc>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待检验瓶颈</w:t>
            </w:r>
          </w:p>
        </w:tc>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主要操作</w:t>
            </w:r>
          </w:p>
        </w:tc>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关键判定依据</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一</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参数与冗余通道</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随机／DE搜索、BPSO筛选</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固定预算下综合目标是否改善</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二</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单模型方差与互补不足</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折外预测、正则化权重集成</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内部权重收益是否迁移</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三</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多任务权衡与训练强度</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类别权重、回归权重、缺失率、微调</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分类收益是否伴随其他指标退化</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四</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融合容量与结构限制</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加宽、中性分解、时序交互</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同协议结构对照是否稳定改善</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五</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专家能力互补</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文本／音视频专家及决策门控</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可学习门控能否接近互补上界</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六</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任务语义适配不足</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在线微调、扩容、分层学习率</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开发晋级与完整重训能否一致</w:t>
            </w:r>
          </w:p>
        </w:tc>
      </w:tr>
      <w:tr>
        <w:trPr>
          <w:cantSplit/>
        </w:trPr>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七</w:t>
            </w:r>
          </w:p>
        </w:tc>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类别表征与交互阶段</w:t>
            </w:r>
          </w:p>
        </w:tc>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均衡采样、对比学习、分类前交互</w:t>
            </w:r>
          </w:p>
        </w:tc>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机制对照、量化后和单模型结果</w:t>
            </w:r>
          </w:p>
        </w:tc>
      </w:tr>
    </w:tbl>
    <w:p>
      <w:pPr>
        <w:spacing w:after="0"/>
      </w:pPr>
    </w:p>
    <w:p>
      <w:pPr>
        <w:keepNext/>
        <w:jc w:val="center"/>
      </w:pPr>
      <w:r>
        <w:drawing>
          <wp:inline xmlns:a="http://schemas.openxmlformats.org/drawingml/2006/main" xmlns:pic="http://schemas.openxmlformats.org/drawingml/2006/picture">
            <wp:extent cx="5940000" cy="2232464"/>
            <wp:docPr id="1" name="Picture 1"/>
            <wp:cNvGraphicFramePr>
              <a:graphicFrameLocks noChangeAspect="1"/>
            </wp:cNvGraphicFramePr>
            <a:graphic>
              <a:graphicData uri="http://schemas.openxmlformats.org/drawingml/2006/picture">
                <pic:pic>
                  <pic:nvPicPr>
                    <pic:cNvPr id="0" name="research_route.png"/>
                    <pic:cNvPicPr/>
                  </pic:nvPicPr>
                  <pic:blipFill>
                    <a:blip r:embed="rId9"/>
                    <a:stretch>
                      <a:fillRect/>
                    </a:stretch>
                  </pic:blipFill>
                  <pic:spPr>
                    <a:xfrm>
                      <a:off x="0" y="0"/>
                      <a:ext cx="5940000" cy="2232464"/>
                    </a:xfrm>
                    <a:prstGeom prst="rect"/>
                  </pic:spPr>
                </pic:pic>
              </a:graphicData>
            </a:graphic>
          </wp:inline>
        </w:drawing>
      </w:r>
    </w:p>
    <w:p>
      <w:pPr>
        <w:pStyle w:val="Caption"/>
        <w:keepLines/>
      </w:pPr>
      <w:r>
        <w:t>图5-13 从基础模型到最终方案的研究路径。箭头表示研究逻辑而非精度逐轮上升；最终选择以完整评价证据为依据。</w:t>
      </w:r>
    </w:p>
    <w:p>
      <w:pPr>
        <w:pStyle w:val="Heading2"/>
      </w:pPr>
      <w:r>
        <w:t>3 参数效率与可用证据之间的约束</w:t>
      </w:r>
    </w:p>
    <w:p>
      <w:pPr/>
      <w:r>
        <w:t>本题训练样本有限，而文本编码器已经包含通用语义先验。提高可训练参数量能够增加拟合自由度，却也会扩大模型对特定划分、类别频率及缺失配置的适应程度。优化的目标因而不是无条件增加容量，而是在有限样本下保留可迁移的语义表示，并让新增结构产生可重复的增量证据。缺失增强也存在类似权衡：它可以迫使模型利用剩余模态，但过强扰动可能降低完整样本上的判别能力。</w:t>
      </w:r>
    </w:p>
    <w:p>
      <w:pPr/>
      <w:r>
        <w:t>本文将“优化有效”限定为受控条件下的指标改善，将“最终采用”限定为满足实际推理路径、稳定性及多任务约束后的模型选择。二者并不等价，后文分别给出局部收益、失败现象与保留基础方法的理由。</w:t>
      </w:r>
    </w:p>
    <w:p>
      <w:pPr>
        <w:pStyle w:val="Heading1"/>
      </w:pPr>
      <w:r>
        <w:t>5.3.3 缺失感知Fusion基线模型</w:t>
      </w:r>
    </w:p>
    <w:p>
      <w:pPr>
        <w:pStyle w:val="Heading2"/>
      </w:pPr>
      <w:r>
        <w:t>1 连续片段缺失与有效掩码</w:t>
      </w:r>
    </w:p>
    <w:p>
      <w:pPr/>
      <w:r>
        <w:t>记第i条样本的模态序列为Xᵢᵐ，有效掩码为Mᵢᵐ，m属于文本T、音频A与视觉V。掩码同时区分真实观测、原有缺失和填充。以三路掩码的并集确定有效位置跨度[aᵢ,bᵢ)，跨度为Lᵢ。在选择的模态集合S中，删除同一连续区间Iᵢ，而不压缩或移动剩余位置：</w:t>
      </w:r>
    </w:p>
    <w:p>
      <w:pPr>
        <w:keepLines/>
      </w:pPr>
      <m:oMathPara>
        <m:oMath xmlns:mml="http://www.w3.org/1998/Math/MathML">
          <m:sSubSup>
            <m:e>
              <m:limUpp>
                <m:e>
                  <m:r>
                    <m:t>M</m:t>
                  </m:r>
                </m:e>
                <m:lim>
                  <m:r>
                    <m:t>~</m:t>
                  </m:r>
                </m:lim>
              </m:limUpp>
            </m:e>
            <m:sub>
              <m:r>
                <m:t>i</m:t>
              </m:r>
            </m:sub>
            <m:sup>
              <m:r>
                <m:t>m</m:t>
              </m:r>
            </m:sup>
          </m:sSubSup>
          <m:r>
            <m:t>(t)=</m:t>
          </m:r>
          <m:sSubSup>
            <m:e>
              <m:r>
                <m:t>M</m:t>
              </m:r>
            </m:e>
            <m:sub>
              <m:r>
                <m:t>i</m:t>
              </m:r>
            </m:sub>
            <m:sup>
              <m:r>
                <m:t>m</m:t>
              </m:r>
            </m:sup>
          </m:sSubSup>
          <m:r>
            <m:t>(t)[1−</m:t>
          </m:r>
          <m:r>
            <m:rPr>
              <m:sty m:val="b"/>
            </m:rPr>
            <m:t>1</m:t>
          </m:r>
          <m:r>
            <m:t>(m∈S)</m:t>
          </m:r>
          <m:r>
            <m:rPr>
              <m:sty m:val="b"/>
            </m:rPr>
            <m:t>1</m:t>
          </m:r>
          <m:r>
            <m:t>(t∈</m:t>
          </m:r>
          <m:sSub>
            <m:e>
              <m:r>
                <m:t>I</m:t>
              </m:r>
            </m:e>
            <m:sub>
              <m:r>
                <m:t>i</m:t>
              </m:r>
            </m:sub>
          </m:sSub>
          <m:r>
            <m:t>)],</m:t>
          </m:r>
          <m:sSub>
            <m:e>
              <m:r>
                <m:t>w</m:t>
              </m:r>
            </m:e>
            <m:sub>
              <m:r>
                <m:t>i</m:t>
              </m:r>
            </m:sub>
          </m:sSub>
          <m:r>
            <m:t>=min(</m:t>
          </m:r>
          <m:sSub>
            <m:e>
              <m:r>
                <m:t>L</m:t>
              </m:r>
            </m:e>
            <m:sub>
              <m:r>
                <m:t>i</m:t>
              </m:r>
            </m:sub>
          </m:sSub>
          <m:r>
            <m:t>−1,max(1,</m:t>
          </m:r>
          <m:r>
            <m:rPr>
              <m:sty m:val="p"/>
            </m:rPr>
            <m:t>round</m:t>
          </m:r>
          <m:r>
            <m:t>(ρ</m:t>
          </m:r>
          <m:sSub>
            <m:e>
              <m:r>
                <m:t>L</m:t>
              </m:r>
            </m:e>
            <m:sub>
              <m:r>
                <m:t>i</m:t>
              </m:r>
            </m:sub>
          </m:sSub>
          <m:r>
            <m:t>)))</m:t>
          </m:r>
          <m:r>
            <m:t>  (5.3-1)</m:t>
          </m:r>
        </m:oMath>
      </m:oMathPara>
    </w:p>
    <w:p>
      <w:pPr/>
      <w:r>
        <w:t>有效位置不足两个时不额外施加缺失；原有空洞保留，故名义缺失比例ρ与实际删去的有效观测比例可能不同。冻结配置F₀训练时以0.8的概率施加缺失；微调配置B₀采用0.3的概率。从七种非空模态组合中等概率抽取S，从10%、20%、30%、50%中选择长度比例，并随机选择连续区间起点。F₀采用八组缓存视图复用文本编码计算；B₀在线编码受损词元。评估时固定七种模态组合、三种长度比例（10%、30%、50%）与三个位置（起始、中部、末尾），形成63种缺失条件，另保留原始输入条件。</w:t>
      </w:r>
    </w:p>
    <w:p>
      <w:pPr/>
      <w:r>
        <w:t>文本缺失必须发生在上下文编码之前：先把新增缺失词元替换为UNK，再调用MiniLM，并在后续池化中屏蔽相应位置。若先编码完整句子、再将部分隐藏向量置零，未删去位置仍可能包含缺失词元的上下文信息，使模拟结果偏乐观。冻结编码实验统一采用int8编码器、单样本编码批次，保持缓存构建与专项推理的数值路径一致。本文引用的第一轮主线结果采用该修正协议，不引用早期不一致版本。</w:t>
      </w:r>
    </w:p>
    <w:p>
      <w:pPr>
        <w:pStyle w:val="Heading2"/>
      </w:pPr>
      <w:r>
        <w:t>2 模态内聚合与可靠性门控</w:t>
      </w:r>
    </w:p>
    <w:p>
      <w:pPr/>
      <w:r>
        <w:t>文本采用通用预训练MiniLM，将词元映射为384维隐藏状态；音频与视觉分别保留74维和35维输入。三路经线性投影、LayerNorm与GELU映射至d维公共空间，两种基础配置均取d=64。对每一路使用带掩码的注意力池化：</w:t>
      </w:r>
    </w:p>
    <w:p>
      <w:pPr>
        <w:keepLines/>
      </w:pPr>
      <m:oMathPara>
        <m:oMath xmlns:mml="http://www.w3.org/1998/Math/MathML">
          <m:sSubSup>
            <m:e>
              <m:r>
                <m:t>α</m:t>
              </m:r>
            </m:e>
            <m:sub>
              <m:r>
                <m:t>t</m:t>
              </m:r>
            </m:sub>
            <m:sup>
              <m:r>
                <m:t>m</m:t>
              </m:r>
            </m:sup>
          </m:sSubSup>
          <m:r>
            <m:t>=</m:t>
          </m:r>
          <m:f>
            <m:fPr>
              <m:type m:val="bar"/>
            </m:fPr>
            <m:num>
              <m:sSubSup>
                <m:e>
                  <m:limUpp>
                    <m:e>
                      <m:r>
                        <m:t>M</m:t>
                      </m:r>
                    </m:e>
                    <m:lim>
                      <m:r>
                        <m:t>~</m:t>
                      </m:r>
                    </m:lim>
                  </m:limUpp>
                </m:e>
                <m:sub>
                  <m:r>
                    <m:t>t</m:t>
                  </m:r>
                </m:sub>
                <m:sup>
                  <m:r>
                    <m:t>m</m:t>
                  </m:r>
                </m:sup>
              </m:sSubSup>
              <m:r>
                <m:rPr>
                  <m:sty m:val="p"/>
                </m:rPr>
                <m:t>exp</m:t>
              </m:r>
              <m:r>
                <m:t>(</m:t>
              </m:r>
              <m:sSubSup>
                <m:e>
                  <m:r>
                    <m:t>s</m:t>
                  </m:r>
                </m:e>
                <m:sub>
                  <m:r>
                    <m:t>t</m:t>
                  </m:r>
                </m:sub>
                <m:sup>
                  <m:r>
                    <m:t>m</m:t>
                  </m:r>
                </m:sup>
              </m:sSubSup>
              <m:r>
                <m:t>)</m:t>
              </m:r>
            </m:num>
            <m:den>
              <m:nary>
                <m:naryPr>
                  <m:chr m:val="∑"/>
                  <m:limLoc m:val="subSup"/>
                  <m:grow m:val="1"/>
                  <m:subHide m:val="off"/>
                  <m:supHide m:val="on"/>
                </m:naryPr>
                <m:sub>
                  <m:r>
                    <m:t>u</m:t>
                  </m:r>
                </m:sub>
                <m:sup/>
                <m:e/>
              </m:nary>
              <m:sSubSup>
                <m:e>
                  <m:limUpp>
                    <m:e>
                      <m:r>
                        <m:t>M</m:t>
                      </m:r>
                    </m:e>
                    <m:lim>
                      <m:r>
                        <m:t>~</m:t>
                      </m:r>
                    </m:lim>
                  </m:limUpp>
                </m:e>
                <m:sub>
                  <m:r>
                    <m:t>u</m:t>
                  </m:r>
                </m:sub>
                <m:sup>
                  <m:r>
                    <m:t>m</m:t>
                  </m:r>
                </m:sup>
              </m:sSubSup>
              <m:r>
                <m:rPr>
                  <m:sty m:val="p"/>
                </m:rPr>
                <m:t>exp</m:t>
              </m:r>
              <m:r>
                <m:t>(</m:t>
              </m:r>
              <m:sSubSup>
                <m:e>
                  <m:r>
                    <m:t>s</m:t>
                  </m:r>
                </m:e>
                <m:sub>
                  <m:r>
                    <m:t>u</m:t>
                  </m:r>
                </m:sub>
                <m:sup>
                  <m:r>
                    <m:t>m</m:t>
                  </m:r>
                </m:sup>
              </m:sSubSup>
              <m:r>
                <m:t>)</m:t>
              </m:r>
            </m:den>
          </m:f>
          <m:r>
            <m:t>,</m:t>
          </m:r>
          <m:sSup>
            <m:e>
              <m:r>
                <m:t>h</m:t>
              </m:r>
            </m:e>
            <m:sup>
              <m:r>
                <m:t>m</m:t>
              </m:r>
            </m:sup>
          </m:sSup>
          <m:r>
            <m:t>=</m:t>
          </m:r>
          <m:nary>
            <m:naryPr>
              <m:chr m:val="∑"/>
              <m:limLoc m:val="subSup"/>
              <m:grow m:val="1"/>
              <m:subHide m:val="off"/>
              <m:supHide m:val="on"/>
            </m:naryPr>
            <m:sub>
              <m:r>
                <m:t>t</m:t>
              </m:r>
            </m:sub>
            <m:sup/>
            <m:e/>
          </m:nary>
          <m:sSubSup>
            <m:e>
              <m:r>
                <m:t>α</m:t>
              </m:r>
            </m:e>
            <m:sub>
              <m:r>
                <m:t>t</m:t>
              </m:r>
            </m:sub>
            <m:sup>
              <m:r>
                <m:t>m</m:t>
              </m:r>
            </m:sup>
          </m:sSubSup>
          <m:sSubSup>
            <m:e>
              <m:r>
                <m:t>H</m:t>
              </m:r>
            </m:e>
            <m:sub>
              <m:r>
                <m:t>t</m:t>
              </m:r>
            </m:sub>
            <m:sup>
              <m:r>
                <m:t>m</m:t>
              </m:r>
            </m:sup>
          </m:sSubSup>
          <m:r>
            <m:t>  (5.3-2)</m:t>
          </m:r>
        </m:oMath>
      </m:oMathPara>
    </w:p>
    <w:p>
      <w:pPr/>
      <w:r>
        <w:t>其中s为可学习线性评分；当某一路全部不可用时，其池化向量直接置零，避免空集合归一化。以qᵐ为50个位置中有效掩码的均值，将三路聚合向量与三路可用比例共同输入门控网络：</w:t>
      </w:r>
    </w:p>
    <w:p>
      <w:pPr>
        <w:keepLines/>
      </w:pPr>
      <m:oMathPara>
        <m:oMath xmlns:mml="http://www.w3.org/1998/Math/MathML">
          <m:r>
            <m:t>g=</m:t>
          </m:r>
          <m:r>
            <m:rPr>
              <m:sty m:val="p"/>
            </m:rPr>
            <m:t>MaskedSoftmax</m:t>
          </m:r>
          <m:r>
            <m:t>(</m:t>
          </m:r>
          <m:sSub>
            <m:e>
              <m:r>
                <m:t>W</m:t>
              </m:r>
            </m:e>
            <m:sub>
              <m:r>
                <m:t>g</m:t>
              </m:r>
            </m:sub>
          </m:sSub>
          <m:r>
            <m:t>[</m:t>
          </m:r>
          <m:sSup>
            <m:e>
              <m:r>
                <m:t>h</m:t>
              </m:r>
            </m:e>
            <m:sup>
              <m:r>
                <m:t>T</m:t>
              </m:r>
            </m:sup>
          </m:sSup>
          <m:r>
            <m:t>;</m:t>
          </m:r>
          <m:sSup>
            <m:e>
              <m:r>
                <m:t>h</m:t>
              </m:r>
            </m:e>
            <m:sup>
              <m:r>
                <m:t>A</m:t>
              </m:r>
            </m:sup>
          </m:sSup>
          <m:r>
            <m:t>;</m:t>
          </m:r>
          <m:sSup>
            <m:e>
              <m:r>
                <m:t>h</m:t>
              </m:r>
            </m:e>
            <m:sup>
              <m:r>
                <m:t>V</m:t>
              </m:r>
            </m:sup>
          </m:sSup>
          <m:r>
            <m:t>;q]+</m:t>
          </m:r>
          <m:sSub>
            <m:e>
              <m:r>
                <m:t>b</m:t>
              </m:r>
            </m:e>
            <m:sub>
              <m:r>
                <m:t>g</m:t>
              </m:r>
            </m:sub>
          </m:sSub>
          <m:r>
            <m:t>),</m:t>
          </m:r>
          <m:sSup>
            <m:e>
              <m:r>
                <m:t>h</m:t>
              </m:r>
            </m:e>
            <m:sup>
              <m:r>
                <m:t>f</m:t>
              </m:r>
            </m:sup>
          </m:sSup>
          <m:r>
            <m:t>=</m:t>
          </m:r>
          <m:nary>
            <m:naryPr>
              <m:chr m:val="∑"/>
              <m:limLoc m:val="subSup"/>
              <m:grow m:val="1"/>
              <m:subHide m:val="off"/>
              <m:supHide m:val="on"/>
            </m:naryPr>
            <m:sub>
              <m:r>
                <m:t>m</m:t>
              </m:r>
            </m:sub>
            <m:sup/>
            <m:e/>
          </m:nary>
          <m:sSup>
            <m:e>
              <m:r>
                <m:t>g</m:t>
              </m:r>
            </m:e>
            <m:sup>
              <m:r>
                <m:t>m</m:t>
              </m:r>
            </m:sup>
          </m:sSup>
          <m:sSup>
            <m:e>
              <m:r>
                <m:t>h</m:t>
              </m:r>
            </m:e>
            <m:sup>
              <m:r>
                <m:t>m</m:t>
              </m:r>
            </m:sup>
          </m:sSup>
          <m:r>
            <m:t>  (5.3-3)</m:t>
          </m:r>
        </m:oMath>
      </m:oMathPara>
    </w:p>
    <w:p>
      <w:pPr/>
      <w:r>
        <w:t>门控仅在可用模态上归一化；全部不可用时置零。门控权重描述模型内部信息分配，不直接等同于模态的因果贡献。分类与回归共享输入[hᵀ;hᴬ;hⱽ;hᶠ;q]，经128、64维隐藏层输出三个分类logit及一个回归值，强度由3tanh约束在[-3,3]。融合网络包含74963个参数，该数量不包括冻结文本编码器。</w:t>
      </w:r>
    </w:p>
    <w:p>
      <w:pPr>
        <w:keepNext/>
        <w:jc w:val="center"/>
      </w:pPr>
      <w:r>
        <w:drawing>
          <wp:inline xmlns:a="http://schemas.openxmlformats.org/drawingml/2006/main" xmlns:pic="http://schemas.openxmlformats.org/drawingml/2006/picture">
            <wp:extent cx="5940000" cy="1968653"/>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0000" cy="1968653"/>
                    </a:xfrm>
                    <a:prstGeom prst="rect"/>
                  </pic:spPr>
                </pic:pic>
              </a:graphicData>
            </a:graphic>
          </wp:inline>
        </w:drawing>
      </w:r>
    </w:p>
    <w:p>
      <w:pPr>
        <w:pStyle w:val="Caption"/>
        <w:keepLines/>
      </w:pPr>
      <w:r>
        <w:t>图5-14 输入一致的连续缺失模拟与可靠性门控融合。新增文本缺失先进入词元替换步骤，再进行编码；训练统计量与专项推理共享处理规则。</w:t>
      </w:r>
    </w:p>
    <w:p>
      <w:pPr>
        <w:pStyle w:val="Heading2"/>
      </w:pPr>
      <w:r>
        <w:t>3 联合目标与一致性输出</w:t>
      </w:r>
    </w:p>
    <w:p>
      <w:pPr/>
      <w:r>
        <w:t>极性识别采用逆平方根类别频率加权交叉熵，强度估计采用SmoothL1损失。类别权重只由当前训练部分计算并归一化，基础联合目标为：</w:t>
      </w:r>
    </w:p>
    <w:p>
      <w:pPr>
        <w:keepLines/>
      </w:pPr>
      <m:oMathPara>
        <m:oMath xmlns:mml="http://www.w3.org/1998/Math/MathML">
          <m:r>
            <m:t>L=</m:t>
          </m:r>
          <m:sSub>
            <m:e>
              <m:r>
                <m:t>L</m:t>
              </m:r>
            </m:e>
            <m:sub>
              <m:r>
                <m:rPr>
                  <m:sty m:val="p"/>
                </m:rPr>
                <m:t>CE</m:t>
              </m:r>
              <m:r>
                <m:t>,w</m:t>
              </m:r>
            </m:sub>
          </m:sSub>
          <m:r>
            <m:t>+0.8</m:t>
          </m:r>
          <m:sSub>
            <m:e>
              <m:r>
                <m:t>L</m:t>
              </m:r>
            </m:e>
            <m:sub>
              <m:r>
                <m:rPr>
                  <m:sty m:val="p"/>
                </m:rPr>
                <m:t>reg</m:t>
              </m:r>
            </m:sub>
          </m:sSub>
          <m:r>
            <m:t>  (5.3-4)</m:t>
          </m:r>
        </m:oMath>
      </m:oMathPara>
    </w:p>
    <w:p>
      <w:pPr/>
      <w:r>
        <w:t>分类输出为最大概率类别。为满足极性与强度的符号一致性，将回归输出r映射为：负向取−|r|，中性取0，正向取|r|。该映射是确定性后处理，不代表重新训练了回归器。文中分别报告原始回归与一致性回归指标，以防将输出约束误解释为模型能力提升。</w:t>
      </w:r>
    </w:p>
    <w:p>
      <w:pPr/>
    </w:p>
    <w:p>
      <w:pPr>
        <w:pStyle w:val="Heading2"/>
      </w:pPr>
      <w:r>
        <w:t>4 目标函数的展开与决策边界</w:t>
      </w:r>
    </w:p>
    <w:p>
      <w:pPr/>
      <w:r>
        <w:t>设训练集中第c类样本数为n_c，类别权重取其逆平方根并归一化。对N条训练样本，分类目标可写为：</w:t>
      </w:r>
    </w:p>
    <w:p>
      <w:pPr>
        <w:keepLines/>
      </w:pPr>
      <m:oMathPara>
        <m:oMath xmlns:mml="http://www.w3.org/1998/Math/MathML">
          <m:sSub>
            <m:e>
              <m:r>
                <m:t>w</m:t>
              </m:r>
            </m:e>
            <m:sub>
              <m:r>
                <m:t>c</m:t>
              </m:r>
            </m:sub>
          </m:sSub>
          <m:r>
            <m:t>=</m:t>
          </m:r>
          <m:f>
            <m:fPr>
              <m:type m:val="bar"/>
            </m:fPr>
            <m:num>
              <m:sSubSup>
                <m:e>
                  <m:r>
                    <m:t>n</m:t>
                  </m:r>
                </m:e>
                <m:sub>
                  <m:r>
                    <m:t>c</m:t>
                  </m:r>
                </m:sub>
                <m:sup>
                  <m:r>
                    <m:t>−1/2</m:t>
                  </m:r>
                </m:sup>
              </m:sSubSup>
            </m:num>
            <m:den>
              <m:f>
                <m:fPr>
                  <m:type m:val="bar"/>
                </m:fPr>
                <m:num>
                  <m:r>
                    <m:t>1</m:t>
                  </m:r>
                </m:num>
                <m:den>
                  <m:r>
                    <m:t>3</m:t>
                  </m:r>
                </m:den>
              </m:f>
              <m:nary>
                <m:naryPr>
                  <m:chr m:val="∑"/>
                  <m:limLoc m:val="subSup"/>
                  <m:grow m:val="1"/>
                  <m:subHide m:val="off"/>
                  <m:supHide m:val="off"/>
                </m:naryPr>
                <m:sub>
                  <m:r>
                    <m:t>k=1</m:t>
                  </m:r>
                </m:sub>
                <m:sup>
                  <m:r>
                    <m:t>3</m:t>
                  </m:r>
                </m:sup>
                <m:e/>
              </m:nary>
              <m:sSubSup>
                <m:e>
                  <m:r>
                    <m:t>n</m:t>
                  </m:r>
                </m:e>
                <m:sub>
                  <m:r>
                    <m:t>k</m:t>
                  </m:r>
                </m:sub>
                <m:sup>
                  <m:r>
                    <m:t>−1/2</m:t>
                  </m:r>
                </m:sup>
              </m:sSubSup>
            </m:den>
          </m:f>
          <m:r>
            <m:t>,</m:t>
          </m:r>
          <m:sSub>
            <m:e>
              <m:r>
                <m:t>L</m:t>
              </m:r>
            </m:e>
            <m:sub>
              <m:r>
                <m:rPr>
                  <m:sty m:val="p"/>
                </m:rPr>
                <m:t>CE</m:t>
              </m:r>
              <m:r>
                <m:t>,w</m:t>
              </m:r>
            </m:sub>
          </m:sSub>
          <m:r>
            <m:t>=−</m:t>
          </m:r>
          <m:f>
            <m:fPr>
              <m:type m:val="bar"/>
            </m:fPr>
            <m:num>
              <m:nary>
                <m:naryPr>
                  <m:chr m:val="∑"/>
                  <m:limLoc m:val="subSup"/>
                  <m:grow m:val="1"/>
                  <m:subHide m:val="off"/>
                  <m:supHide m:val="off"/>
                </m:naryPr>
                <m:sub>
                  <m:r>
                    <m:t>i=1</m:t>
                  </m:r>
                </m:sub>
                <m:sup>
                  <m:r>
                    <m:t>N</m:t>
                  </m:r>
                </m:sup>
                <m:e/>
              </m:nary>
              <m:sSub>
                <m:e>
                  <m:r>
                    <m:t>w</m:t>
                  </m:r>
                </m:e>
                <m:sub>
                  <m:sSub>
                    <m:e>
                      <m:r>
                        <m:t>c</m:t>
                      </m:r>
                    </m:e>
                    <m:sub>
                      <m:r>
                        <m:t>i</m:t>
                      </m:r>
                    </m:sub>
                  </m:sSub>
                </m:sub>
              </m:sSub>
              <m:r>
                <m:rPr>
                  <m:sty m:val="p"/>
                </m:rPr>
                <m:t>log</m:t>
              </m:r>
              <m:sSub>
                <m:e>
                  <m:r>
                    <m:t>p</m:t>
                  </m:r>
                </m:e>
                <m:sub>
                  <m:r>
                    <m:t>i,</m:t>
                  </m:r>
                  <m:sSub>
                    <m:e>
                      <m:r>
                        <m:t>c</m:t>
                      </m:r>
                    </m:e>
                    <m:sub>
                      <m:r>
                        <m:t>i</m:t>
                      </m:r>
                    </m:sub>
                  </m:sSub>
                </m:sub>
              </m:sSub>
            </m:num>
            <m:den>
              <m:nary>
                <m:naryPr>
                  <m:chr m:val="∑"/>
                  <m:limLoc m:val="subSup"/>
                  <m:grow m:val="1"/>
                  <m:subHide m:val="off"/>
                  <m:supHide m:val="off"/>
                </m:naryPr>
                <m:sub>
                  <m:r>
                    <m:t>i=1</m:t>
                  </m:r>
                </m:sub>
                <m:sup>
                  <m:r>
                    <m:t>N</m:t>
                  </m:r>
                </m:sup>
                <m:e/>
              </m:nary>
              <m:sSub>
                <m:e>
                  <m:r>
                    <m:t>w</m:t>
                  </m:r>
                </m:e>
                <m:sub>
                  <m:sSub>
                    <m:e>
                      <m:r>
                        <m:t>c</m:t>
                      </m:r>
                    </m:e>
                    <m:sub>
                      <m:r>
                        <m:t>i</m:t>
                      </m:r>
                    </m:sub>
                  </m:sSub>
                </m:sub>
              </m:sSub>
            </m:den>
          </m:f>
          <m:r>
            <m:t>  (5.3-5)</m:t>
          </m:r>
        </m:oMath>
      </m:oMathPara>
    </w:p>
    <w:p>
      <w:pPr/>
      <w:r>
        <w:t>分母对应加权交叉熵的加权平均约定。与直接按频率倒数加权相比，逆平方根权重对少数类的补偿较温和，但仍不能保证中性类的表示可分。强度回归采用转折点为1的平滑损失，令eᵢ=rᵢ−yᵢ：</w:t>
      </w:r>
    </w:p>
    <w:p>
      <w:pPr>
        <w:keepLines/>
      </w:pPr>
      <m:oMathPara>
        <m:oMath xmlns:mml="http://www.w3.org/1998/Math/MathML">
          <m:sSub>
            <m:e>
              <m:r>
                <m:t>L</m:t>
              </m:r>
            </m:e>
            <m:sub>
              <m:r>
                <m:rPr>
                  <m:sty m:val="p"/>
                </m:rPr>
                <m:t>reg</m:t>
              </m:r>
            </m:sub>
          </m:sSub>
          <m:r>
            <m:t>=</m:t>
          </m:r>
          <m:f>
            <m:fPr>
              <m:type m:val="bar"/>
            </m:fPr>
            <m:num>
              <m:r>
                <m:t>1</m:t>
              </m:r>
            </m:num>
            <m:den>
              <m:r>
                <m:t>N</m:t>
              </m:r>
            </m:den>
          </m:f>
          <m:nary>
            <m:naryPr>
              <m:chr m:val="∑"/>
              <m:limLoc m:val="subSup"/>
              <m:grow m:val="1"/>
              <m:subHide m:val="off"/>
              <m:supHide m:val="off"/>
            </m:naryPr>
            <m:sub>
              <m:r>
                <m:t>i=1</m:t>
              </m:r>
            </m:sub>
            <m:sup>
              <m:r>
                <m:t>N</m:t>
              </m:r>
            </m:sup>
            <m:e/>
          </m:nary>
          <m:r>
            <m:t>ℓ(</m:t>
          </m:r>
          <m:sSub>
            <m:e>
              <m:r>
                <m:t>e</m:t>
              </m:r>
            </m:e>
            <m:sub>
              <m:r>
                <m:t>i</m:t>
              </m:r>
            </m:sub>
          </m:sSub>
          <m:r>
            <m:t>),</m:t>
          </m:r>
          <m:r>
            <m:t>ℓ(e)=</m:t>
          </m:r>
          <m:r>
            <m:t>{</m:t>
          </m:r>
          <m:m>
            <m:mPr>
              <m:baseJc m:val="center"/>
              <m:plcHide m:val="on"/>
              <m:mcs>
                <m:mc>
                  <m:mcPr>
                    <m:count m:val="2"/>
                    <m:mcJc m:val="center"/>
                  </m:mcPr>
                </m:mc>
              </m:mcs>
            </m:mPr>
            <m:mr>
              <m:e>
                <m:f>
                  <m:fPr>
                    <m:type m:val="bar"/>
                  </m:fPr>
                  <m:num>
                    <m:r>
                      <m:t>1</m:t>
                    </m:r>
                  </m:num>
                  <m:den>
                    <m:r>
                      <m:t>2</m:t>
                    </m:r>
                  </m:den>
                </m:f>
                <m:sSup>
                  <m:e>
                    <m:r>
                      <m:t>e</m:t>
                    </m:r>
                  </m:e>
                  <m:sup>
                    <m:r>
                      <m:t>2</m:t>
                    </m:r>
                  </m:sup>
                </m:sSup>
                <m:r>
                  <m:t>,</m:t>
                </m:r>
              </m:e>
              <m:e>
                <m:r>
                  <m:t>|e|&lt;1,</m:t>
                </m:r>
              </m:e>
            </m:mr>
            <m:mr>
              <m:e>
                <m:r>
                  <m:t>|e|−</m:t>
                </m:r>
                <m:f>
                  <m:fPr>
                    <m:type m:val="bar"/>
                  </m:fPr>
                  <m:num>
                    <m:r>
                      <m:t>1</m:t>
                    </m:r>
                  </m:num>
                  <m:den>
                    <m:r>
                      <m:t>2</m:t>
                    </m:r>
                  </m:den>
                </m:f>
                <m:r>
                  <m:t>,</m:t>
                </m:r>
              </m:e>
              <m:e>
                <m:r>
                  <m:t>|e|≥1.</m:t>
                </m:r>
              </m:e>
            </m:mr>
          </m:m>
          <m:r>
            <m:t>  (5.3-6)</m:t>
          </m:r>
        </m:oMath>
      </m:oMathPara>
    </w:p>
    <w:p>
      <w:pPr/>
      <w:r>
        <w:t>该目标在小误差区域保留平滑梯度，在大误差区域采用线性增长，减少极端强度样本对回归更新的支配。F₀／B₀F₀／B₀推理阶段的极性一致性约束为：</w:t>
      </w:r>
    </w:p>
    <w:p>
      <w:pPr>
        <w:keepLines/>
      </w:pPr>
      <m:oMathPara>
        <m:oMath xmlns:mml="http://www.w3.org/1998/Math/MathML">
          <m:sSub>
            <m:e>
              <m:limUpp>
                <m:e>
                  <m:r>
                    <m:t>y</m:t>
                  </m:r>
                </m:e>
                <m:lim>
                  <m:r>
                    <m:t>^</m:t>
                  </m:r>
                </m:lim>
              </m:limUpp>
            </m:e>
            <m:sub>
              <m:r>
                <m:t>i</m:t>
              </m:r>
            </m:sub>
          </m:sSub>
          <m:r>
            <m:t>=</m:t>
          </m:r>
          <m:r>
            <m:t>{</m:t>
          </m:r>
          <m:m>
            <m:mPr>
              <m:baseJc m:val="center"/>
              <m:plcHide m:val="on"/>
              <m:mcs>
                <m:mc>
                  <m:mcPr>
                    <m:count m:val="2"/>
                    <m:mcJc m:val="center"/>
                  </m:mcPr>
                </m:mc>
              </m:mcs>
            </m:mPr>
            <m:mr>
              <m:e>
                <m:r>
                  <m:t>−|</m:t>
                </m:r>
                <m:sSub>
                  <m:e>
                    <m:r>
                      <m:t>r</m:t>
                    </m:r>
                  </m:e>
                  <m:sub>
                    <m:r>
                      <m:t>i</m:t>
                    </m:r>
                  </m:sub>
                </m:sSub>
                <m:r>
                  <m:t>|,</m:t>
                </m:r>
              </m:e>
              <m:e>
                <m:sSub>
                  <m:e>
                    <m:limUpp>
                      <m:e>
                        <m:r>
                          <m:t>c</m:t>
                        </m:r>
                      </m:e>
                      <m:lim>
                        <m:r>
                          <m:t>^</m:t>
                        </m:r>
                      </m:lim>
                    </m:limUpp>
                  </m:e>
                  <m:sub>
                    <m:r>
                      <m:t>i</m:t>
                    </m:r>
                  </m:sub>
                </m:sSub>
                <m:r>
                  <m:t>=</m:t>
                </m:r>
                <m:r>
                  <m:rPr>
                    <m:sty m:val="p"/>
                  </m:rPr>
                  <m:t>Negative</m:t>
                </m:r>
                <m:r>
                  <m:t>,</m:t>
                </m:r>
              </m:e>
            </m:mr>
            <m:mr>
              <m:e>
                <m:r>
                  <m:t>0,</m:t>
                </m:r>
              </m:e>
              <m:e>
                <m:sSub>
                  <m:e>
                    <m:limUpp>
                      <m:e>
                        <m:r>
                          <m:t>c</m:t>
                        </m:r>
                      </m:e>
                      <m:lim>
                        <m:r>
                          <m:t>^</m:t>
                        </m:r>
                      </m:lim>
                    </m:limUpp>
                  </m:e>
                  <m:sub>
                    <m:r>
                      <m:t>i</m:t>
                    </m:r>
                  </m:sub>
                </m:sSub>
                <m:r>
                  <m:t>=</m:t>
                </m:r>
                <m:r>
                  <m:rPr>
                    <m:sty m:val="p"/>
                  </m:rPr>
                  <m:t>Neutral</m:t>
                </m:r>
                <m:r>
                  <m:t>,</m:t>
                </m:r>
              </m:e>
            </m:mr>
            <m:mr>
              <m:e>
                <m:r>
                  <m:t>|</m:t>
                </m:r>
                <m:sSub>
                  <m:e>
                    <m:r>
                      <m:t>r</m:t>
                    </m:r>
                  </m:e>
                  <m:sub>
                    <m:r>
                      <m:t>i</m:t>
                    </m:r>
                  </m:sub>
                </m:sSub>
                <m:r>
                  <m:t>|,</m:t>
                </m:r>
              </m:e>
              <m:e>
                <m:sSub>
                  <m:e>
                    <m:limUpp>
                      <m:e>
                        <m:r>
                          <m:t>c</m:t>
                        </m:r>
                      </m:e>
                      <m:lim>
                        <m:r>
                          <m:t>^</m:t>
                        </m:r>
                      </m:lim>
                    </m:limUpp>
                  </m:e>
                  <m:sub>
                    <m:r>
                      <m:t>i</m:t>
                    </m:r>
                  </m:sub>
                </m:sSub>
                <m:r>
                  <m:t>=</m:t>
                </m:r>
                <m:r>
                  <m:rPr>
                    <m:sty m:val="p"/>
                  </m:rPr>
                  <m:t>Positive</m:t>
                </m:r>
                <m:r>
                  <m:t>.</m:t>
                </m:r>
              </m:e>
            </m:mr>
          </m:m>
          <m:r>
            <m:t>  (5.3-7)</m:t>
          </m:r>
        </m:oMath>
      </m:oMathPara>
    </w:p>
    <w:p>
      <w:pPr/>
      <w:r>
        <w:t>这一约束使分类边界与强度输出直接耦合：校准若改变极性，即使回归头数值不变，最终强度也可能改变。因此，分类后处理的选择必须重新检查强度误差，不能只比较ACC。</w:t>
      </w:r>
    </w:p>
    <w:p>
      <w:pPr>
        <w:pStyle w:val="Heading1"/>
      </w:pPr>
      <w:r>
        <w:t>5.3.4 求解方法与评价协议</w:t>
      </w:r>
    </w:p>
    <w:p>
      <w:pPr/>
      <w:r>
        <w:t>全文采用三类明确区分的评价口径：internal dev为train内部划分的391条开发样本，official valid为官方728条验证样本，历史test为前期已评估的727条样本。各表对应关系见表5-25；统一协议模块消融见表5-26，历史B₀缺失鲁棒性敏感性分析见表5-28，三层消融的覆盖边界及最小对照矩阵见表5-29。验证复用与调参风险在第5.3.9节单独讨论。尤其是66.33%、63.74%与65.61%分别对应内部dev、official valid单模型及历史test三种子均值，不能直接横向排序。</w:t>
      </w:r>
    </w:p>
    <w:p>
      <w:pPr>
        <w:pStyle w:val="Heading2"/>
      </w:pPr>
      <w:r>
        <w:t>1 训练及模型锁定</w:t>
      </w:r>
    </w:p>
    <w:p>
      <w:pPr/>
      <w:r>
        <w:t>主线采用AdamW，学习率8×10⁻⁴，权重衰减0.01，batch为64，Dropout为0.25，梯度裁剪阈值为1。第一轮搜索阶段每个候选先训练6轮，优选候选延长至18轮，最终六组方法分别使用20260924、20260925、20260926三个种子。选模目标综合原始输入及三个固定缺失条件上的指标：</w:t>
      </w:r>
    </w:p>
    <w:p>
      <w:pPr>
        <w:keepLines/>
      </w:pPr>
      <m:oMathPara>
        <m:oMath xmlns:mml="http://www.w3.org/1998/Math/MathML">
          <m:r>
            <m:t>S=</m:t>
          </m:r>
          <m:sSub>
            <m:e>
              <m:r>
                <m:rPr>
                  <m:sty m:val="p"/>
                </m:rPr>
                <m:t>mean</m:t>
              </m:r>
            </m:e>
            <m:sub>
              <m:r>
                <m:t>ω</m:t>
              </m:r>
            </m:sub>
          </m:sSub>
          <m:r>
            <m:t>(</m:t>
          </m:r>
          <m:sSub>
            <m:e>
              <m:r>
                <m:rPr>
                  <m:sty m:val="p"/>
                </m:rPr>
                <m:t>MacroF</m:t>
              </m:r>
              <m:r>
                <m:t>1</m:t>
              </m:r>
            </m:e>
            <m:sub>
              <m:r>
                <m:t>ω</m:t>
              </m:r>
            </m:sub>
          </m:sSub>
          <m:r>
            <m:t>−0.15</m:t>
          </m:r>
          <m:sSub>
            <m:e>
              <m:r>
                <m:rPr>
                  <m:sty m:val="p"/>
                </m:rPr>
                <m:t>MAE</m:t>
              </m:r>
            </m:e>
            <m:sub>
              <m:r>
                <m:t>ω</m:t>
              </m:r>
            </m:sub>
          </m:sSub>
          <m:r>
            <m:t>+0.05</m:t>
          </m:r>
          <m:sSub>
            <m:e>
              <m:r>
                <m:t>r</m:t>
              </m:r>
            </m:e>
            <m:sub>
              <m:r>
                <m:t>P,ω</m:t>
              </m:r>
            </m:sub>
          </m:sSub>
          <m:r>
            <m:t>)</m:t>
          </m:r>
          <m:r>
            <m:t>  (5.3-8)</m:t>
          </m:r>
        </m:oMath>
      </m:oMathPara>
    </w:p>
    <w:p>
      <w:pPr/>
      <w:r>
        <w:t>该式采用原始回归口径，其系数为实验约定，不是赛题规定的评分函数。搜索结果未超过默认配置，因而保留E0；冻结配置选定种子20260924、第3轮检查点。该模型用于冻结配置的诊断；最终专项输出采用S₀，不依据历史test分数重新挑选模型。</w:t>
      </w:r>
    </w:p>
    <w:p>
      <w:pPr/>
      <w:r>
        <w:t>后续优化部分将train按原视频划分为fit3004条与stop391条，以降低同一原视频片段跨开发子集带来的依赖。第六、七轮使用stop选择结构与训练轮数，再从通用预训练权重初始化，在完整train重训；种子固定为20267001、20267002、20267003，单模型部署种子预先固定为20267001。各轮训练范式、选择标准和推理精度发生变化，因此七轮结果只在各自受控对照内解释。</w:t>
      </w:r>
    </w:p>
    <w:p>
      <w:pPr>
        <w:pStyle w:val="Heading2"/>
      </w:pPr>
      <w:r>
        <w:t>2 指标定义与汇总方式</w:t>
      </w:r>
    </w:p>
    <w:p>
      <w:pPr/>
      <w:r>
        <w:t>准确率ACC衡量全部样本中极性分类正确的比例；Macro-F1为三个类别F1的等权平均，避免正向样本较多时掩盖中性识别不足。MAE为预测强度与真实强度绝对误差的均值，越小越好；Pearson相关系数衡量强度变化趋势的一致性，越大越好，但不能替代绝对误差。类别F1由该类精确率与召回率的调和平均给出。</w:t>
      </w:r>
    </w:p>
    <w:p>
      <w:pPr/>
      <w:r>
        <w:t>缺失条件平均值先对每种条件的728条样本计算指标，再对63种条件等权平均；同一批样本重复施加扰动，不构成63份独立验证数据。三种子均值是三个独立训练模型的指标均值，不等于概率集成后的指标。第六、七轮全valid拟合校准偏置的结果使用了验证标签，属于拟合后描述；分组折外校准仅检查偏置步骤，仍不能称为整个研究过程的独立盲测。</w:t>
      </w:r>
    </w:p>
    <w:p>
      <w:pPr/>
    </w:p>
    <w:p>
      <w:pPr>
        <w:pStyle w:val="Heading2"/>
      </w:pPr>
      <w:r>
        <w:t>3 指标的数学定义与缺失风险</w:t>
      </w:r>
    </w:p>
    <w:p>
      <w:pPr/>
      <w:r>
        <w:t>设TP_c、FP_c、FN_c分别为类别c的真正例、假正例与假负例，则：</w:t>
      </w:r>
    </w:p>
    <w:p>
      <w:pPr>
        <w:keepLines/>
      </w:pPr>
      <m:oMathPara>
        <m:oMath xmlns:mml="http://www.w3.org/1998/Math/MathML">
          <m:r>
            <m:rPr>
              <m:sty m:val="p"/>
            </m:rPr>
            <m:t>ACC</m:t>
          </m:r>
          <m:r>
            <m:t>=</m:t>
          </m:r>
          <m:f>
            <m:fPr>
              <m:type m:val="bar"/>
            </m:fPr>
            <m:num>
              <m:r>
                <m:t>1</m:t>
              </m:r>
            </m:num>
            <m:den>
              <m:r>
                <m:t>N</m:t>
              </m:r>
            </m:den>
          </m:f>
          <m:nary>
            <m:naryPr>
              <m:chr m:val="∑"/>
              <m:limLoc m:val="subSup"/>
              <m:grow m:val="1"/>
              <m:subHide m:val="off"/>
              <m:supHide m:val="off"/>
            </m:naryPr>
            <m:sub>
              <m:r>
                <m:t>i=1</m:t>
              </m:r>
            </m:sub>
            <m:sup>
              <m:r>
                <m:t>N</m:t>
              </m:r>
            </m:sup>
            <m:e/>
          </m:nary>
          <m:r>
            <m:rPr>
              <m:sty m:val="b"/>
            </m:rPr>
            <m:t>1</m:t>
          </m:r>
          <m:r>
            <m:t>(</m:t>
          </m:r>
          <m:sSub>
            <m:e>
              <m:limUpp>
                <m:e>
                  <m:r>
                    <m:t>c</m:t>
                  </m:r>
                </m:e>
                <m:lim>
                  <m:r>
                    <m:t>^</m:t>
                  </m:r>
                </m:lim>
              </m:limUpp>
            </m:e>
            <m:sub>
              <m:r>
                <m:t>i</m:t>
              </m:r>
            </m:sub>
          </m:sSub>
          <m:r>
            <m:t>=</m:t>
          </m:r>
          <m:sSub>
            <m:e>
              <m:r>
                <m:t>c</m:t>
              </m:r>
            </m:e>
            <m:sub>
              <m:r>
                <m:t>i</m:t>
              </m:r>
            </m:sub>
          </m:sSub>
          <m:r>
            <m:t>),</m:t>
          </m:r>
          <m:r>
            <m:rPr>
              <m:sty m:val="p"/>
            </m:rPr>
            <m:t>MacroF</m:t>
          </m:r>
          <m:r>
            <m:t>1</m:t>
          </m:r>
          <m:r>
            <m:t>=</m:t>
          </m:r>
          <m:f>
            <m:fPr>
              <m:type m:val="bar"/>
            </m:fPr>
            <m:num>
              <m:r>
                <m:t>1</m:t>
              </m:r>
            </m:num>
            <m:den>
              <m:r>
                <m:t>3</m:t>
              </m:r>
            </m:den>
          </m:f>
          <m:nary>
            <m:naryPr>
              <m:chr m:val="∑"/>
              <m:limLoc m:val="subSup"/>
              <m:grow m:val="1"/>
              <m:subHide m:val="off"/>
              <m:supHide m:val="off"/>
            </m:naryPr>
            <m:sub>
              <m:r>
                <m:t>c=1</m:t>
              </m:r>
            </m:sub>
            <m:sup>
              <m:r>
                <m:t>3</m:t>
              </m:r>
            </m:sup>
            <m:e/>
          </m:nary>
          <m:f>
            <m:fPr>
              <m:type m:val="bar"/>
            </m:fPr>
            <m:num>
              <m:r>
                <m:t>2T</m:t>
              </m:r>
              <m:sSub>
                <m:e>
                  <m:r>
                    <m:t>P</m:t>
                  </m:r>
                </m:e>
                <m:sub>
                  <m:r>
                    <m:t>c</m:t>
                  </m:r>
                </m:sub>
              </m:sSub>
            </m:num>
            <m:den>
              <m:r>
                <m:t>2T</m:t>
              </m:r>
              <m:sSub>
                <m:e>
                  <m:r>
                    <m:t>P</m:t>
                  </m:r>
                </m:e>
                <m:sub>
                  <m:r>
                    <m:t>c</m:t>
                  </m:r>
                </m:sub>
              </m:sSub>
              <m:r>
                <m:t>+F</m:t>
              </m:r>
              <m:sSub>
                <m:e>
                  <m:r>
                    <m:t>P</m:t>
                  </m:r>
                </m:e>
                <m:sub>
                  <m:r>
                    <m:t>c</m:t>
                  </m:r>
                </m:sub>
              </m:sSub>
              <m:r>
                <m:t>+F</m:t>
              </m:r>
              <m:sSub>
                <m:e>
                  <m:r>
                    <m:t>N</m:t>
                  </m:r>
                </m:e>
                <m:sub>
                  <m:r>
                    <m:t>c</m:t>
                  </m:r>
                </m:sub>
              </m:sSub>
            </m:den>
          </m:f>
          <m:r>
            <m:t>  (5.3-9)</m:t>
          </m:r>
        </m:oMath>
      </m:oMathPara>
    </w:p>
    <w:p>
      <w:pPr>
        <w:keepLines/>
      </w:pPr>
      <m:oMathPara>
        <m:oMath xmlns:mml="http://www.w3.org/1998/Math/MathML">
          <m:r>
            <m:rPr>
              <m:sty m:val="p"/>
            </m:rPr>
            <m:t>MAE</m:t>
          </m:r>
          <m:r>
            <m:t>=</m:t>
          </m:r>
          <m:f>
            <m:fPr>
              <m:type m:val="bar"/>
            </m:fPr>
            <m:num>
              <m:r>
                <m:t>1</m:t>
              </m:r>
            </m:num>
            <m:den>
              <m:r>
                <m:t>N</m:t>
              </m:r>
            </m:den>
          </m:f>
          <m:nary>
            <m:naryPr>
              <m:chr m:val="∑"/>
              <m:limLoc m:val="subSup"/>
              <m:grow m:val="1"/>
              <m:subHide m:val="off"/>
              <m:supHide m:val="on"/>
            </m:naryPr>
            <m:sub>
              <m:r>
                <m:t>i</m:t>
              </m:r>
            </m:sub>
            <m:sup/>
            <m:e/>
          </m:nary>
          <m:r>
            <m:t>|</m:t>
          </m:r>
          <m:sSub>
            <m:e>
              <m:limUpp>
                <m:e>
                  <m:r>
                    <m:t>y</m:t>
                  </m:r>
                </m:e>
                <m:lim>
                  <m:r>
                    <m:t>^</m:t>
                  </m:r>
                </m:lim>
              </m:limUpp>
            </m:e>
            <m:sub>
              <m:r>
                <m:t>i</m:t>
              </m:r>
            </m:sub>
          </m:sSub>
          <m:r>
            <m:t>−</m:t>
          </m:r>
          <m:sSub>
            <m:e>
              <m:r>
                <m:t>y</m:t>
              </m:r>
            </m:e>
            <m:sub>
              <m:r>
                <m:t>i</m:t>
              </m:r>
            </m:sub>
          </m:sSub>
          <m:r>
            <m:t>|,</m:t>
          </m:r>
          <m:sSub>
            <m:e>
              <m:r>
                <m:t>r</m:t>
              </m:r>
            </m:e>
            <m:sub>
              <m:r>
                <m:t>P</m:t>
              </m:r>
            </m:sub>
          </m:sSub>
          <m:r>
            <m:t>=</m:t>
          </m:r>
          <m:f>
            <m:fPr>
              <m:type m:val="bar"/>
            </m:fPr>
            <m:num>
              <m:nary>
                <m:naryPr>
                  <m:chr m:val="∑"/>
                  <m:limLoc m:val="subSup"/>
                  <m:grow m:val="1"/>
                  <m:subHide m:val="off"/>
                  <m:supHide m:val="on"/>
                </m:naryPr>
                <m:sub>
                  <m:r>
                    <m:t>i</m:t>
                  </m:r>
                </m:sub>
                <m:sup/>
                <m:e/>
              </m:nary>
              <m:r>
                <m:t>(</m:t>
              </m:r>
              <m:sSub>
                <m:e>
                  <m:r>
                    <m:t>y</m:t>
                  </m:r>
                </m:e>
                <m:sub>
                  <m:r>
                    <m:t>i</m:t>
                  </m:r>
                </m:sub>
              </m:sSub>
              <m:r>
                <m:t>−</m:t>
              </m:r>
              <m:bar>
                <m:barPr>
                  <m:pos m:val="top"/>
                </m:barPr>
                <m:e>
                  <m:r>
                    <m:t>y</m:t>
                  </m:r>
                </m:e>
              </m:bar>
              <m:r>
                <m:t>)(</m:t>
              </m:r>
              <m:sSub>
                <m:e>
                  <m:limUpp>
                    <m:e>
                      <m:r>
                        <m:t>y</m:t>
                      </m:r>
                    </m:e>
                    <m:lim>
                      <m:r>
                        <m:t>^</m:t>
                      </m:r>
                    </m:lim>
                  </m:limUpp>
                </m:e>
                <m:sub>
                  <m:r>
                    <m:t>i</m:t>
                  </m:r>
                </m:sub>
              </m:sSub>
              <m:r>
                <m:t>−</m:t>
              </m:r>
              <m:acc>
                <m:accPr>
                  <m:chr m:val="―"/>
                </m:accPr>
                <m:e>
                  <m:limUpp>
                    <m:e>
                      <m:r>
                        <m:t>y</m:t>
                      </m:r>
                    </m:e>
                    <m:lim>
                      <m:r>
                        <m:t>^</m:t>
                      </m:r>
                    </m:lim>
                  </m:limUpp>
                </m:e>
              </m:acc>
              <m:r>
                <m:t>)</m:t>
              </m:r>
            </m:num>
            <m:den>
              <m:rad>
                <m:radPr>
                  <m:degHide m:val="on"/>
                </m:radPr>
                <m:deg/>
                <m:e>
                  <m:nary>
                    <m:naryPr>
                      <m:chr m:val="∑"/>
                      <m:limLoc m:val="subSup"/>
                      <m:grow m:val="1"/>
                      <m:subHide m:val="off"/>
                      <m:supHide m:val="on"/>
                    </m:naryPr>
                    <m:sub>
                      <m:r>
                        <m:t>i</m:t>
                      </m:r>
                    </m:sub>
                    <m:sup/>
                    <m:e/>
                  </m:nary>
                  <m:r>
                    <m:t>(</m:t>
                  </m:r>
                  <m:sSub>
                    <m:e>
                      <m:r>
                        <m:t>y</m:t>
                      </m:r>
                    </m:e>
                    <m:sub>
                      <m:r>
                        <m:t>i</m:t>
                      </m:r>
                    </m:sub>
                  </m:sSub>
                  <m:r>
                    <m:t>−</m:t>
                  </m:r>
                  <m:bar>
                    <m:barPr>
                      <m:pos m:val="top"/>
                    </m:barPr>
                    <m:e>
                      <m:r>
                        <m:t>y</m:t>
                      </m:r>
                    </m:e>
                  </m:bar>
                  <m:sSup>
                    <m:e>
                      <m:r>
                        <m:t>)</m:t>
                      </m:r>
                    </m:e>
                    <m:sup>
                      <m:r>
                        <m:t>2</m:t>
                      </m:r>
                    </m:sup>
                  </m:sSup>
                  <m:nary>
                    <m:naryPr>
                      <m:chr m:val="∑"/>
                      <m:limLoc m:val="subSup"/>
                      <m:grow m:val="1"/>
                      <m:subHide m:val="off"/>
                      <m:supHide m:val="on"/>
                    </m:naryPr>
                    <m:sub>
                      <m:r>
                        <m:t>i</m:t>
                      </m:r>
                    </m:sub>
                    <m:sup/>
                    <m:e/>
                  </m:nary>
                  <m:r>
                    <m:t>(</m:t>
                  </m:r>
                  <m:sSub>
                    <m:e>
                      <m:limUpp>
                        <m:e>
                          <m:r>
                            <m:t>y</m:t>
                          </m:r>
                        </m:e>
                        <m:lim>
                          <m:r>
                            <m:t>^</m:t>
                          </m:r>
                        </m:lim>
                      </m:limUpp>
                    </m:e>
                    <m:sub>
                      <m:r>
                        <m:t>i</m:t>
                      </m:r>
                    </m:sub>
                  </m:sSub>
                  <m:r>
                    <m:t>−</m:t>
                  </m:r>
                  <m:acc>
                    <m:accPr>
                      <m:chr m:val="―"/>
                    </m:accPr>
                    <m:e>
                      <m:limUpp>
                        <m:e>
                          <m:r>
                            <m:t>y</m:t>
                          </m:r>
                        </m:e>
                        <m:lim>
                          <m:r>
                            <m:t>^</m:t>
                          </m:r>
                        </m:lim>
                      </m:limUpp>
                    </m:e>
                  </m:acc>
                  <m:sSup>
                    <m:e>
                      <m:r>
                        <m:t>)</m:t>
                      </m:r>
                    </m:e>
                    <m:sup>
                      <m:r>
                        <m:t>2</m:t>
                      </m:r>
                    </m:sup>
                  </m:sSup>
                </m:e>
              </m:rad>
            </m:den>
          </m:f>
          <m:r>
            <m:t>  (5.3-10)</m:t>
          </m:r>
        </m:oMath>
      </m:oMathPara>
    </w:p>
    <w:p>
      <w:pPr/>
      <w:r>
        <w:t>对缺失条件集合Ω，分别报告平均性能和最差条件性能，以区分平均鲁棒性与局部失效风险：</w:t>
      </w:r>
    </w:p>
    <w:p>
      <w:pPr>
        <w:keepLines/>
      </w:pPr>
      <m:oMathPara>
        <m:oMath xmlns:mml="http://www.w3.org/1998/Math/MathML">
          <m:sSub>
            <m:e>
              <m:acc>
                <m:accPr>
                  <m:chr m:val="―"/>
                </m:accPr>
                <m:e>
                  <m:r>
                    <m:t>F</m:t>
                  </m:r>
                </m:e>
              </m:acc>
            </m:e>
            <m:sub>
              <m:r>
                <m:rPr>
                  <m:sty m:val="p"/>
                </m:rPr>
                <m:t>miss</m:t>
              </m:r>
            </m:sub>
          </m:sSub>
          <m:r>
            <m:t>=</m:t>
          </m:r>
          <m:f>
            <m:fPr>
              <m:type m:val="bar"/>
            </m:fPr>
            <m:num>
              <m:r>
                <m:t>1</m:t>
              </m:r>
            </m:num>
            <m:den>
              <m:r>
                <m:t>63</m:t>
              </m:r>
            </m:den>
          </m:f>
          <m:nary>
            <m:naryPr>
              <m:chr m:val="∑"/>
              <m:limLoc m:val="subSup"/>
              <m:grow m:val="1"/>
              <m:subHide m:val="off"/>
              <m:supHide m:val="on"/>
            </m:naryPr>
            <m:sub>
              <m:r>
                <m:t>ω∈Ω</m:t>
              </m:r>
            </m:sub>
            <m:sup/>
            <m:e/>
          </m:nary>
          <m:sSub>
            <m:e>
              <m:r>
                <m:t>F</m:t>
              </m:r>
            </m:e>
            <m:sub>
              <m:r>
                <m:t>ω</m:t>
              </m:r>
            </m:sub>
          </m:sSub>
          <m:r>
            <m:t>,</m:t>
          </m:r>
          <m:sSub>
            <m:e>
              <m:r>
                <m:t>F</m:t>
              </m:r>
            </m:e>
            <m:sub>
              <m:r>
                <m:rPr>
                  <m:sty m:val="p"/>
                </m:rPr>
                <m:t>worst</m:t>
              </m:r>
            </m:sub>
          </m:sSub>
          <m:r>
            <m:t>=</m:t>
          </m:r>
          <m:sSub>
            <m:e>
              <m:r>
                <m:t>min</m:t>
              </m:r>
            </m:e>
            <m:sub>
              <m:r>
                <m:t>ω∈Ω</m:t>
              </m:r>
            </m:sub>
          </m:sSub>
          <m:sSub>
            <m:e>
              <m:r>
                <m:t>F</m:t>
              </m:r>
            </m:e>
            <m:sub>
              <m:r>
                <m:t>ω</m:t>
              </m:r>
            </m:sub>
          </m:sSub>
          <m:r>
            <m:t>  (5.3-11)</m:t>
          </m:r>
        </m:oMath>
      </m:oMathPara>
    </w:p>
    <w:p>
      <w:pPr/>
      <w:r>
        <w:t>这里的最差条件是预先枚举网格中的最小值，不代表所有现实缺失模式下的理论下界。均值和最差值均依赖给定网格，不能被解释为真实采集场景的发生概率加权风险。</w:t>
      </w:r>
    </w:p>
    <w:p>
      <w:pPr>
        <w:pStyle w:val="Heading1"/>
      </w:pPr>
      <w:r>
        <w:t>5.3.5 验证结果及缺失敏感性</w:t>
      </w:r>
    </w:p>
    <w:p>
      <w:pPr>
        <w:pStyle w:val="Heading2"/>
      </w:pPr>
      <w:r>
        <w:t>1 冻结配置F₀模型的分类与回归表现</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表5-16 冻结鲁棒基线F₀在官方验证集上的指标（728条，单模型）</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2"/>
        <w:gridCol w:w="1882"/>
        <w:gridCol w:w="1882"/>
        <w:gridCol w:w="1882"/>
        <w:gridCol w:w="1882"/>
      </w:tblGrid>
      <w:tr>
        <w:trPr>
          <w:cantSplit/>
          <w:tblHeader/>
        </w:trPr>
        <w:tc>
          <w:tcPr>
            <w:tcW w:type="dxa" w:w="1882"/>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输入与输出口径</w:t>
            </w:r>
          </w:p>
        </w:tc>
        <w:tc>
          <w:tcPr>
            <w:tcW w:type="dxa" w:w="1882"/>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ACC（%）</w:t>
            </w:r>
          </w:p>
        </w:tc>
        <w:tc>
          <w:tcPr>
            <w:tcW w:type="dxa" w:w="1882"/>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Macro-F1</w:t>
            </w:r>
          </w:p>
        </w:tc>
        <w:tc>
          <w:tcPr>
            <w:tcW w:type="dxa" w:w="1882"/>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MAE</w:t>
            </w:r>
          </w:p>
        </w:tc>
        <w:tc>
          <w:tcPr>
            <w:tcW w:type="dxa" w:w="1882"/>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Pearson</w:t>
            </w:r>
          </w:p>
        </w:tc>
      </w:tr>
      <w:tr>
        <w:trPr>
          <w:cantSplit/>
        </w:trPr>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原始输入、原始回归</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61.68</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0.5942</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0.5971</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0.6488</w:t>
            </w:r>
          </w:p>
        </w:tc>
      </w:tr>
      <w:tr>
        <w:trPr>
          <w:cantSplit/>
        </w:trPr>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原始输入、一致性回归</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61.68</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0.5942</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0.5901</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0.6490</w:t>
            </w:r>
          </w:p>
        </w:tc>
      </w:tr>
      <w:tr>
        <w:trPr>
          <w:cantSplit/>
        </w:trPr>
        <w:tc>
          <w:tcPr>
            <w:tcW w:type="dxa" w:w="1882"/>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63种缺失条件均值、一致性回归</w:t>
            </w:r>
          </w:p>
        </w:tc>
        <w:tc>
          <w:tcPr>
            <w:tcW w:type="dxa" w:w="1882"/>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59.72</w:t>
            </w:r>
          </w:p>
        </w:tc>
        <w:tc>
          <w:tcPr>
            <w:tcW w:type="dxa" w:w="1882"/>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0.5761</w:t>
            </w:r>
          </w:p>
        </w:tc>
        <w:tc>
          <w:tcPr>
            <w:tcW w:type="dxa" w:w="1882"/>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0.6076</w:t>
            </w:r>
          </w:p>
        </w:tc>
        <w:tc>
          <w:tcPr>
            <w:tcW w:type="dxa" w:w="1882"/>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0.6071</w:t>
            </w:r>
          </w:p>
        </w:tc>
      </w:tr>
    </w:tbl>
    <w:p>
      <w:pPr>
        <w:spacing w:after="0"/>
      </w:pPr>
    </w:p>
    <w:p>
      <w:pPr>
        <w:keepNext/>
        <w:jc w:val="center"/>
      </w:pPr>
      <w:r>
        <w:drawing>
          <wp:inline xmlns:a="http://schemas.openxmlformats.org/drawingml/2006/main" xmlns:pic="http://schemas.openxmlformats.org/drawingml/2006/picture">
            <wp:extent cx="3780000" cy="3667896"/>
            <wp:docPr id="3" name="Picture 3"/>
            <wp:cNvGraphicFramePr>
              <a:graphicFrameLocks noChangeAspect="1"/>
            </wp:cNvGraphicFramePr>
            <a:graphic>
              <a:graphicData uri="http://schemas.openxmlformats.org/drawingml/2006/picture">
                <pic:pic>
                  <pic:nvPicPr>
                    <pic:cNvPr id="0" name="confusion.png"/>
                    <pic:cNvPicPr/>
                  </pic:nvPicPr>
                  <pic:blipFill>
                    <a:blip r:embed="rId11"/>
                    <a:stretch>
                      <a:fillRect/>
                    </a:stretch>
                  </pic:blipFill>
                  <pic:spPr>
                    <a:xfrm>
                      <a:off x="0" y="0"/>
                      <a:ext cx="3780000" cy="3667896"/>
                    </a:xfrm>
                    <a:prstGeom prst="rect"/>
                  </pic:spPr>
                </pic:pic>
              </a:graphicData>
            </a:graphic>
          </wp:inline>
        </w:drawing>
      </w:r>
    </w:p>
    <w:p>
      <w:pPr>
        <w:pStyle w:val="Caption"/>
        <w:keepLines/>
      </w:pPr>
      <w:r>
        <w:t>图5-15 冻结鲁棒基线F₀在原始验证输入上的极性混淆矩阵。行是真实类别，列是预测类别；括号内为行内比例。</w:t>
      </w:r>
    </w:p>
    <w:p>
      <w:pPr/>
      <w:r>
        <w:t>负向、中性、正向F1分别为0.6504、0.4482、0.6841。184条中性样本中仅80条识别正确，74条被分为正向，显示中性与弱正向是当前分类的重要混淆区域。该现象支持进一步检查类别边界，却不能单凭混淆矩阵断定标签噪声或某一模态质量是唯一原因。一致性映射使MAE由0.5971降至0.5901，分类结果保持不变，说明部分回归误差可由任务间符号约束修正。</w:t>
      </w:r>
    </w:p>
    <w:p>
      <w:pPr>
        <w:pStyle w:val="Heading2"/>
      </w:pPr>
      <w:r>
        <w:t>2 缺失模态、长度与位置</w:t>
      </w:r>
    </w:p>
    <w:p>
      <w:pPr>
        <w:keepNext/>
        <w:jc w:val="center"/>
      </w:pPr>
      <w:r>
        <w:drawing>
          <wp:inline xmlns:a="http://schemas.openxmlformats.org/drawingml/2006/main" xmlns:pic="http://schemas.openxmlformats.org/drawingml/2006/picture">
            <wp:extent cx="5940000" cy="2732499"/>
            <wp:docPr id="4" name="Picture 4"/>
            <wp:cNvGraphicFramePr>
              <a:graphicFrameLocks noChangeAspect="1"/>
            </wp:cNvGraphicFramePr>
            <a:graphic>
              <a:graphicData uri="http://schemas.openxmlformats.org/drawingml/2006/picture">
                <pic:pic>
                  <pic:nvPicPr>
                    <pic:cNvPr id="0" name="missingness.png"/>
                    <pic:cNvPicPr/>
                  </pic:nvPicPr>
                  <pic:blipFill>
                    <a:blip r:embed="rId12"/>
                    <a:stretch>
                      <a:fillRect/>
                    </a:stretch>
                  </pic:blipFill>
                  <pic:spPr>
                    <a:xfrm>
                      <a:off x="0" y="0"/>
                      <a:ext cx="5940000" cy="2732499"/>
                    </a:xfrm>
                    <a:prstGeom prst="rect"/>
                  </pic:spPr>
                </pic:pic>
              </a:graphicData>
            </a:graphic>
          </wp:inline>
        </w:drawing>
      </w:r>
    </w:p>
    <w:p>
      <w:pPr>
        <w:pStyle w:val="Caption"/>
        <w:keepLines/>
      </w:pPr>
      <w:r>
        <w:t>图5-16 冻结配置F₀验证集连续缺失敏感性。左图为七种模态组合与三种长度比例的Macro-F1，每格对三个位置取均值；右图为三个位置的Macro-F1，每点对七种组合取均值。各格均由同一个锁定模型计算。</w:t>
      </w:r>
    </w:p>
    <w:p>
      <w:pPr/>
      <w:r>
        <w:t>对七种模态组合和三个位置平均，10%、30%、50%缺失时Macro-F1分别为0.5884、0.5769、0.5630。对全部比例与模态组合平均，起始、中部、末尾缺失时分别为0.5804、0.5760、0.5718；上述位置比较来自相同模型和同一验证集，不作为独立显著性检验。</w:t>
      </w:r>
    </w:p>
    <w:p>
      <w:pPr/>
      <w:r>
        <w:t>文本缺失的影响总体大于单独音频或视觉缺失，表明现有模型对文本语义依赖较强；但单路缺失影响较小，不等于该路没有补充价值。门控、特征冗余和样本难度均可能影响这一现象。较长片段删除了更多局部证据，而关键情感词或转折信息的分布并不均匀，因此相同缺失比例也可能因位置不同产生不同误差。</w:t>
      </w:r>
    </w:p>
    <w:p>
      <w:pPr/>
      <w:r>
        <w:t>历史输入一致性实验中，普通门控、缺失鲁棒门控、时序卷积与双向GRU模型的三种子选择分数分别为0.5100、0.5182、0.5162；63种验证缺失条件下原始回归MAE分别为0.6552、0.6354、0.6472，Macro-F1分别为0.5642、0.5706、0.5652。该消融支持在当前配置下保留缺失增强的门控冻结配置F₀。这里是各结构三种子统计，不能与表5-16单个锁定模型的一致性MAE直接相减。</w:t>
      </w:r>
    </w:p>
    <w:p>
      <w:pPr>
        <w:pStyle w:val="Heading1"/>
      </w:pPr>
      <w:r>
        <w:t>5.3.6 七轮优化的受控比较与经验归纳</w:t>
      </w:r>
    </w:p>
    <w:p>
      <w:pPr>
        <w:pStyle w:val="Heading2"/>
      </w:pPr>
      <w:r>
        <w:t>1 参数搜索、集成与任务权衡</w:t>
      </w:r>
    </w:p>
    <w:p>
      <w:pPr/>
      <w:r>
        <w:t>第一轮比较默认配置、随机搜索、差分进化（DE）、随机特征子集、统计排序及二进制粒子群（BPSO）筛选。默认配置的三种子验证选择分数为0.518186，DE为0.508847，DE与BPSO组合为0.514470，均未形成总体改进。BPSO保留83/109个音视频通道，减少23.85%的输入通道，但这不等于运行耗时或总参数同步减少。历史测试中DE的ACC略高，却伴随Macro-F1和MAE退化，不能据此替换按验证规则锁定的模型。</w:t>
      </w:r>
    </w:p>
    <w:p>
      <w:pPr/>
      <w:r>
        <w:t>第二轮把搜索对象从单模型超参数转为模型库集成权重，比较等权、贪心、随机、DE及带正则的DE，并使用折外方案控制权重拟合。正则DE的内部选择分数由默认参照的0.473403提高至0.507088，但历史测试ACC由65.20%降至64.10%。这说明更充分优化内部目标未必改善外部分类效果；集成需要基础模型具有可迁移的互补性，而不只是增加权重搜索预算。</w:t>
      </w:r>
    </w:p>
    <w:p>
      <w:pPr/>
      <w:r>
        <w:t>第三轮降低回归损失权重、降低缺失概率、取消类别权重，并检验文本编码器精度与顶部两层微调。组合改动的验证集概率集成ACC为61.13%、Macro-F1为0.5652，低于同轮默认集成的61.54%、0.5823；顶部两层微调方案为61.40%、0.5694。训练后期损失继续下降而stop准确率下降，提示当前数据规模下存在过拟合风险。上述结果只否定本轮配置，不能推论所有文本微调方法均无效。</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表5-17 前三轮搜索与训练策略的主要证据</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3"/>
        <w:gridCol w:w="2353"/>
        <w:gridCol w:w="2353"/>
        <w:gridCol w:w="2353"/>
      </w:tblGrid>
      <w:tr>
        <w:trPr>
          <w:cantSplit/>
          <w:tblHeader/>
        </w:trPr>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轮次</w:t>
            </w:r>
          </w:p>
        </w:tc>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同轮比较及统计口径</w:t>
            </w:r>
          </w:p>
        </w:tc>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参照→候选</w:t>
            </w:r>
          </w:p>
        </w:tc>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支持的结论</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第一轮</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valid选择分数，三种子均值；默认→DE+BPSO</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0.518186→0.514470</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筛选可压缩通道，未改善总体选模目标</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第二轮</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历史test ACC；默认→正则DE集成</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65.20%→64.10%</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内部权重优化收益未迁移</w:t>
            </w:r>
          </w:p>
        </w:tc>
      </w:tr>
      <w:tr>
        <w:trPr>
          <w:cantSplit/>
        </w:trPr>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第三轮</w:t>
            </w:r>
          </w:p>
        </w:tc>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valid ACC，概率集成；默认→组合改动</w:t>
            </w:r>
          </w:p>
        </w:tc>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61.54%→61.13%</w:t>
            </w:r>
          </w:p>
        </w:tc>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局部训练策略调整未获稳定收益</w:t>
            </w:r>
          </w:p>
        </w:tc>
      </w:tr>
    </w:tbl>
    <w:p>
      <w:pPr>
        <w:spacing w:after="0"/>
      </w:pPr>
    </w:p>
    <w:p>
      <w:pPr>
        <w:pStyle w:val="Heading2"/>
      </w:pPr>
      <w:r>
        <w:t>2 融合容量与独立专家互补</w:t>
      </w:r>
    </w:p>
    <w:p>
      <w:pPr/>
      <w:r>
        <w:t>第四轮检验加宽融合层、中性分解、时序交互及其组合。将公共维度由64增至91、融合参数由74963增至102665后，官方验证ACC的三种子均值由60.30%提高至61.31%，Macro-F1由0.5698提高至0.5772；同轮历史test ACC由63.09%提高至65.25%，Macro-F1由0.5786提高至0.6014。该结果支持有限度增加融合容量，但其他结构没有取得一致优势，因而不能把“结构更复杂”本身视为有效机制。</w:t>
      </w:r>
    </w:p>
    <w:p>
      <w:pPr/>
      <w:r>
        <w:t>第五轮分别训练文本专家与音视频专家，再用训练集按视频分组的折外预测训练轻量决策门控。门控输入包含两个专家的类别概率、强度、熵及三路可用比例，13→8→2网络仅含130个参数。辅助训练包含整路缺失环境，用于提高专家调度能力；其含义不同于赛题要求的局部连续缺失。</w:t>
      </w:r>
    </w:p>
    <w:p>
      <w:pPr/>
      <w:r>
        <w:t>文本错误但音视频正确的开发样本平均占13.13%，说明存在潜在互补；利用真实标签事后挑选正确专家的75.53%只是不可部署的理想上界。实际学习门控的验证ACC仅由61.31%升至61.49%，三个配对种子变化为+1.79、−0.55、−0.69个百分点，收益集中于一个种子。历史test ACC达到65.61%，但Macro-F1从0.6014降至0.5989，因此“第五轮约65%”是历史测试均值，不是验证准确率，也不是多指标全面领先。</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表5-18 第四、五轮结构与专家融合的结果（均为三个模型指标的均值）</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3"/>
        <w:gridCol w:w="2353"/>
        <w:gridCol w:w="2353"/>
        <w:gridCol w:w="2353"/>
      </w:tblGrid>
      <w:tr>
        <w:trPr>
          <w:cantSplit/>
          <w:tblHeader/>
        </w:trPr>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同轮比较</w:t>
            </w:r>
          </w:p>
        </w:tc>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valid ACC（%）</w:t>
            </w:r>
          </w:p>
        </w:tc>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历史test ACC（%）</w:t>
            </w:r>
          </w:p>
        </w:tc>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历史test Macro-F1</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第四轮：原融合</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60.30</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63.09</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0.5786</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第四轮：加宽融合</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61.31</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65.25</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0.6014</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第五轮：加宽融合参照</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61.31</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65.25</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0.6014</w:t>
            </w:r>
          </w:p>
        </w:tc>
      </w:tr>
      <w:tr>
        <w:trPr>
          <w:cantSplit/>
        </w:trPr>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第五轮：学习型专家门控</w:t>
            </w:r>
          </w:p>
        </w:tc>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61.49</w:t>
            </w:r>
          </w:p>
        </w:tc>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65.61</w:t>
            </w:r>
          </w:p>
        </w:tc>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0.5989</w:t>
            </w:r>
          </w:p>
        </w:tc>
      </w:tr>
    </w:tbl>
    <w:p>
      <w:pPr>
        <w:spacing w:after="0"/>
      </w:pPr>
    </w:p>
    <w:p>
      <w:pPr>
        <w:pStyle w:val="Heading2"/>
      </w:pPr>
      <w:r>
        <w:t>3 端到端表示与分类前时序交互</w:t>
      </w:r>
    </w:p>
    <w:p>
      <w:pPr/>
      <w:r>
        <w:t>第六轮在线运行MiniLM，比较顶部两层微调、融合维度64→192、全部六层及嵌入更新和文本冻结。使用batch32、10轮开发预算、缺失概率0.3及相同联合损失；融合层学习率为2×10⁻⁴，顶部两层为2×10⁻⁵，全层更新组对底层及嵌入采用更小学习率。stop ACC分别为64.96%、64.62%、64.79%、63.26%，扩容组未通过预设晋级规则，故保留顶部两层、64维融合。全部训练与内部评估约7.96分钟，共15个模型、138个epoch，不含开发、导出和解释时间。</w:t>
      </w:r>
    </w:p>
    <w:p>
      <w:pPr/>
      <w:r>
        <w:t>第七轮从类别监督与融合阶段两方面改变建模。类别均衡批次每类10/11/11条轮换，同时保留原类别权重；在此基础上增加权重0.05、温度0.1的监督对比损失，仅以不同视频样本形成比较关系。两组stop ACC分别降至61.64%、61.55%，因此未继续叠加时序融合。类别均衡与加权目标可能重复补偿，中性情感也未必构成紧凑同质簇；这些是与观察一致的解释，而非已隔离验证的原因。</w:t>
      </w:r>
    </w:p>
    <w:p>
      <w:pPr/>
      <w:r>
        <w:t>时序融合将三路序列投影至64维，加入位置和模态标识，在池化之前执行共享参数的一层四头交叉注意力。三个分支分别以一种模态为查询、其他两路为键值，再比较固定文本分支、有效分支等权及195→32→3动态门控。其交互发生在分类概率形成之前，与第五轮的决策级专家融合不同。动态组stop ACC达到66.33%，较原Fusion提高1.36个百分点，但相对等权组仅增加0.26个百分点，未通过相对固定／等权分支的机制验证条件，不能将主要收益单独归因于动态选择器。</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表5-19 第六、七轮stop开发结果（三种子均值；不是官方valid）</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2"/>
        <w:gridCol w:w="1882"/>
        <w:gridCol w:w="1882"/>
        <w:gridCol w:w="1882"/>
        <w:gridCol w:w="1882"/>
      </w:tblGrid>
      <w:tr>
        <w:trPr>
          <w:cantSplit/>
          <w:tblHeader/>
        </w:trPr>
        <w:tc>
          <w:tcPr>
            <w:tcW w:type="dxa" w:w="1882"/>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轮次</w:t>
            </w:r>
          </w:p>
        </w:tc>
        <w:tc>
          <w:tcPr>
            <w:tcW w:type="dxa" w:w="1882"/>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方法</w:t>
            </w:r>
          </w:p>
        </w:tc>
        <w:tc>
          <w:tcPr>
            <w:tcW w:type="dxa" w:w="1882"/>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ACC（%）</w:t>
            </w:r>
          </w:p>
        </w:tc>
        <w:tc>
          <w:tcPr>
            <w:tcW w:type="dxa" w:w="1882"/>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Macro-F1</w:t>
            </w:r>
          </w:p>
        </w:tc>
        <w:tc>
          <w:tcPr>
            <w:tcW w:type="dxa" w:w="1882"/>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中性F1</w:t>
            </w:r>
          </w:p>
        </w:tc>
      </w:tr>
      <w:tr>
        <w:trPr>
          <w:cantSplit/>
        </w:trPr>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六</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顶部两层／64维Fusion</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64.96</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0.6227</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0.4667</w:t>
            </w:r>
          </w:p>
        </w:tc>
      </w:tr>
      <w:tr>
        <w:trPr>
          <w:cantSplit/>
        </w:trPr>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六</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顶部两层／192维Fusion</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64.62</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0.6204</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0.4766</w:t>
            </w:r>
          </w:p>
        </w:tc>
      </w:tr>
      <w:tr>
        <w:trPr>
          <w:cantSplit/>
        </w:trPr>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六</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全层及嵌入／192维Fusion</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64.79</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0.6152</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0.4384</w:t>
            </w:r>
          </w:p>
        </w:tc>
      </w:tr>
      <w:tr>
        <w:trPr>
          <w:cantSplit/>
        </w:trPr>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六</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冻结文本／192维Fusion</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63.26</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0.6079</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0.4759</w:t>
            </w:r>
          </w:p>
        </w:tc>
      </w:tr>
      <w:tr>
        <w:trPr>
          <w:cantSplit/>
        </w:trPr>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七</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自然采样、原Fusion</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64.96</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0.6227</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0.4667</w:t>
            </w:r>
          </w:p>
        </w:tc>
      </w:tr>
      <w:tr>
        <w:trPr>
          <w:cantSplit/>
        </w:trPr>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七</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均衡采样</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61.64</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0.6065</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0.4683</w:t>
            </w:r>
          </w:p>
        </w:tc>
      </w:tr>
      <w:tr>
        <w:trPr>
          <w:cantSplit/>
        </w:trPr>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七</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均衡采样＋对比学习</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61.55</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0.6056</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0.4727</w:t>
            </w:r>
          </w:p>
        </w:tc>
      </w:tr>
      <w:tr>
        <w:trPr>
          <w:cantSplit/>
        </w:trPr>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七</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时序交互、固定文本</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65.64</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0.6374</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0.5076</w:t>
            </w:r>
          </w:p>
        </w:tc>
      </w:tr>
      <w:tr>
        <w:trPr>
          <w:cantSplit/>
        </w:trPr>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七</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时序交互、等权分支</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66.07</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0.6349</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0.4908</w:t>
            </w:r>
          </w:p>
        </w:tc>
      </w:tr>
      <w:tr>
        <w:trPr>
          <w:cantSplit/>
        </w:trPr>
        <w:tc>
          <w:tcPr>
            <w:tcW w:type="dxa" w:w="1882"/>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七</w:t>
            </w:r>
          </w:p>
        </w:tc>
        <w:tc>
          <w:tcPr>
            <w:tcW w:type="dxa" w:w="1882"/>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时序交互、动态分支</w:t>
            </w:r>
          </w:p>
        </w:tc>
        <w:tc>
          <w:tcPr>
            <w:tcW w:type="dxa" w:w="1882"/>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66.33</w:t>
            </w:r>
          </w:p>
        </w:tc>
        <w:tc>
          <w:tcPr>
            <w:tcW w:type="dxa" w:w="1882"/>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0.6422</w:t>
            </w:r>
          </w:p>
        </w:tc>
        <w:tc>
          <w:tcPr>
            <w:tcW w:type="dxa" w:w="1882"/>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0.5184</w:t>
            </w:r>
          </w:p>
        </w:tc>
      </w:tr>
    </w:tbl>
    <w:p>
      <w:pPr>
        <w:spacing w:after="0"/>
      </w:pPr>
    </w:p>
    <w:p>
      <w:pPr>
        <w:pStyle w:val="Heading2"/>
      </w:pPr>
      <w:r>
        <w:t>4 验证均值、量化与固定部署模型</w:t>
      </w:r>
    </w:p>
    <w:p>
      <w:pPr/>
      <w:r>
        <w:t>第七轮完整train重训后，原Fusion与动态时序模型的FP32验证ACC均值均为61.3095%，开发优势未迁移到这一口径。int8推理及校准后的比较见表5-20。两轮校准折外划分种子不同，因此第六轮0.607601与第七轮0.608516的参照折外ACC差异不代表模型本身变化。</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表5-20 第七轮官方valid准确率及推理口径</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3"/>
        <w:gridCol w:w="2353"/>
        <w:gridCol w:w="2353"/>
        <w:gridCol w:w="2353"/>
      </w:tblGrid>
      <w:tr>
        <w:trPr>
          <w:cantSplit/>
          <w:tblHeader/>
        </w:trPr>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口径</w:t>
            </w:r>
          </w:p>
        </w:tc>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原Fusion A0</w:t>
            </w:r>
          </w:p>
        </w:tc>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动态时序B2</w:t>
            </w:r>
          </w:p>
        </w:tc>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解释</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FP32三种子均值</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61.3095%</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61.3095%</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完整训练后的未校准预测</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int8未校准三种子均值</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60.4396%</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61.5842%</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量化改变部分分类边界</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分组折外校准三种子均值</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60.8516%</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62.1795%</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只对偏置校准步骤做折外检查</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全valid拟合后三种子均值</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61.0806%</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62.4084%</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使用验证标签，不是无偏估计</w:t>
            </w:r>
          </w:p>
        </w:tc>
      </w:tr>
      <w:tr>
        <w:trPr>
          <w:cantSplit/>
        </w:trPr>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预固定单种子，int8＋校准</w:t>
            </w:r>
          </w:p>
        </w:tc>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62.7747%</w:t>
            </w:r>
          </w:p>
        </w:tc>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62.5000%</w:t>
            </w:r>
          </w:p>
        </w:tc>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457/728与455/728条分类正确</w:t>
            </w:r>
          </w:p>
        </w:tc>
      </w:tr>
    </w:tbl>
    <w:p>
      <w:pPr>
        <w:spacing w:after="0"/>
      </w:pPr>
    </w:p>
    <w:p>
      <w:pPr/>
      <w:r>
        <w:t>动态组全valid拟合后的均值提高1.33个百分点，配对种子变化为−0.27、+2.06、+2.20个百分点，满足均值改善条件；但预固定部署种子下降两条正确预测，且MAE由0.5902增至0.6184。故未采用该动态候选替换同轮单模型参照，而非事后改选表现最好的种子。第七轮完成24个模型、218个epoch，训练与内部评估约15.98分钟。两轮均未使用test评估或选型。</w:t>
      </w:r>
    </w:p>
    <w:p>
      <w:pPr>
        <w:keepNext/>
        <w:jc w:val="center"/>
      </w:pPr>
      <w:r>
        <w:drawing>
          <wp:inline xmlns:a="http://schemas.openxmlformats.org/drawingml/2006/main" xmlns:pic="http://schemas.openxmlformats.org/drawingml/2006/picture">
            <wp:extent cx="5940000" cy="2209650"/>
            <wp:docPr id="5" name="Picture 5"/>
            <wp:cNvGraphicFramePr>
              <a:graphicFrameLocks noChangeAspect="1"/>
            </wp:cNvGraphicFramePr>
            <a:graphic>
              <a:graphicData uri="http://schemas.openxmlformats.org/drawingml/2006/picture">
                <pic:pic>
                  <pic:nvPicPr>
                    <pic:cNvPr id="0" name="precision.png"/>
                    <pic:cNvPicPr/>
                  </pic:nvPicPr>
                  <pic:blipFill>
                    <a:blip r:embed="rId13"/>
                    <a:stretch>
                      <a:fillRect/>
                    </a:stretch>
                  </pic:blipFill>
                  <pic:spPr>
                    <a:xfrm>
                      <a:off x="0" y="0"/>
                      <a:ext cx="5940000" cy="2209650"/>
                    </a:xfrm>
                    <a:prstGeom prst="rect"/>
                  </pic:spPr>
                </pic:pic>
              </a:graphicData>
            </a:graphic>
          </wp:inline>
        </w:drawing>
      </w:r>
    </w:p>
    <w:p>
      <w:pPr>
        <w:pStyle w:val="Caption"/>
        <w:keepLines/>
      </w:pPr>
      <w:r>
        <w:t>图5-17 第七轮不同推理与校准口径的官方valid准确率。前四组为三种子指标均值，最后一组为预固定单模型；全valid拟合值使用了该集标签。</w:t>
      </w:r>
    </w:p>
    <w:p>
      <w:pPr/>
      <w:r>
        <w:t>实现一致性方面，每个模型在12条固定样本、四个条件上比较PyTorch FP32与ONNX FP32，已检查概率最大绝对误差低于1.4×10⁻⁶；独立推理包完成20条预测及解释映射一致性检查。这些结果支持已测试导出路径的正确性，不证明int8量化一定带来精度收益，也不替代附件3专项评估。</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表5-21 七轮成果在本文中的采用范围</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37"/>
        <w:gridCol w:w="3137"/>
        <w:gridCol w:w="3137"/>
      </w:tblGrid>
      <w:tr>
        <w:trPr>
          <w:cantSplit/>
          <w:tblHeader/>
        </w:trPr>
        <w:tc>
          <w:tcPr>
            <w:tcW w:type="dxa" w:w="3137"/>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轮次</w:t>
            </w:r>
          </w:p>
        </w:tc>
        <w:tc>
          <w:tcPr>
            <w:tcW w:type="dxa" w:w="3137"/>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保留的成果</w:t>
            </w:r>
          </w:p>
        </w:tc>
        <w:tc>
          <w:tcPr>
            <w:tcW w:type="dxa" w:w="3137"/>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未得到支持的结论</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一</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输入一致缺失协议、默认鲁棒主线、通道筛选记录</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智能搜索稳定超过默认配置</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二</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折外集成评估与正则权重搜索</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内部集成目标上升必然提升外部ACC</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三</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任务权衡、缺失强度及编码器更新对照</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组合局部改动能稳定提升分类</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四</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适度加宽融合层的同轮实测收益</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所有复杂交互结构均优于基线</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五</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独立专家、折外门控与互补性诊断</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65.61%是验证结果或多指标全面提升</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六</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在线微调、量化校准和独立部署链路</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单纯扩大更新范围即解决瓶颈</w:t>
            </w:r>
          </w:p>
        </w:tc>
      </w:tr>
      <w:tr>
        <w:trPr>
          <w:cantSplit/>
        </w:trPr>
        <w:tc>
          <w:tcPr>
            <w:tcW w:type="dxa" w:w="3137"/>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七</w:t>
            </w:r>
          </w:p>
        </w:tc>
        <w:tc>
          <w:tcPr>
            <w:tcW w:type="dxa" w:w="3137"/>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分类前时序交互候选、均值收益及部署审计</w:t>
            </w:r>
          </w:p>
        </w:tc>
        <w:tc>
          <w:tcPr>
            <w:tcW w:type="dxa" w:w="3137"/>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开发收益等同于固定部署模型收益</w:t>
            </w:r>
          </w:p>
        </w:tc>
      </w:tr>
    </w:tbl>
    <w:p>
      <w:pPr>
        <w:spacing w:after="0"/>
      </w:pPr>
    </w:p>
    <w:p>
      <w:pPr/>
    </w:p>
    <w:p>
      <w:pPr>
        <w:pStyle w:val="Heading2"/>
      </w:pPr>
      <w:r>
        <w:t>5 集成、专家门控与交叉注意力的统一解释</w:t>
      </w:r>
    </w:p>
    <w:p>
      <w:pPr/>
      <w:r>
        <w:t>第二轮的概率集成可以写为非负单纯形上的组合，正则项限制权重过度集中：</w:t>
      </w:r>
    </w:p>
    <w:p>
      <w:pPr>
        <w:keepLines/>
      </w:pPr>
      <m:oMathPara>
        <m:oMath xmlns:mml="http://www.w3.org/1998/Math/MathML">
          <m:sSub>
            <m:e>
              <m:r>
                <m:t>p</m:t>
              </m:r>
            </m:e>
            <m:sub>
              <m:r>
                <m:rPr>
                  <m:sty m:val="p"/>
                </m:rPr>
                <m:t>ens</m:t>
              </m:r>
            </m:sub>
          </m:sSub>
          <m:r>
            <m:t>(c|x)=</m:t>
          </m:r>
          <m:nary>
            <m:naryPr>
              <m:chr m:val="∑"/>
              <m:limLoc m:val="subSup"/>
              <m:grow m:val="1"/>
              <m:subHide m:val="off"/>
              <m:supHide m:val="off"/>
            </m:naryPr>
            <m:sub>
              <m:r>
                <m:t>j=1</m:t>
              </m:r>
            </m:sub>
            <m:sup>
              <m:r>
                <m:t>K</m:t>
              </m:r>
            </m:sup>
            <m:e/>
          </m:nary>
          <m:sSub>
            <m:e>
              <m:r>
                <m:t>a</m:t>
              </m:r>
            </m:e>
            <m:sub>
              <m:r>
                <m:t>j</m:t>
              </m:r>
            </m:sub>
          </m:sSub>
          <m:sSub>
            <m:e>
              <m:r>
                <m:t>p</m:t>
              </m:r>
            </m:e>
            <m:sub>
              <m:r>
                <m:t>j</m:t>
              </m:r>
            </m:sub>
          </m:sSub>
          <m:r>
            <m:t>(c|x),</m:t>
          </m:r>
          <m:sSub>
            <m:e>
              <m:r>
                <m:t>a</m:t>
              </m:r>
            </m:e>
            <m:sub>
              <m:r>
                <m:t>j</m:t>
              </m:r>
            </m:sub>
          </m:sSub>
          <m:r>
            <m:t>≥0,</m:t>
          </m:r>
          <m:nary>
            <m:naryPr>
              <m:chr m:val="∑"/>
              <m:limLoc m:val="subSup"/>
              <m:grow m:val="1"/>
              <m:subHide m:val="off"/>
              <m:supHide m:val="on"/>
            </m:naryPr>
            <m:sub>
              <m:r>
                <m:t>j</m:t>
              </m:r>
            </m:sub>
            <m:sup/>
            <m:e/>
          </m:nary>
          <m:sSub>
            <m:e>
              <m:r>
                <m:t>a</m:t>
              </m:r>
            </m:e>
            <m:sub>
              <m:r>
                <m:t>j</m:t>
              </m:r>
            </m:sub>
          </m:sSub>
          <m:r>
            <m:t>=1</m:t>
          </m:r>
          <m:r>
            <m:t>  (5.3-12)</m:t>
          </m:r>
        </m:oMath>
      </m:oMathPara>
    </w:p>
    <w:p>
      <w:pPr/>
      <w:r>
        <w:t>增加搜索次数能够找到更适合内部开发样本的权重，但若基础模型在困难样本上的错误高度重合，权重调整本身不会创造新的观测证据。第五轮进一步使权重随样本变化，利用专家概率、强度、熵及可用比例构造门控输入z：</w:t>
      </w:r>
    </w:p>
    <w:p>
      <w:pPr>
        <w:keepLines/>
      </w:pPr>
      <m:oMathPara>
        <m:oMath xmlns:mml="http://www.w3.org/1998/Math/MathML">
          <m:r>
            <m:t>a(x)=</m:t>
          </m:r>
          <m:r>
            <m:rPr>
              <m:sty m:val="p"/>
            </m:rPr>
            <m:t>softmax</m:t>
          </m:r>
          <m:r>
            <m:t>(</m:t>
          </m:r>
          <m:sSub>
            <m:e>
              <m:r>
                <m:t>W</m:t>
              </m:r>
            </m:e>
            <m:sub>
              <m:r>
                <m:t>2</m:t>
              </m:r>
            </m:sub>
          </m:sSub>
          <m:r>
            <m:rPr>
              <m:sty m:val="p"/>
            </m:rPr>
            <m:t>tanh</m:t>
          </m:r>
          <m:r>
            <m:t>(</m:t>
          </m:r>
          <m:sSub>
            <m:e>
              <m:r>
                <m:t>W</m:t>
              </m:r>
            </m:e>
            <m:sub>
              <m:r>
                <m:t>1</m:t>
              </m:r>
            </m:sub>
          </m:sSub>
          <m:r>
            <m:t>z(x)+</m:t>
          </m:r>
          <m:sSub>
            <m:e>
              <m:r>
                <m:t>b</m:t>
              </m:r>
            </m:e>
            <m:sub>
              <m:r>
                <m:t>1</m:t>
              </m:r>
            </m:sub>
          </m:sSub>
          <m:r>
            <m:t>)+</m:t>
          </m:r>
          <m:sSub>
            <m:e>
              <m:r>
                <m:t>b</m:t>
              </m:r>
            </m:e>
            <m:sub>
              <m:r>
                <m:t>2</m:t>
              </m:r>
            </m:sub>
          </m:sSub>
          <m:r>
            <m:t>)</m:t>
          </m:r>
          <m:r>
            <m:t>,</m:t>
          </m:r>
          <m:r>
            <m:t>p(c|x)=</m:t>
          </m:r>
          <m:nary>
            <m:naryPr>
              <m:chr m:val="∑"/>
              <m:limLoc m:val="subSup"/>
              <m:grow m:val="1"/>
              <m:subHide m:val="off"/>
              <m:supHide m:val="off"/>
            </m:naryPr>
            <m:sub>
              <m:r>
                <m:t>j=1</m:t>
              </m:r>
            </m:sub>
            <m:sup>
              <m:r>
                <m:t>2</m:t>
              </m:r>
            </m:sup>
            <m:e/>
          </m:nary>
          <m:sSub>
            <m:e>
              <m:r>
                <m:t>a</m:t>
              </m:r>
            </m:e>
            <m:sub>
              <m:r>
                <m:t>j</m:t>
              </m:r>
            </m:sub>
          </m:sSub>
          <m:r>
            <m:t>(x)</m:t>
          </m:r>
          <m:sSub>
            <m:e>
              <m:r>
                <m:t>p</m:t>
              </m:r>
            </m:e>
            <m:sub>
              <m:r>
                <m:t>j</m:t>
              </m:r>
            </m:sub>
          </m:sSub>
          <m:r>
            <m:t>(c|x)</m:t>
          </m:r>
          <m:r>
            <m:t>  (5.3-13)</m:t>
          </m:r>
        </m:oMath>
      </m:oMathPara>
    </w:p>
    <w:p>
      <w:pPr/>
      <w:r>
        <w:t>“存在一个专家预测正确”与“门控可以判断哪个专家正确”是两个不同问题。理想上界利用真实标签完成选择，而学习门控只能依赖模型输出及输入可用程度。若错误专家同样高置信，熵和概率幅度可能无法识别其错误，因此潜在互补不会自动转化为可实现收益。</w:t>
      </w:r>
    </w:p>
    <w:p>
      <w:pPr/>
      <w:r>
        <w:t>第七轮把交互提前到分类前。单个注意力头可概括为：</w:t>
      </w:r>
    </w:p>
    <w:p>
      <w:pPr>
        <w:keepLines/>
      </w:pPr>
      <m:oMathPara>
        <m:oMath xmlns:mml="http://www.w3.org/1998/Math/MathML">
          <m:r>
            <m:rPr>
              <m:sty m:val="p"/>
            </m:rPr>
            <m:t>Attn</m:t>
          </m:r>
          <m:r>
            <m:t>(Q,K,V)=</m:t>
          </m:r>
          <m:r>
            <m:rPr>
              <m:sty m:val="p"/>
            </m:rPr>
            <m:t>softmax</m:t>
          </m:r>
          <m:r>
            <m:t>(</m:t>
          </m:r>
          <m:f>
            <m:fPr>
              <m:type m:val="bar"/>
            </m:fPr>
            <m:num>
              <m:r>
                <m:t>Q</m:t>
              </m:r>
              <m:sSup>
                <m:e>
                  <m:r>
                    <m:t>K</m:t>
                  </m:r>
                </m:e>
                <m:sup>
                  <m:r>
                    <m:t>𝖳</m:t>
                  </m:r>
                </m:sup>
              </m:sSup>
            </m:num>
            <m:den>
              <m:rad>
                <m:radPr>
                  <m:degHide m:val="on"/>
                </m:radPr>
                <m:deg/>
                <m:e>
                  <m:sSub>
                    <m:e>
                      <m:r>
                        <m:t>d</m:t>
                      </m:r>
                    </m:e>
                    <m:sub>
                      <m:r>
                        <m:t>k</m:t>
                      </m:r>
                    </m:sub>
                  </m:sSub>
                </m:e>
              </m:rad>
            </m:den>
          </m:f>
          <m:r>
            <m:t>+</m:t>
          </m:r>
          <m:sSub>
            <m:e>
              <m:r>
                <m:t>A</m:t>
              </m:r>
            </m:e>
            <m:sub>
              <m:r>
                <m:rPr>
                  <m:sty m:val="p"/>
                </m:rPr>
                <m:t>mask</m:t>
              </m:r>
            </m:sub>
          </m:sSub>
          <m:r>
            <m:t>)</m:t>
          </m:r>
          <m:r>
            <m:t>V</m:t>
          </m:r>
          <m:r>
            <m:t>  (5.3-14)</m:t>
          </m:r>
        </m:oMath>
      </m:oMathPara>
    </w:p>
    <w:p>
      <w:pPr/>
      <w:r>
        <w:t>其中无效键位置在掩码项中被屏蔽，无有效键时增量置零。该机制允许某一模态的位置表示参考其他模态，再进行池化，理论上比最终概率相加保留更多交互信息。然而，本次动态组只在部分开发和量化口径取得收益，完整FP32验证均值没有提高。因此，结构提供了新的信息通道，并不意味着有限训练数据已足以学到可迁移的交互规律。</w:t>
      </w:r>
    </w:p>
    <w:p>
      <w:pPr>
        <w:keepNext/>
        <w:jc w:val="center"/>
      </w:pPr>
      <w:r>
        <w:drawing>
          <wp:inline xmlns:a="http://schemas.openxmlformats.org/drawingml/2006/main" xmlns:pic="http://schemas.openxmlformats.org/drawingml/2006/picture">
            <wp:extent cx="5940000" cy="2147018"/>
            <wp:docPr id="6" name="Picture 6"/>
            <wp:cNvGraphicFramePr>
              <a:graphicFrameLocks noChangeAspect="1"/>
            </wp:cNvGraphicFramePr>
            <a:graphic>
              <a:graphicData uri="http://schemas.openxmlformats.org/drawingml/2006/picture">
                <pic:pic>
                  <pic:nvPicPr>
                    <pic:cNvPr id="0" name="controlled_gains.png"/>
                    <pic:cNvPicPr/>
                  </pic:nvPicPr>
                  <pic:blipFill>
                    <a:blip r:embed="rId14"/>
                    <a:stretch>
                      <a:fillRect/>
                    </a:stretch>
                  </pic:blipFill>
                  <pic:spPr>
                    <a:xfrm>
                      <a:off x="0" y="0"/>
                      <a:ext cx="5940000" cy="2147018"/>
                    </a:xfrm>
                    <a:prstGeom prst="rect"/>
                  </pic:spPr>
                </pic:pic>
              </a:graphicData>
            </a:graphic>
          </wp:inline>
        </w:drawing>
      </w:r>
    </w:p>
    <w:p>
      <w:pPr>
        <w:pStyle w:val="Caption"/>
        <w:keepLines/>
      </w:pPr>
      <w:r>
        <w:t>图5-18 受控比较中的局部收益与稳定性。左图仅比较第四轮相同验证协议下的融合宽度；右图为第五轮与第七轮各自配对种子的验证ACC变化，两个实验分别解释，不跨轮合并估计。</w:t>
      </w:r>
    </w:p>
    <w:p>
      <w:pPr>
        <w:pStyle w:val="Heading1"/>
      </w:pPr>
      <w:r>
        <w:t>5.3.7 优化局限、失败原因与最终模型选择</w:t>
      </w:r>
    </w:p>
    <w:p>
      <w:pPr>
        <w:pStyle w:val="Heading2"/>
      </w:pPr>
      <w:r>
        <w:t>1 内部目标改善与泛化改善并不等价</w:t>
      </w:r>
    </w:p>
    <w:p>
      <w:pPr/>
      <w:r>
        <w:t>第一、二轮的主要限制发生在优化目标与实际使用目标之间。综合选择分数同时包含分类、强度和相关性，优化该分数并不等价于最大化ACC；即使内部目标提高，权重和超参数也可能吸收特定开发样本的偶然性。第二轮内部选择分数提高而历史test准确率下降，是这种目标迁移失效的直接证据。它不证明DE求解错误，而说明外层优化器只能优化给定目标，无法自行消除评价样本有限造成的不确定性。</w:t>
      </w:r>
    </w:p>
    <w:p>
      <w:pPr/>
      <w:r>
        <w:t>第三轮进一步表明，把回归权重或缺失概率调小也不是无代价的分类优化。回归任务提供强度顺序约束，缺失增强则使模型避免只依赖完整文本；削弱二者可能改善部分干净样本的拟合，却使学到的边界对样本组成更敏感。训练损失持续下降而stop准确率下降，支持存在过拟合现象；但尚无独立分解实验证明是哪一项正则化减少造成全部下降。</w:t>
      </w:r>
    </w:p>
    <w:p>
      <w:pPr>
        <w:pStyle w:val="Heading2"/>
      </w:pPr>
      <w:r>
        <w:t>2 类别边界比模型容量更难修正</w:t>
      </w:r>
    </w:p>
    <w:p>
      <w:pPr/>
      <w:r>
        <w:t>中性类别以强度恰为零定义，其语言表达可能包含弱情绪、客观陈述或相互抵消的信息，不能预设它在表示空间中形成一个紧凑簇。数据中的这类异质性是值得检验的解释，而非由现有结果直接证明的标签性质。第七轮类别均衡后仍保留类别加权，可能在采样和损失两处同时强化少数类；但对比损失的独立作用应由均衡组与均衡加对比组比较，而不能将其相对自然采样的全部下降归因于对比学习。</w:t>
      </w:r>
    </w:p>
    <w:p>
      <w:pPr/>
      <w:r>
        <w:t>从分类结果看，F₀与B₀均存在中性向正向迁移。B₀校准后中性召回率为64/184，约34.78%；总体ACC提高仍不能掩盖这一局限。若只追求总体准确率，模型可以通过提高常见类别的正确率抵消中性错误。因此，本文保留Macro-F1和中性类指标，避免将类别不均衡下的局部改善表述为全面提升。</w:t>
      </w:r>
    </w:p>
    <w:p>
      <w:pPr>
        <w:pStyle w:val="Heading2"/>
      </w:pPr>
      <w:r>
        <w:t>3 潜在模态互补与可学习互补之间存在差距</w:t>
      </w:r>
    </w:p>
    <w:p>
      <w:pPr/>
      <w:r>
        <w:t>第四轮适度加宽有效，说明原融合层在当时配置下存在容量限制；第五轮音视频专家较弱，说明新增专家本身未形成足够强的独立判别器。二者并不矛盾：联合表示中的补充信息可以有用，而独立音视频模型未必足以独立完成情感判别。决策级融合只能重新分配已形成的预测，无法恢复池化或分类阶段已经丢失的细粒度语义。</w:t>
      </w:r>
    </w:p>
    <w:p>
      <w:pPr/>
      <w:r>
        <w:t>第七轮提前交互具有更强表达能力，但相对等权分支的增益小，无法单独证实动态选择机制。现有证据更支持“交互阶段值得研究”这一有限结论，而不是“动态门控已从根本上解决文本依赖”。相同名义缺失比例下，语义关键位置的差异也会影响收益，未来需要更精细的错误样本分析才能区分表示瓶颈与样本噪声。</w:t>
      </w:r>
    </w:p>
    <w:p>
      <w:pPr>
        <w:pStyle w:val="Heading2"/>
      </w:pPr>
      <w:r>
        <w:t>4 随机种子和推理精度改变结论的适用范围</w:t>
      </w:r>
    </w:p>
    <w:p>
      <w:pPr/>
      <w:r>
        <w:t>第五轮三个配对种子中仅一个改善，第七轮则出现平均值提高而预固定种子下降。这表明平均性能、单次结果和实际采用模型是不同统计对象。本文不在比较完成后重新挑选最佳种子，否则最终报告会引入额外的选择偏差。量化也会扰动分类边界；当样本处于中性和弱极性边界附近时，小幅概率变化可能改变类别，却不意味着语义表示质量真正提高。</w:t>
      </w:r>
    </w:p>
    <w:p>
      <w:pPr/>
      <w:r>
        <w:t>FP32导出一致性检查可以排查所测路径的实现误差，但不能证明int8与FP32性能等价。因此，MiniLM量化候选应在相应CPU ONNX路径上评估。这一检查只适用于其自身推理实现，不能替代S₀的冻结BERT推理检查。</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表5-22 失败现象、可支持解释与结论边界</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37"/>
        <w:gridCol w:w="3137"/>
        <w:gridCol w:w="3137"/>
      </w:tblGrid>
      <w:tr>
        <w:trPr>
          <w:cantSplit/>
          <w:tblHeader/>
        </w:trPr>
        <w:tc>
          <w:tcPr>
            <w:tcW w:type="dxa" w:w="3137"/>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实验现象</w:t>
            </w:r>
          </w:p>
        </w:tc>
        <w:tc>
          <w:tcPr>
            <w:tcW w:type="dxa" w:w="3137"/>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数据支持的判断</w:t>
            </w:r>
          </w:p>
        </w:tc>
        <w:tc>
          <w:tcPr>
            <w:tcW w:type="dxa" w:w="3137"/>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尚不能据此证明</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搜索内部目标上升、外部ACC下降</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目标改善缺少稳定迁移</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优化算法本身无效</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训练损失下降、stop准确率下降</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当前训练出现过拟合迹象</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所有微调方案均无效</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专家理想上界高、门控增益小</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可学习互补小于标签辅助上界</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非文本模态没有价值</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均衡／对比配置下降</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当前采样与监督组合不合适</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对比学习普遍不适用于情感</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开发时序增益、FP32验证均值持平</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当前结构收益未稳定迁移</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时序交互没有表达能力</w:t>
            </w:r>
          </w:p>
        </w:tc>
      </w:tr>
      <w:tr>
        <w:trPr>
          <w:cantSplit/>
        </w:trPr>
        <w:tc>
          <w:tcPr>
            <w:tcW w:type="dxa" w:w="3137"/>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均值提高、固定种子下降</w:t>
            </w:r>
          </w:p>
        </w:tc>
        <w:tc>
          <w:tcPr>
            <w:tcW w:type="dxa" w:w="3137"/>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模型选择需区分统计对象</w:t>
            </w:r>
          </w:p>
        </w:tc>
        <w:tc>
          <w:tcPr>
            <w:tcW w:type="dxa" w:w="3137"/>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均值收益完全不存在</w:t>
            </w:r>
          </w:p>
        </w:tc>
      </w:tr>
    </w:tbl>
    <w:p>
      <w:pPr>
        <w:spacing w:after="0"/>
      </w:pPr>
    </w:p>
    <w:p>
      <w:pPr>
        <w:pStyle w:val="Heading2"/>
      </w:pPr>
      <w:r>
        <w:t>5 最终模型：冻结BERT与缺失感知时序融合</w:t>
      </w:r>
    </w:p>
    <w:p>
      <w:pPr/>
      <w:r>
        <w:t>最终预测器记为S₀，采用冻结bert-base-uncased、模态内时序编码、逐位置动态融合和双视图一致性训练。与冻结MiniLM基线F₀、校准微调MiniLM基线B₀相比，S₀不仅改变文本表示，还改变模态交互位置与训练目标，因而不能将其性能差异归因于单一模块。S₀只加载一个32维预测模型，seed43，第3轮检查点，不进行概率或参数集成；其校准后official valid正确477/728条。</w:t>
      </w:r>
    </w:p>
    <w:p>
      <w:pPr/>
      <w:r>
        <w:t>文本由text_bert经过冻结BERT得到50×768序列，音频和视觉维度为50×74与50×35。定义Pₜ为排除CLS、SEP及填充后的公共内容支持，Oₜᵐ为各模态在该支持内的观测状态；文本UNK不作为可用观测，音视频全零行按不可用处理，但不推断其具体成因。三路标准化参数仅由train的有效观测估计，标准差下限10⁻⁵，标准化结果裁剪到[-10,10]，无效观测置零。</w:t>
      </w:r>
    </w:p>
    <w:p>
      <w:pPr/>
      <w:r>
        <w:t>每一路先附加观测标记、投影到32维；缺失位置采用可学习模态缺失向量，再加入幅度0.1的正弦位置编码：</w:t>
      </w:r>
    </w:p>
    <w:p>
      <w:pPr>
        <w:keepLines/>
      </w:pPr>
      <m:oMathPara>
        <m:oMath xmlns:mml="http://www.w3.org/1998/Math/MathML">
          <m:sSubSup>
            <m:e>
              <m:r>
                <m:t>u</m:t>
              </m:r>
            </m:e>
            <m:sub>
              <m:r>
                <m:t>t</m:t>
              </m:r>
            </m:sub>
            <m:sup>
              <m:r>
                <m:t>m</m:t>
              </m:r>
            </m:sup>
          </m:sSubSup>
          <m:r>
            <m:t>=</m:t>
          </m:r>
          <m:sSub>
            <m:e>
              <m:r>
                <m:t>P</m:t>
              </m:r>
            </m:e>
            <m:sub>
              <m:r>
                <m:t>t</m:t>
              </m:r>
            </m:sub>
          </m:sSub>
          <m:r>
            <m:t>[</m:t>
          </m:r>
          <m:sSubSup>
            <m:e>
              <m:r>
                <m:t>O</m:t>
              </m:r>
            </m:e>
            <m:sub>
              <m:r>
                <m:t>t</m:t>
              </m:r>
            </m:sub>
            <m:sup>
              <m:r>
                <m:t>m</m:t>
              </m:r>
            </m:sup>
          </m:sSubSup>
          <m:sSub>
            <m:e>
              <m:r>
                <m:t>ϕ</m:t>
              </m:r>
            </m:e>
            <m:sub>
              <m:r>
                <m:t>m</m:t>
              </m:r>
            </m:sub>
          </m:sSub>
          <m:r>
            <m:t>([</m:t>
          </m:r>
          <m:sSubSup>
            <m:e>
              <m:r>
                <m:t>x</m:t>
              </m:r>
            </m:e>
            <m:sub>
              <m:r>
                <m:t>t</m:t>
              </m:r>
            </m:sub>
            <m:sup>
              <m:r>
                <m:t>m</m:t>
              </m:r>
            </m:sup>
          </m:sSubSup>
          <m:r>
            <m:t>;</m:t>
          </m:r>
          <m:sSubSup>
            <m:e>
              <m:r>
                <m:t>O</m:t>
              </m:r>
            </m:e>
            <m:sub>
              <m:r>
                <m:t>t</m:t>
              </m:r>
            </m:sub>
            <m:sup>
              <m:r>
                <m:t>m</m:t>
              </m:r>
            </m:sup>
          </m:sSubSup>
          <m:r>
            <m:t>])+(1−</m:t>
          </m:r>
          <m:sSubSup>
            <m:e>
              <m:r>
                <m:t>O</m:t>
              </m:r>
            </m:e>
            <m:sub>
              <m:r>
                <m:t>t</m:t>
              </m:r>
            </m:sub>
            <m:sup>
              <m:r>
                <m:t>m</m:t>
              </m:r>
            </m:sup>
          </m:sSubSup>
          <m:r>
            <m:t>)</m:t>
          </m:r>
          <m:sSubSup>
            <m:e>
              <m:r>
                <m:t>e</m:t>
              </m:r>
            </m:e>
            <m:sub>
              <m:r>
                <m:rPr>
                  <m:sty m:val="p"/>
                </m:rPr>
                <m:t>miss</m:t>
              </m:r>
            </m:sub>
            <m:sup>
              <m:r>
                <m:t>m</m:t>
              </m:r>
            </m:sup>
          </m:sSubSup>
          <m:r>
            <m:t>+0.1</m:t>
          </m:r>
          <m:sSub>
            <m:e>
              <m:r>
                <m:rPr>
                  <m:sty m:val="p"/>
                </m:rPr>
                <m:t>PE</m:t>
              </m:r>
            </m:e>
            <m:sub>
              <m:r>
                <m:t>t</m:t>
              </m:r>
            </m:sub>
          </m:sSub>
          <m:r>
            <m:t>]</m:t>
          </m:r>
          <m:r>
            <m:t>  (5.3-15)</m:t>
          </m:r>
        </m:oMath>
      </m:oMathPara>
    </w:p>
    <w:p>
      <w:pPr/>
      <w:r>
        <w:t>其中φ包含Linear、LayerNorm和GELU。三路分别经过一层、四头、前馈宽度64的pre-norm Transformer，Dropout为0.2；注意力键屏蔽P之外的填充，保留内容支持内的缺失嵌入，使编码器可学习局部上下文关系。该结构是模态内自注意力，不是将三路序列直接送入跨模态注意力。</w:t>
      </w:r>
    </w:p>
    <w:p>
      <w:pPr/>
      <w:r>
        <w:t>将三路当前位置隐藏状态和观测标记拼接，经99→32→3网络产生动态模态权重，屏蔽当前不可用模态后归一化：</w:t>
      </w:r>
    </w:p>
    <w:p>
      <w:pPr>
        <w:keepLines/>
      </w:pPr>
      <m:oMathPara>
        <m:oMath xmlns:mml="http://www.w3.org/1998/Math/MathML">
          <m:sSubSup>
            <m:e>
              <m:r>
                <m:t>a</m:t>
              </m:r>
            </m:e>
            <m:sub>
              <m:r>
                <m:t>t</m:t>
              </m:r>
            </m:sub>
            <m:sup>
              <m:r>
                <m:t>m</m:t>
              </m:r>
            </m:sup>
          </m:sSubSup>
          <m:r>
            <m:t>=</m:t>
          </m:r>
          <m:f>
            <m:fPr>
              <m:type m:val="bar"/>
            </m:fPr>
            <m:num>
              <m:sSubSup>
                <m:e>
                  <m:r>
                    <m:t>O</m:t>
                  </m:r>
                </m:e>
                <m:sub>
                  <m:r>
                    <m:t>t</m:t>
                  </m:r>
                </m:sub>
                <m:sup>
                  <m:r>
                    <m:t>m</m:t>
                  </m:r>
                </m:sup>
              </m:sSubSup>
              <m:r>
                <m:rPr>
                  <m:sty m:val="p"/>
                </m:rPr>
                <m:t>exp</m:t>
              </m:r>
              <m:r>
                <m:t>(</m:t>
              </m:r>
              <m:sSubSup>
                <m:e>
                  <m:r>
                    <m:t>e</m:t>
                  </m:r>
                </m:e>
                <m:sub>
                  <m:r>
                    <m:t>t</m:t>
                  </m:r>
                </m:sub>
                <m:sup>
                  <m:r>
                    <m:t>m</m:t>
                  </m:r>
                </m:sup>
              </m:sSubSup>
              <m:r>
                <m:t>)</m:t>
              </m:r>
            </m:num>
            <m:den>
              <m:nary>
                <m:naryPr>
                  <m:chr m:val="∑"/>
                  <m:limLoc m:val="subSup"/>
                  <m:grow m:val="1"/>
                  <m:subHide m:val="off"/>
                  <m:supHide m:val="on"/>
                </m:naryPr>
                <m:sub>
                  <m:r>
                    <m:t>k</m:t>
                  </m:r>
                </m:sub>
                <m:sup/>
                <m:e/>
              </m:nary>
              <m:sSubSup>
                <m:e>
                  <m:r>
                    <m:t>O</m:t>
                  </m:r>
                </m:e>
                <m:sub>
                  <m:r>
                    <m:t>t</m:t>
                  </m:r>
                </m:sub>
                <m:sup>
                  <m:r>
                    <m:t>k</m:t>
                  </m:r>
                </m:sup>
              </m:sSubSup>
              <m:r>
                <m:rPr>
                  <m:sty m:val="p"/>
                </m:rPr>
                <m:t>exp</m:t>
              </m:r>
              <m:r>
                <m:t>(</m:t>
              </m:r>
              <m:sSubSup>
                <m:e>
                  <m:r>
                    <m:t>e</m:t>
                  </m:r>
                </m:e>
                <m:sub>
                  <m:r>
                    <m:t>t</m:t>
                  </m:r>
                </m:sub>
                <m:sup>
                  <m:r>
                    <m:t>k</m:t>
                  </m:r>
                </m:sup>
              </m:sSubSup>
              <m:r>
                <m:t>)</m:t>
              </m:r>
            </m:den>
          </m:f>
          <m:r>
            <m:t>,</m:t>
          </m:r>
          <m:sSub>
            <m:e>
              <m:r>
                <m:t>z</m:t>
              </m:r>
            </m:e>
            <m:sub>
              <m:r>
                <m:t>t</m:t>
              </m:r>
            </m:sub>
          </m:sSub>
          <m:r>
            <m:t>=</m:t>
          </m:r>
          <m:nary>
            <m:naryPr>
              <m:chr m:val="∑"/>
              <m:limLoc m:val="subSup"/>
              <m:grow m:val="1"/>
              <m:subHide m:val="off"/>
              <m:supHide m:val="on"/>
            </m:naryPr>
            <m:sub>
              <m:r>
                <m:t>m</m:t>
              </m:r>
            </m:sub>
            <m:sup/>
            <m:e/>
          </m:nary>
          <m:sSubSup>
            <m:e>
              <m:r>
                <m:t>a</m:t>
              </m:r>
            </m:e>
            <m:sub>
              <m:r>
                <m:t>t</m:t>
              </m:r>
            </m:sub>
            <m:sup>
              <m:r>
                <m:t>m</m:t>
              </m:r>
            </m:sup>
          </m:sSubSup>
          <m:sSubSup>
            <m:e>
              <m:r>
                <m:t>h</m:t>
              </m:r>
            </m:e>
            <m:sub>
              <m:r>
                <m:t>t</m:t>
              </m:r>
            </m:sub>
            <m:sup>
              <m:r>
                <m:t>m</m:t>
              </m:r>
            </m:sup>
          </m:sSubSup>
          <m:r>
            <m:t>  (5.3-16)</m:t>
          </m:r>
        </m:oMath>
      </m:oMathPara>
    </w:p>
    <w:p>
      <w:pPr/>
      <w:r>
        <w:t>若该位置三路均不可用，则权重全为零，融合表示回退为可学习全缺失向量与位置编码之和。再在公共支持P上进行时间注意力池化，并由共享隐藏层输出分类和回归：</w:t>
      </w:r>
    </w:p>
    <w:p>
      <w:pPr>
        <w:keepLines/>
      </w:pPr>
      <m:oMathPara>
        <m:oMath xmlns:mml="http://www.w3.org/1998/Math/MathML">
          <m:sSub>
            <m:e>
              <m:r>
                <m:t>β</m:t>
              </m:r>
            </m:e>
            <m:sub>
              <m:r>
                <m:t>t</m:t>
              </m:r>
            </m:sub>
          </m:sSub>
          <m:r>
            <m:t>=</m:t>
          </m:r>
          <m:f>
            <m:fPr>
              <m:type m:val="bar"/>
            </m:fPr>
            <m:num>
              <m:sSub>
                <m:e>
                  <m:r>
                    <m:t>P</m:t>
                  </m:r>
                </m:e>
                <m:sub>
                  <m:r>
                    <m:t>t</m:t>
                  </m:r>
                </m:sub>
              </m:sSub>
              <m:r>
                <m:rPr>
                  <m:sty m:val="p"/>
                </m:rPr>
                <m:t>exp</m:t>
              </m:r>
              <m:r>
                <m:t>(</m:t>
              </m:r>
              <m:sSup>
                <m:e>
                  <m:r>
                    <m:t>w</m:t>
                  </m:r>
                </m:e>
                <m:sup>
                  <m:r>
                    <m:t>𝖳</m:t>
                  </m:r>
                </m:sup>
              </m:sSup>
              <m:sSub>
                <m:e>
                  <m:r>
                    <m:t>z</m:t>
                  </m:r>
                </m:e>
                <m:sub>
                  <m:r>
                    <m:t>t</m:t>
                  </m:r>
                </m:sub>
              </m:sSub>
              <m:r>
                <m:t>)</m:t>
              </m:r>
            </m:num>
            <m:den>
              <m:nary>
                <m:naryPr>
                  <m:chr m:val="∑"/>
                  <m:limLoc m:val="subSup"/>
                  <m:grow m:val="1"/>
                  <m:subHide m:val="off"/>
                  <m:supHide m:val="on"/>
                </m:naryPr>
                <m:sub>
                  <m:r>
                    <m:t>u</m:t>
                  </m:r>
                </m:sub>
                <m:sup/>
                <m:e/>
              </m:nary>
              <m:sSub>
                <m:e>
                  <m:r>
                    <m:t>P</m:t>
                  </m:r>
                </m:e>
                <m:sub>
                  <m:r>
                    <m:t>u</m:t>
                  </m:r>
                </m:sub>
              </m:sSub>
              <m:r>
                <m:rPr>
                  <m:sty m:val="p"/>
                </m:rPr>
                <m:t>exp</m:t>
              </m:r>
              <m:r>
                <m:t>(</m:t>
              </m:r>
              <m:sSup>
                <m:e>
                  <m:r>
                    <m:t>w</m:t>
                  </m:r>
                </m:e>
                <m:sup>
                  <m:r>
                    <m:t>𝖳</m:t>
                  </m:r>
                </m:sup>
              </m:sSup>
              <m:sSub>
                <m:e>
                  <m:r>
                    <m:t>z</m:t>
                  </m:r>
                </m:e>
                <m:sub>
                  <m:r>
                    <m:t>u</m:t>
                  </m:r>
                </m:sub>
              </m:sSub>
              <m:r>
                <m:t>)</m:t>
              </m:r>
            </m:den>
          </m:f>
          <m:r>
            <m:t>,</m:t>
          </m:r>
          <m:r>
            <m:t>h=</m:t>
          </m:r>
          <m:nary>
            <m:naryPr>
              <m:chr m:val="∑"/>
              <m:limLoc m:val="subSup"/>
              <m:grow m:val="1"/>
              <m:subHide m:val="off"/>
              <m:supHide m:val="on"/>
            </m:naryPr>
            <m:sub>
              <m:r>
                <m:t>t</m:t>
              </m:r>
            </m:sub>
            <m:sup/>
            <m:e/>
          </m:nary>
          <m:sSub>
            <m:e>
              <m:r>
                <m:t>β</m:t>
              </m:r>
            </m:e>
            <m:sub>
              <m:r>
                <m:t>t</m:t>
              </m:r>
            </m:sub>
          </m:sSub>
          <m:sSub>
            <m:e>
              <m:r>
                <m:t>z</m:t>
              </m:r>
            </m:e>
            <m:sub>
              <m:r>
                <m:t>t</m:t>
              </m:r>
            </m:sub>
          </m:sSub>
          <m:r>
            <m:t>,</m:t>
          </m:r>
          <m:r>
            <m:t>r=3</m:t>
          </m:r>
          <m:r>
            <m:rPr>
              <m:sty m:val="p"/>
            </m:rPr>
            <m:t>tanh</m:t>
          </m:r>
          <m:r>
            <m:t>(</m:t>
          </m:r>
          <m:sSubSup>
            <m:e>
              <m:r>
                <m:t>w</m:t>
              </m:r>
            </m:e>
            <m:sub>
              <m:r>
                <m:t>r</m:t>
              </m:r>
            </m:sub>
            <m:sup>
              <m:r>
                <m:t>𝖳</m:t>
              </m:r>
            </m:sup>
          </m:sSubSup>
          <m:r>
            <m:t>g(h)+</m:t>
          </m:r>
          <m:sSub>
            <m:e>
              <m:r>
                <m:t>b</m:t>
              </m:r>
            </m:e>
            <m:sub>
              <m:r>
                <m:t>r</m:t>
              </m:r>
            </m:sub>
          </m:sSub>
          <m:r>
            <m:t>)</m:t>
          </m:r>
          <m:r>
            <m:t>  (5.3-17)</m:t>
          </m:r>
        </m:oMath>
      </m:oMathPara>
    </w:p>
    <w:p>
      <w:pPr/>
      <w:r>
        <w:t>模型先在每个位置融合可用模态，再对位置汇聚，区别于F₀／B₀先将每一路压缩为单个向量的流程。逐位置模态权重和时间注意力可为第三问提供中间表示，但不能直接当作因果贡献。总体流程见图5-21。</w:t>
      </w:r>
    </w:p>
    <w:p>
      <w:pPr>
        <w:pStyle w:val="Heading2"/>
      </w:pPr>
      <w:r>
        <w:t>6 双视图监督与保留比例加权一致性</w:t>
      </w:r>
    </w:p>
    <w:p>
      <w:pPr/>
      <w:r>
        <w:t>训练使用3395条train，不更新BERT参数。六组固定缺失视图的随机种子为91000—91005，每个epoch为每条样本抽取其中一组；每组视图约20%的样本不增加缺失，其余样本以0.5、0.35、0.15的概率选择一、二、三路模态，片段长度比例在0.1—0.6之间均匀抽取，包含同步和异步区间。文本在BERT前替换为UNK并重新编码，避免完整上下文泄漏。</w:t>
      </w:r>
    </w:p>
    <w:p>
      <w:pPr/>
      <w:r>
        <w:t>一个batch同时包含原始视图f和缺失视图d。监督损失采用Huber回归加0.5倍逆平方根类别频率加权交叉熵：</w:t>
      </w:r>
    </w:p>
    <w:p>
      <w:pPr>
        <w:keepLines/>
      </w:pPr>
      <m:oMathPara>
        <m:oMath xmlns:mml="http://www.w3.org/1998/Math/MathML">
          <m:sSubSup>
            <m:e>
              <m:r>
                <m:t>L</m:t>
              </m:r>
            </m:e>
            <m:sub>
              <m:r>
                <m:rPr>
                  <m:sty m:val="p"/>
                </m:rPr>
                <m:t>sup</m:t>
              </m:r>
            </m:sub>
            <m:sup>
              <m:r>
                <m:t>v</m:t>
              </m:r>
            </m:sup>
          </m:sSubSup>
          <m:r>
            <m:t>=</m:t>
          </m:r>
          <m:r>
            <m:rPr>
              <m:sty m:val="p"/>
            </m:rPr>
            <m:t>Huber</m:t>
          </m:r>
          <m:r>
            <m:t>(</m:t>
          </m:r>
          <m:sSup>
            <m:e>
              <m:r>
                <m:t>r</m:t>
              </m:r>
            </m:e>
            <m:sup>
              <m:r>
                <m:t>v</m:t>
              </m:r>
            </m:sup>
          </m:sSup>
          <m:r>
            <m:t>,y)+0.5</m:t>
          </m:r>
          <m:sSub>
            <m:e>
              <m:r>
                <m:rPr>
                  <m:sty m:val="p"/>
                </m:rPr>
                <m:t>CE</m:t>
              </m:r>
            </m:e>
            <m:sub>
              <m:r>
                <m:t>w</m:t>
              </m:r>
            </m:sub>
          </m:sSub>
          <m:r>
            <m:t>(</m:t>
          </m:r>
          <m:sSup>
            <m:e>
              <m:r>
                <m:t>l</m:t>
              </m:r>
            </m:e>
            <m:sup>
              <m:r>
                <m:t>v</m:t>
              </m:r>
            </m:sup>
          </m:sSup>
          <m:r>
            <m:t>,c),</m:t>
          </m:r>
          <m:r>
            <m:t>v∈{f,d}</m:t>
          </m:r>
          <m:r>
            <m:t>  (5.3-18)</m:t>
          </m:r>
        </m:oMath>
      </m:oMathPara>
    </w:p>
    <w:p>
      <w:pPr/>
      <w:r>
        <w:t>以缺失视图相对原始视图的观测保留比例ρᵢ加权一致性项；原始视图输出在一致性分支中停止梯度：</w:t>
      </w:r>
    </w:p>
    <w:p>
      <w:pPr>
        <w:keepLines/>
      </w:pPr>
      <m:oMathPara>
        <m:oMath xmlns:mml="http://www.w3.org/1998/Math/MathML">
          <m:sSub>
            <m:e>
              <m:r>
                <m:t>ρ</m:t>
              </m:r>
            </m:e>
            <m:sub>
              <m:r>
                <m:t>i</m:t>
              </m:r>
            </m:sub>
          </m:sSub>
          <m:r>
            <m:t>=</m:t>
          </m:r>
          <m:f>
            <m:fPr>
              <m:type m:val="bar"/>
            </m:fPr>
            <m:num>
              <m:nary>
                <m:naryPr>
                  <m:chr m:val="∑"/>
                  <m:limLoc m:val="subSup"/>
                  <m:grow m:val="1"/>
                  <m:subHide m:val="off"/>
                  <m:supHide m:val="on"/>
                </m:naryPr>
                <m:sub>
                  <m:r>
                    <m:t>t,m</m:t>
                  </m:r>
                </m:sub>
                <m:sup/>
                <m:e/>
              </m:nary>
              <m:sSubSup>
                <m:e>
                  <m:r>
                    <m:t>O</m:t>
                  </m:r>
                </m:e>
                <m:sub>
                  <m:r>
                    <m:t>i,t</m:t>
                  </m:r>
                </m:sub>
                <m:sup>
                  <m:r>
                    <m:t>d,m</m:t>
                  </m:r>
                </m:sup>
              </m:sSubSup>
            </m:num>
            <m:den>
              <m:r>
                <m:t>max(1,</m:t>
              </m:r>
              <m:nary>
                <m:naryPr>
                  <m:chr m:val="∑"/>
                  <m:limLoc m:val="subSup"/>
                  <m:grow m:val="1"/>
                  <m:subHide m:val="off"/>
                  <m:supHide m:val="on"/>
                </m:naryPr>
                <m:sub>
                  <m:r>
                    <m:t>t,m</m:t>
                  </m:r>
                </m:sub>
                <m:sup/>
                <m:e/>
              </m:nary>
              <m:sSubSup>
                <m:e>
                  <m:r>
                    <m:t>O</m:t>
                  </m:r>
                </m:e>
                <m:sub>
                  <m:r>
                    <m:t>i,t</m:t>
                  </m:r>
                </m:sub>
                <m:sup>
                  <m:r>
                    <m:t>f,m</m:t>
                  </m:r>
                </m:sup>
              </m:sSubSup>
              <m:r>
                <m:t>)</m:t>
              </m:r>
            </m:den>
          </m:f>
          <m:r>
            <m:t>,</m:t>
          </m:r>
          <m:sSub>
            <m:e>
              <m:r>
                <m:t>L</m:t>
              </m:r>
            </m:e>
            <m:sub>
              <m:r>
                <m:rPr>
                  <m:sty m:val="p"/>
                </m:rPr>
                <m:t>con</m:t>
              </m:r>
            </m:sub>
          </m:sSub>
          <m:r>
            <m:t>=</m:t>
          </m:r>
          <m:f>
            <m:fPr>
              <m:type m:val="bar"/>
            </m:fPr>
            <m:num>
              <m:r>
                <m:t>1</m:t>
              </m:r>
            </m:num>
            <m:den>
              <m:r>
                <m:t>N</m:t>
              </m:r>
            </m:den>
          </m:f>
          <m:nary>
            <m:naryPr>
              <m:chr m:val="∑"/>
              <m:limLoc m:val="subSup"/>
              <m:grow m:val="1"/>
              <m:subHide m:val="off"/>
              <m:supHide m:val="on"/>
            </m:naryPr>
            <m:sub>
              <m:r>
                <m:t>i</m:t>
              </m:r>
            </m:sub>
            <m:sup/>
            <m:e/>
          </m:nary>
          <m:sSub>
            <m:e>
              <m:r>
                <m:t>ρ</m:t>
              </m:r>
            </m:e>
            <m:sub>
              <m:r>
                <m:t>i</m:t>
              </m:r>
            </m:sub>
          </m:sSub>
          <m:r>
            <m:t>[|</m:t>
          </m:r>
          <m:sSubSup>
            <m:e>
              <m:r>
                <m:t>r</m:t>
              </m:r>
            </m:e>
            <m:sub>
              <m:r>
                <m:t>i</m:t>
              </m:r>
            </m:sub>
            <m:sup>
              <m:r>
                <m:t>d</m:t>
              </m:r>
            </m:sup>
          </m:sSubSup>
          <m:r>
            <m:t>−</m:t>
          </m:r>
          <m:r>
            <m:rPr>
              <m:sty m:val="p"/>
            </m:rPr>
            <m:t>sg</m:t>
          </m:r>
          <m:r>
            <m:t>(</m:t>
          </m:r>
          <m:sSubSup>
            <m:e>
              <m:r>
                <m:t>r</m:t>
              </m:r>
            </m:e>
            <m:sub>
              <m:r>
                <m:t>i</m:t>
              </m:r>
            </m:sub>
            <m:sup>
              <m:r>
                <m:t>f</m:t>
              </m:r>
            </m:sup>
          </m:sSubSup>
          <m:r>
            <m:t>)|+0.5</m:t>
          </m:r>
          <m:sSub>
            <m:e>
              <m:r>
                <m:t>D</m:t>
              </m:r>
            </m:e>
            <m:sub>
              <m:r>
                <m:rPr>
                  <m:sty m:val="p"/>
                </m:rPr>
                <m:t>KL</m:t>
              </m:r>
            </m:sub>
          </m:sSub>
          <m:r>
            <m:t>(</m:t>
          </m:r>
          <m:r>
            <m:rPr>
              <m:sty m:val="p"/>
            </m:rPr>
            <m:t>sg</m:t>
          </m:r>
          <m:r>
            <m:t>(</m:t>
          </m:r>
          <m:sSubSup>
            <m:e>
              <m:r>
                <m:t>p</m:t>
              </m:r>
            </m:e>
            <m:sub>
              <m:r>
                <m:t>i</m:t>
              </m:r>
            </m:sub>
            <m:sup>
              <m:r>
                <m:t>f</m:t>
              </m:r>
            </m:sup>
          </m:sSubSup>
          <m:r>
            <m:t>)‖</m:t>
          </m:r>
          <m:sSubSup>
            <m:e>
              <m:r>
                <m:t>p</m:t>
              </m:r>
            </m:e>
            <m:sub>
              <m:r>
                <m:t>i</m:t>
              </m:r>
            </m:sub>
            <m:sup>
              <m:r>
                <m:t>d</m:t>
              </m:r>
            </m:sup>
          </m:sSubSup>
          <m:r>
            <m:t>)]</m:t>
          </m:r>
          <m:r>
            <m:t>  (5.3-19)</m:t>
          </m:r>
        </m:oMath>
      </m:oMathPara>
    </w:p>
    <w:p>
      <w:pPr>
        <w:keepLines/>
      </w:pPr>
      <m:oMathPara>
        <m:oMath xmlns:mml="http://www.w3.org/1998/Math/MathML">
          <m:r>
            <m:t>L=</m:t>
          </m:r>
          <m:f>
            <m:fPr>
              <m:type m:val="bar"/>
            </m:fPr>
            <m:num>
              <m:argPr>
                <m:scrLvl m:val="0"/>
              </m:argPr>
              <m:r>
                <m:t>1</m:t>
              </m:r>
            </m:num>
            <m:den>
              <m:argPr>
                <m:scrLvl m:val="0"/>
              </m:argPr>
              <m:r>
                <m:t>2</m:t>
              </m:r>
            </m:den>
          </m:f>
          <m:r>
            <m:t>(</m:t>
          </m:r>
          <m:sSubSup>
            <m:e>
              <m:r>
                <m:t>L</m:t>
              </m:r>
            </m:e>
            <m:sub>
              <m:r>
                <m:rPr>
                  <m:sty m:val="p"/>
                </m:rPr>
                <m:t>sup</m:t>
              </m:r>
            </m:sub>
            <m:sup>
              <m:r>
                <m:t>f</m:t>
              </m:r>
            </m:sup>
          </m:sSubSup>
          <m:r>
            <m:t>+</m:t>
          </m:r>
          <m:sSubSup>
            <m:e>
              <m:r>
                <m:t>L</m:t>
              </m:r>
            </m:e>
            <m:sub>
              <m:r>
                <m:rPr>
                  <m:sty m:val="p"/>
                </m:rPr>
                <m:t>sup</m:t>
              </m:r>
            </m:sub>
            <m:sup>
              <m:r>
                <m:t>d</m:t>
              </m:r>
            </m:sup>
          </m:sSubSup>
          <m:r>
            <m:t>)+0.3</m:t>
          </m:r>
          <m:sSub>
            <m:e>
              <m:r>
                <m:t>L</m:t>
              </m:r>
            </m:e>
            <m:sub>
              <m:r>
                <m:rPr>
                  <m:sty m:val="p"/>
                </m:rPr>
                <m:t>con</m:t>
              </m:r>
            </m:sub>
          </m:sSub>
          <m:r>
            <m:t>  (5.3-20)</m:t>
          </m:r>
        </m:oMath>
      </m:oMathPara>
    </w:p>
    <w:p>
      <w:pPr/>
      <w:r>
        <w:t>保留比例越低，一致性约束越弱，避免要求信息严重不足的样本机械复制完整视图预测。这一一致性指同一样本不同输入视图之间的预测约束，不是分类极性与回归符号之间的强制一致。</w:t>
      </w:r>
    </w:p>
    <w:p>
      <w:pPr/>
      <w:r>
        <w:t>优化器为AdamW，初始学习率8×10⁻⁴、weight decay0.001、batch128、梯度裁剪1；余弦调度在20轮内将学习率降至8×10⁻⁵。完整训练预算为20轮，检查点及类别偏置按official valid选择，最终取第3轮。所用通用编码器固定为bert-base-uncased的revision 86b5e0934494bd15c9632b12f734a8a67f723594；冻结编码器约440MB，不能把278746字节的预测网络参数文件误当作全部推理依赖。</w:t>
      </w:r>
    </w:p>
    <w:p>
      <w:pPr>
        <w:pStyle w:val="Heading2"/>
      </w:pPr>
      <w:r>
        <w:t>7 决策边界校准、结果及选择依据</w:t>
      </w:r>
    </w:p>
    <w:p>
      <w:pPr/>
      <w:r>
        <w:t>分类偏置在负向和中性各[-0.6,0.6]、步长0.025的网格中搜索，正向固定零，共49²=2401种组合；按完整验证集正确数、Macro-F1、较小偏置范数等规则选择。最终单模型偏置为：</w:t>
      </w:r>
    </w:p>
    <w:p>
      <w:pPr>
        <w:keepLines/>
      </w:pPr>
      <m:oMathPara>
        <m:oMath xmlns:mml="http://www.w3.org/1998/Math/MathML">
          <m:sSubSup>
            <m:e>
              <m:r>
                <m:t>p</m:t>
              </m:r>
            </m:e>
            <m:sub>
              <m:r>
                <m:t>c</m:t>
              </m:r>
            </m:sub>
            <m:sup>
              <m:r>
                <m:t>′</m:t>
              </m:r>
            </m:sup>
          </m:sSubSup>
          <m:r>
            <m:t>=</m:t>
          </m:r>
          <m:f>
            <m:fPr>
              <m:type m:val="bar"/>
            </m:fPr>
            <m:num>
              <m:r>
                <m:rPr>
                  <m:sty m:val="p"/>
                </m:rPr>
                <m:t>exp</m:t>
              </m:r>
              <m:r>
                <m:t>(</m:t>
              </m:r>
              <m:r>
                <m:rPr>
                  <m:sty m:val="p"/>
                </m:rPr>
                <m:t>log</m:t>
              </m:r>
              <m:sSub>
                <m:e>
                  <m:r>
                    <m:t>p</m:t>
                  </m:r>
                </m:e>
                <m:sub>
                  <m:r>
                    <m:t>c</m:t>
                  </m:r>
                </m:sub>
              </m:sSub>
              <m:r>
                <m:t>+</m:t>
              </m:r>
              <m:sSub>
                <m:e>
                  <m:r>
                    <m:t>b</m:t>
                  </m:r>
                </m:e>
                <m:sub>
                  <m:r>
                    <m:t>c</m:t>
                  </m:r>
                </m:sub>
              </m:sSub>
              <m:r>
                <m:t>)</m:t>
              </m:r>
            </m:num>
            <m:den>
              <m:nary>
                <m:naryPr>
                  <m:chr m:val="∑"/>
                  <m:limLoc m:val="subSup"/>
                  <m:grow m:val="1"/>
                  <m:subHide m:val="off"/>
                  <m:supHide m:val="on"/>
                </m:naryPr>
                <m:sub>
                  <m:r>
                    <m:t>k</m:t>
                  </m:r>
                </m:sub>
                <m:sup/>
                <m:e/>
              </m:nary>
              <m:r>
                <m:rPr>
                  <m:sty m:val="p"/>
                </m:rPr>
                <m:t>exp</m:t>
              </m:r>
              <m:r>
                <m:t>(</m:t>
              </m:r>
              <m:r>
                <m:rPr>
                  <m:sty m:val="p"/>
                </m:rPr>
                <m:t>log</m:t>
              </m:r>
              <m:sSub>
                <m:e>
                  <m:r>
                    <m:t>p</m:t>
                  </m:r>
                </m:e>
                <m:sub>
                  <m:r>
                    <m:t>k</m:t>
                  </m:r>
                </m:sub>
              </m:sSub>
              <m:r>
                <m:t>+</m:t>
              </m:r>
              <m:sSub>
                <m:e>
                  <m:r>
                    <m:t>b</m:t>
                  </m:r>
                </m:e>
                <m:sub>
                  <m:r>
                    <m:t>k</m:t>
                  </m:r>
                </m:sub>
              </m:sSub>
              <m:r>
                <m:t>)</m:t>
              </m:r>
            </m:den>
          </m:f>
          <m:r>
            <m:t>,</m:t>
          </m:r>
          <m:r>
            <m:t>b=(0.375,0.275,0)</m:t>
          </m:r>
          <m:r>
            <m:t>  (5.3-21)</m:t>
          </m:r>
        </m:oMath>
      </m:oMathPara>
    </w:p>
    <w:p>
      <w:pPr/>
      <w:r>
        <w:t>该处理只改变分类边界，不改变回归强度，也不证明概率置信度已经校准。模型与偏置共同经过验证选择，不能将该分数解释为独立泛化估计。历史测试数据此前已经用于结果报告；当前测试只评价固定模型，仍不是新获得的盲测。</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表5-23 最终S₀单模型的分类与原始强度结果</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2"/>
        <w:gridCol w:w="1882"/>
        <w:gridCol w:w="1882"/>
        <w:gridCol w:w="1882"/>
        <w:gridCol w:w="1882"/>
      </w:tblGrid>
      <w:tr>
        <w:trPr>
          <w:cantSplit/>
          <w:tblHeader/>
        </w:trPr>
        <w:tc>
          <w:tcPr>
            <w:tcW w:type="dxa" w:w="1882"/>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数据及分类口径</w:t>
            </w:r>
          </w:p>
        </w:tc>
        <w:tc>
          <w:tcPr>
            <w:tcW w:type="dxa" w:w="1882"/>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ACC（%）</w:t>
            </w:r>
          </w:p>
        </w:tc>
        <w:tc>
          <w:tcPr>
            <w:tcW w:type="dxa" w:w="1882"/>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Macro-F1</w:t>
            </w:r>
          </w:p>
        </w:tc>
        <w:tc>
          <w:tcPr>
            <w:tcW w:type="dxa" w:w="1882"/>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MAE</w:t>
            </w:r>
          </w:p>
        </w:tc>
        <w:tc>
          <w:tcPr>
            <w:tcW w:type="dxa" w:w="1882"/>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Pearson</w:t>
            </w:r>
          </w:p>
        </w:tc>
      </w:tr>
      <w:tr>
        <w:trPr>
          <w:cantSplit/>
        </w:trPr>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official valid，未校准</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62.9121</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0.576268</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0.594934</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0.660018</w:t>
            </w:r>
          </w:p>
        </w:tc>
      </w:tr>
      <w:tr>
        <w:trPr>
          <w:cantSplit/>
        </w:trPr>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official valid，校准后</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65.5220</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0.629518</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0.594934</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0.660018</w:t>
            </w:r>
          </w:p>
        </w:tc>
      </w:tr>
      <w:tr>
        <w:trPr>
          <w:cantSplit/>
        </w:trPr>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历史test，未校准</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66.5750</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0.574567</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0.623140</w:t>
            </w:r>
          </w:p>
        </w:tc>
        <w:tc>
          <w:tcPr>
            <w:tcW w:type="dxa" w:w="1882"/>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0.688214</w:t>
            </w:r>
          </w:p>
        </w:tc>
      </w:tr>
      <w:tr>
        <w:trPr>
          <w:cantSplit/>
        </w:trPr>
        <w:tc>
          <w:tcPr>
            <w:tcW w:type="dxa" w:w="1882"/>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历史test，校准后</w:t>
            </w:r>
          </w:p>
        </w:tc>
        <w:tc>
          <w:tcPr>
            <w:tcW w:type="dxa" w:w="1882"/>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66.0248</w:t>
            </w:r>
          </w:p>
        </w:tc>
        <w:tc>
          <w:tcPr>
            <w:tcW w:type="dxa" w:w="1882"/>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0.602987</w:t>
            </w:r>
          </w:p>
        </w:tc>
        <w:tc>
          <w:tcPr>
            <w:tcW w:type="dxa" w:w="1882"/>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0.623140</w:t>
            </w:r>
          </w:p>
        </w:tc>
        <w:tc>
          <w:tcPr>
            <w:tcW w:type="dxa" w:w="1882"/>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0.688214</w:t>
            </w:r>
          </w:p>
        </w:tc>
      </w:tr>
    </w:tbl>
    <w:p>
      <w:pPr>
        <w:spacing w:after="0"/>
      </w:pPr>
    </w:p>
    <w:p>
      <w:pPr/>
      <w:r>
        <w:t>验证校准使正确分类由458条增加至477条，Macro-F1由0.5763提高至0.6295；历史test的ACC则由66.5750%降至66.0248%，而Macro-F1提高。校准并非所有数据与指标上均有增益。验证混淆矩阵中，中性正确数由51增至81，召回率由27.72%增至44.02%，但仍有65条中性误判为正向。</w:t>
      </w:r>
    </w:p>
    <w:p>
      <w:pPr/>
      <w:r>
        <w:t>选择S₀的依据是已完成搜索中的单模型验证表现、局部缺失评价以及可复现的专项输出。B₀的63.7363%及第六、七轮固定候选的62.77%、62.50%仅作历史验证背景；不同编码器、训练与选择协议使其差值不能作为单因素因果证据。第五轮65.61%是历史test三种子均值，更不能和65.5220%的valid单模型结果直接排名。第三问使用同一S₀预测器分析模态贡献及局部证据，以保证解释对象与情感输出一致。</w:t>
      </w:r>
    </w:p>
    <w:p>
      <w:pPr>
        <w:keepNext/>
        <w:jc w:val="center"/>
      </w:pPr>
      <w:r>
        <w:drawing>
          <wp:inline xmlns:a="http://schemas.openxmlformats.org/drawingml/2006/main" xmlns:pic="http://schemas.openxmlformats.org/drawingml/2006/picture">
            <wp:extent cx="5940000" cy="2471311"/>
            <wp:docPr id="7" name="Picture 7"/>
            <wp:cNvGraphicFramePr>
              <a:graphicFrameLocks noChangeAspect="1"/>
            </wp:cNvGraphicFramePr>
            <a:graphic>
              <a:graphicData uri="http://schemas.openxmlformats.org/drawingml/2006/picture">
                <pic:pic>
                  <pic:nvPicPr>
                    <pic:cNvPr id="0" name="single_final_diagnostics.png"/>
                    <pic:cNvPicPr/>
                  </pic:nvPicPr>
                  <pic:blipFill>
                    <a:blip r:embed="rId15"/>
                    <a:stretch>
                      <a:fillRect/>
                    </a:stretch>
                  </pic:blipFill>
                  <pic:spPr>
                    <a:xfrm>
                      <a:off x="0" y="0"/>
                      <a:ext cx="5940000" cy="2471311"/>
                    </a:xfrm>
                    <a:prstGeom prst="rect"/>
                  </pic:spPr>
                </pic:pic>
              </a:graphicData>
            </a:graphic>
          </wp:inline>
        </w:drawing>
      </w:r>
    </w:p>
    <w:p>
      <w:pPr>
        <w:pStyle w:val="Caption"/>
        <w:keepLines/>
      </w:pPr>
      <w:r>
        <w:t>图5-19 最终S₀的official valid分类与回归诊断。分类采用固定偏置，强度保留原始回归头；散点图虚线表示理想预测关系。</w:t>
      </w:r>
    </w:p>
    <w:p>
      <w:pPr>
        <w:keepNext/>
        <w:jc w:val="center"/>
      </w:pPr>
      <w:r>
        <w:drawing>
          <wp:inline xmlns:a="http://schemas.openxmlformats.org/drawingml/2006/main" xmlns:pic="http://schemas.openxmlformats.org/drawingml/2006/picture">
            <wp:extent cx="5940000" cy="2377503"/>
            <wp:docPr id="8" name="Picture 8"/>
            <wp:cNvGraphicFramePr>
              <a:graphicFrameLocks noChangeAspect="1"/>
            </wp:cNvGraphicFramePr>
            <a:graphic>
              <a:graphicData uri="http://schemas.openxmlformats.org/drawingml/2006/picture">
                <pic:pic>
                  <pic:nvPicPr>
                    <pic:cNvPr id="0" name="single_final_missingness.png"/>
                    <pic:cNvPicPr/>
                  </pic:nvPicPr>
                  <pic:blipFill>
                    <a:blip r:embed="rId16"/>
                    <a:stretch>
                      <a:fillRect/>
                    </a:stretch>
                  </pic:blipFill>
                  <pic:spPr>
                    <a:xfrm>
                      <a:off x="0" y="0"/>
                      <a:ext cx="5940000" cy="2377503"/>
                    </a:xfrm>
                    <a:prstGeom prst="rect"/>
                  </pic:spPr>
                </pic:pic>
              </a:graphicData>
            </a:graphic>
          </wp:inline>
        </w:drawing>
      </w:r>
    </w:p>
    <w:p>
      <w:pPr>
        <w:pStyle w:val="Caption"/>
        <w:keepLines/>
      </w:pPr>
      <w:r>
        <w:t>图5-20 最终S₀的缺失敏感性。左图为四类模态组合、五种比例与随机位置的ACC，右图为30%比例下七类模态组合、四种位置的Macro-F1；均对三个扰动种子平均，而不是三个模型的训练均值。</w:t>
      </w:r>
    </w:p>
    <w:p>
      <w:pPr/>
      <w:r>
        <w:t>S₀采用分类和强度独立输出。校准后official valid有46/728条、历史test有38/727条出现负类预测正强度或正类预测负强度；此外分别有157条、124条中性预测对应非零强度。两项分别统计，不能把46或38当作包含中性冲突的总数。该差异作为方法局限保留，不施加符号修正来改变已有指标；前文F₀／B₀的一致性解码公式不适用于S₀。</w:t>
      </w:r>
    </w:p>
    <w:p>
      <w:pPr>
        <w:pStyle w:val="Heading1"/>
      </w:pPr>
      <w:r>
        <w:t>5.3.8 附件3专项预测及模型适用范围</w:t>
      </w:r>
    </w:p>
    <w:p>
      <w:pPr/>
      <w:r>
        <w:t>使用最终S₀模型对附件3全部30条对齐样本推理。分类取偏置处理后的最大概率类别，强度直接取独立回归头输出；不使用专项标签、不进行专项调参。表5-24与配套CSV逐样本对应。</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表5-24 附件3全部30条样本的S₀预测（强度保留六位小数）</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9"/>
        <w:gridCol w:w="1569"/>
        <w:gridCol w:w="1569"/>
        <w:gridCol w:w="1569"/>
        <w:gridCol w:w="1569"/>
        <w:gridCol w:w="1569"/>
      </w:tblGrid>
      <w:tr>
        <w:trPr>
          <w:cantSplit/>
          <w:tblHeader/>
        </w:trPr>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样本编号</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极性</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强度</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样本编号</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极性</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强度</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附件3_01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负向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-0.536986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附件3_16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正向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1.331466</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附件3_02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负向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0.117791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附件3_17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负向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-0.044806</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附件3_03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中性</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0.066119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附件3_18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正向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0.662061</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附件3_04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正向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0.629403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附件3_19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负向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-0.042329</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附件3_05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负向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-1.175675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附件3_20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中性</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0.315413</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附件3_06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正向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0.896737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附件3_21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正向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0.437620</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附件3_07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正向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0.536310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附件3_22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中性</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0.213254</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附件3_08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中性</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0.229452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附件3_23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正向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0.443948</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附件3_09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正向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1.119161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附件3_24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负向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0.158707</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附件3_10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中性</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0.251429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附件3_25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中性</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0.256835</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附件3_11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正向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0.453289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附件3_26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正向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0.879186</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附件3_12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正向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0.361956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附件3_27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正向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1.148663</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附件3_13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正向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0.368962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附件3_28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正向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0.518680</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附件3_14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负向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-0.355031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附件3_29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正向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0.607841</w:t>
            </w:r>
          </w:p>
        </w:tc>
      </w:tr>
      <w:tr>
        <w:trPr>
          <w:cantSplit/>
        </w:trPr>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附件3_15</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正向</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0.931899</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附件3_30</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中性</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0.183475</w:t>
            </w:r>
          </w:p>
        </w:tc>
      </w:tr>
    </w:tbl>
    <w:p>
      <w:pPr>
        <w:spacing w:after="0"/>
      </w:pPr>
    </w:p>
    <w:p>
      <w:pPr/>
      <w:r>
        <w:t>预测负向7条、中性7条、正向16条，其中9条极性与强度符号不一致，包括中性类别对应非零强度的情况。例如附件3_02分类为负向、回归强度为0.117791，两者均保留实际输出，不能通过修改表格使其看似一致。预测类别分布不等于真实类别分布，无标签专项样本不能计算准确率。</w:t>
      </w:r>
    </w:p>
    <w:p>
      <w:pPr/>
      <w:r>
        <w:t>S₀通过显式观测状态、缺失嵌入、局部时序编码与保留比例加权一致性学习处理局部缺失。其限制是分类和强度边界未被强制统一、模型选择多次利用验证反馈，且对齐位置不等于真实时间。三层消融表5-30至表5-32针对MiniLM–Fusion参照，不能用来宣称S₀的每个新增组件已获得独立消融验证。第三问以S₀的固定输出为解释目标，并应将分类证据与强度证据区分表述。</w:t>
      </w:r>
    </w:p>
    <w:p>
      <w:pPr/>
      <w:r>
        <w:t>冻结BERT及环境依赖不包含在轻量预测参数文件内，因而该文件大小不能证明完整提交材料已满足容量约束。推理需准备相同BERT revision、标准化统计、模型参数及固定偏置。原始专项重编码核验中30条类别一致、预测最大差异为零，支持所核查推理路径的可复现性，但不构成无标签样本上的性能验证。</w:t>
      </w:r>
    </w:p>
    <w:p>
      <w:pPr>
        <w:pStyle w:val="Heading1"/>
      </w:pPr>
      <w:r>
        <w:t>5.3.9 评价协议、模块消融与缺失鲁棒性敏感性分析</w:t>
      </w:r>
    </w:p>
    <w:p>
      <w:pPr>
        <w:pStyle w:val="Heading2"/>
      </w:pPr>
      <w:r>
        <w:t>1 数据划分及所有结果的解释口径</w:t>
      </w:r>
    </w:p>
    <w:p>
      <w:pPr/>
      <w:r>
        <w:t>本文将train内部按原视频划出的391条stop统一称为内部开发集（internal dev）；official valid专指附件2给定的728条验证样本；历史test专指已在早期实验中评估过的727条测试样本。内部dev属于train的子集，不是另一份官方验证集。表5-25给出各组结果的对应关系，以避免将不同划分、不同统计单位或不同精度下的分数直接排名。</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表5-25 数据划分、使用方式与正文结果对应</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3"/>
        <w:gridCol w:w="2353"/>
        <w:gridCol w:w="2353"/>
        <w:gridCol w:w="2353"/>
      </w:tblGrid>
      <w:tr>
        <w:trPr>
          <w:cantSplit/>
          <w:tblHeader/>
        </w:trPr>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数据／统计口径</w:t>
            </w:r>
          </w:p>
        </w:tc>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样本数</w:t>
            </w:r>
          </w:p>
        </w:tc>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使用方式</w:t>
            </w:r>
          </w:p>
        </w:tc>
        <w:tc>
          <w:tcPr>
            <w:tcW w:type="dxa" w:w="2353"/>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对应结果</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fit／内部dev</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3004／391</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按视频分组；开发结构与训练轮数</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表5-19、表5-26；66.33%属于dev</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official valid，冻结F₀</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728</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早期选模、鲁棒性及误差检查</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表5-16、图5-15至图5-16；61.68%为单模型</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official valid，早期优化</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728</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各轮开发与结果比较</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表5-17第三轮、表5-18的valid列；注意集成与均值之别</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official valid，在线候选</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728</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完整train重训后的报告及偏置校准</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表5-20；61.3095%为FP32均值，62.50%为固定单模型</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official valid，历史基线B₀</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728</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epoch与模型选择、偏置拟合和报告</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表5-28；63.7363%为历史int8校准后单模型</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official valid，S₀</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728</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模型、epoch及2401种偏置选择</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表5-23；65.5220%为最终单模型</w:t>
            </w:r>
          </w:p>
        </w:tc>
      </w:tr>
      <w:tr>
        <w:trPr>
          <w:cantSplit/>
        </w:trPr>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历史test</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727</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早期已执行的测试结果，仅作历史记录</w:t>
            </w:r>
          </w:p>
        </w:tc>
        <w:tc>
          <w:tcPr>
            <w:tcW w:type="dxa" w:w="2353"/>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表5-17、表5-18的历史test；表5-23的66.0248%为S₀单模型</w:t>
            </w:r>
          </w:p>
        </w:tc>
      </w:tr>
      <w:tr>
        <w:trPr>
          <w:cantSplit/>
        </w:trPr>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附件3专项</w:t>
            </w:r>
          </w:p>
        </w:tc>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30，无标签</w:t>
            </w:r>
          </w:p>
        </w:tc>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最终模型推理</w:t>
            </w:r>
          </w:p>
        </w:tc>
        <w:tc>
          <w:tcPr>
            <w:tcW w:type="dxa" w:w="2353"/>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表5-24；不计算ACC、F1、MAE或Pearson</w:t>
            </w:r>
          </w:p>
        </w:tc>
      </w:tr>
    </w:tbl>
    <w:p>
      <w:pPr>
        <w:spacing w:after="0"/>
      </w:pPr>
    </w:p>
    <w:p>
      <w:pPr/>
      <w:r>
        <w:t>第二轮的内部折外选择分数属于开发阶段的模型组合评价，不是official valid的整集准确率；第三轮的61.54%是概率集成的official valid结果，不是三个模型准确率的算术平均。第六、七轮的“分组折外校准”也不改变数据来自official valid这一事实，只表示偏置拟合时留出相应折。</w:t>
      </w:r>
    </w:p>
    <w:p>
      <w:pPr>
        <w:pStyle w:val="Heading2"/>
      </w:pPr>
      <w:r>
        <w:t>2 统一协议下的模块消融</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-26使用第七轮已完成的六组受控实验，不拼接前后轮次的最优分数。共同条件为fit3004／dev391的视频分组划分、三个配对种子20267001—20267003、顶部两层MiniLM微调、batch32、10轮开发预算、相同学习率配置、0.3连续缺失概率及加权CE＋0.8SmoothL1。每个种子均在同一dev上按干净ACC选择epoch，平分时比较Macro-F1及一致性MAE；因此该表是开发选模结果，不是独立留出评价。</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表5-26 统一协议模块消融：internal dev，FP32，三种子统计</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9"/>
        <w:gridCol w:w="1569"/>
        <w:gridCol w:w="1569"/>
        <w:gridCol w:w="1569"/>
        <w:gridCol w:w="1569"/>
        <w:gridCol w:w="1569"/>
      </w:tblGrid>
      <w:tr>
        <w:trPr>
          <w:cantSplit/>
          <w:tblHeader/>
        </w:trPr>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方法</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dev ACC（%）</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dev Macro-F1</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dev MAE</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dev Pearson</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缺失Macro-F1</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A0 自然采样、原Fusion</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64.96±1.60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0.6227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0.5932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0.6551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0.6089</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A1 均衡采样、原Fusion</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61.64±0.44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0.6065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0.5962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0.6447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0.5893</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A2 均衡采样＋对比学习</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61.55±0.53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0.6056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0.6029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0.6462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0.5865</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B0 时序交互、固定文本</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65.64±0.90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0.6374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0.5904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0.6651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0.6169</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B1 时序交互、等权分支</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66.07±0.74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0.6349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0.5970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0.6596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0.6113</w:t>
            </w:r>
          </w:p>
        </w:tc>
      </w:tr>
      <w:tr>
        <w:trPr>
          <w:cantSplit/>
        </w:trPr>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B2 时序交互、动态分支</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66.33±0.59</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0.6422</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0.5910</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0.6687</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0.6230</w:t>
            </w:r>
          </w:p>
        </w:tc>
      </w:tr>
    </w:tbl>
    <w:p>
      <w:pPr>
        <w:spacing w:after="0"/>
      </w:pPr>
    </w:p>
    <w:p>
      <w:pPr/>
      <w:r>
        <w:t>ACC以均值±样本标准差表示，其余列为三种子均值；MAE对应一致性强度。缺失Macro-F1仅对文本、音频、视觉分别30%中部连续缺失三个开发条件平均，再对种子平均，不能等同于表5-28的63条件平均。</w:t>
      </w:r>
    </w:p>
    <w:p>
      <w:pPr/>
      <w:r>
        <w:t>A1相对A0只改变采样方案，并保留原类别权重；A2相对A1增加训练期对比投影头及对比目标，用于检验这一完整监督分支的增量。B0、B1、B2采用相同交叉注意力主干，分别固定文本分支、等权汇总和动态汇总，构成分支选择机制的消融；这里的B0是第七轮实验编号，与历史基线符号B₀不同。A0到B0同时引入位置／模态标识及交互主干，属于结构整体替换，不能将其差值只归因于某一个注意力操作。</w:t>
      </w:r>
    </w:p>
    <w:p>
      <w:pPr/>
      <w:r>
        <w:t>该表支持均衡与当前对比配置没有改善dev，且时序结构在dev具有局部收益；结合完整重训后FP32均值持平及固定部署种子未改善的结果，尚不足以证明动态分支选择能够稳定替换同轮Fusion参照。它也不是历史基线B₀逐项关闭全部模块后的消融，未完成的最终模型消融不补填数值。</w:t>
      </w:r>
    </w:p>
    <w:p>
      <w:pPr>
        <w:pStyle w:val="Heading2"/>
      </w:pPr>
      <w:r>
        <w:t>3 验证集复用与调参风险</w:t>
      </w:r>
    </w:p>
    <w:p>
      <w:pPr/>
      <w:r>
        <w:t>official valid确实被多次使用。历史基线B₀的三个种子分别在该集选择最佳epoch，随后比较模型并搜索25种共享类别偏置；同一批标签既参与选择又用于报告63.7363%，存在选择乐观偏差。多轮结构和训练策略研究还使研究过程对验证反馈产生适应，不能因为某一轮没有用valid选择结构，就将整个研究的valid结果解释为未触及的测试结果。</w:t>
      </w:r>
    </w:p>
    <w:p>
      <w:pPr/>
      <w:r>
        <w:t>S₀对模型、epoch及2401种偏置组合使用official valid进行选择，存在额外搜索选择效应；其65.5220%同样不是独立泛化估计。S₀不采用MiniLM的五折共享偏置流程，不能把此前的折外校准证据移用于S₀。</w:t>
      </w:r>
    </w:p>
    <w:p>
      <w:pPr/>
      <w:r>
        <w:t>五折偏置校准使每条折外预测所用偏置不直接拟合该条标签，但编码器和epoch已经受到同一official valid的上游选择影响。因此，折外校准仅评价后处理步骤，不是对“训练—选模—校准”整个流程的嵌套交叉验证；全valid拟合后的分数更应明确标为拟合后内部验证值。对同一验证集施加63种缺失也没有增加独立样本量，不能据此缩小泛化不确定性。</w:t>
      </w:r>
    </w:p>
    <w:p>
      <w:pPr/>
      <w:r>
        <w:t>历史test已在前期多轮结果中被查看，本文只引用其当时输出，不将其重新定义为最终独立盲测，也不利用其分数重新排序最终模型。现有分组划分、配对种子及实际推理路径检查降低了部分混杂因素，但不能消除反复调参风险。严格确认最终泛化需要在模型、偏置与分析方案全部冻结后使用此前未接触的独立带标签样本；本研究尚无这样的最终评估，因而只作内部验证结论，不宣称已获得无偏泛化准确率或统计显著优势。</w:t>
      </w:r>
    </w:p>
    <w:p>
      <w:pPr>
        <w:pStyle w:val="Heading2"/>
      </w:pPr>
      <w:r>
        <w:t>4 附件3 CSV与表5-24的一一对应</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-24对应“问题二_最终第三问入口模型_附件3预测.csv”：S₀，seed43，第3轮，冻结BERT与32维预测网络，偏置[0.375,0.275,0]。文件包含30条记录和10个字段；sample_id为唯一关联键。表格左栏01—15、右栏16—30，类别翻译为中文，强度显示六位小数，CSV保留原有精度。</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表5-27 最终S₀专项CSV字段及正文对应</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37"/>
        <w:gridCol w:w="3137"/>
        <w:gridCol w:w="3137"/>
      </w:tblGrid>
      <w:tr>
        <w:trPr>
          <w:cantSplit/>
          <w:tblHeader/>
        </w:trPr>
        <w:tc>
          <w:tcPr>
            <w:tcW w:type="dxa" w:w="3137"/>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CSV字段</w:t>
            </w:r>
          </w:p>
        </w:tc>
        <w:tc>
          <w:tcPr>
            <w:tcW w:type="dxa" w:w="3137"/>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含义及口径</w:t>
            </w:r>
          </w:p>
        </w:tc>
        <w:tc>
          <w:tcPr>
            <w:tcW w:type="dxa" w:w="3137"/>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表5-24对应</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sample_id</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附件3原始对齐文件名，不含扩展名</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样本编号</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predicted_polarity</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校准后的最大概率类别</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极性，翻译为中文</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predicted_intensity</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原始回归强度，范围[-3,3]；不强制符号一致</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强度，显示六位小数</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raw_head_polarity</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校准前分类头的最大概率类别</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未列出</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raw_probability_negative、raw_probability_neutral、raw_probability_positive</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校准前三类概率</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未列出</w:t>
            </w:r>
          </w:p>
        </w:tc>
      </w:tr>
      <w:tr>
        <w:trPr>
          <w:cantSplit/>
        </w:trPr>
        <w:tc>
          <w:tcPr>
            <w:tcW w:type="dxa" w:w="3137"/>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biased_probability_negative、biased_probability_neutral、biased_probability_positive</w:t>
            </w:r>
          </w:p>
        </w:tc>
        <w:tc>
          <w:tcPr>
            <w:tcW w:type="dxa" w:w="3137"/>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固定偏置处理后的三类概率，不应再次校准</w:t>
            </w:r>
          </w:p>
        </w:tc>
        <w:tc>
          <w:tcPr>
            <w:tcW w:type="dxa" w:w="3137"/>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未列出</w:t>
            </w:r>
          </w:p>
        </w:tc>
      </w:tr>
    </w:tbl>
    <w:p>
      <w:pPr>
        <w:spacing w:after="0"/>
      </w:pPr>
    </w:p>
    <w:p>
      <w:pPr/>
      <w:r>
        <w:t>该CSV不包含观测比例或门控权重字段。分类与回归符号不同属于独立输出，不应通过再次校准、改写类别或强制置零掩盖。30条类别和强度按sample_id逐一对应，历史MiniLM的专项预测不作为表5-24的数据来源。</w:t>
      </w:r>
    </w:p>
    <w:p>
      <w:pPr>
        <w:pStyle w:val="Heading2"/>
      </w:pPr>
      <w:r>
        <w:t>5 历史B₀缺失鲁棒性敏感性分析：63条件完整结果</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表5-28按名义缺失率分为三个续表，完整覆盖7种非空模态组合×3种比例×3种位置。全部结果属于历史基线B₀的official valid单模型，采用逐样本CPU ONNX int8、固定偏置及一致性强度输出，每行N=728。ACC以百分数显示，F1、MAE及Pearson保留四位小数；这里不再选择epoch、种子或偏置。三个续表的模型、数据划分和推理口径完全相同。</w:t>
      </w:r>
    </w:p>
    <w:p>
      <w:pPr/>
      <w:r>
        <w:t>这属于同一已训练模型对输入损伤的敏感性分析，不是输入模态消融。严格的输入模态消融需要分别训练文本、音频、视觉、文本＋音频、文本＋视觉、音频＋视觉及三模态七种模型，并在相同协议下评价；仅在推理时屏蔽输入不能替代该实验。</w:t>
      </w:r>
    </w:p>
    <w:p>
      <w:pPr/>
      <w:r>
        <w:t>同目录“问题二_历史MiniLM基线63种缺失条件完整结果.csv”保存未按正文精度舍入的指标、各类F1及三路实际观测缺失率。名义比例按有效跨度定义，实际移除观测比例受原有空洞和取整影响，故两者分别保留。原始输入B₀的历史ACC为63.7363%，不计入这63行；表5-23则属于S₀，二者不可混用。</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表5-28（1/3）历史B₀缺失鲁棒性敏感性分析：10%缺失</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9"/>
        <w:gridCol w:w="1569"/>
        <w:gridCol w:w="1569"/>
        <w:gridCol w:w="1569"/>
        <w:gridCol w:w="1569"/>
        <w:gridCol w:w="1569"/>
      </w:tblGrid>
      <w:tr>
        <w:trPr>
          <w:cantSplit/>
          <w:tblHeader/>
        </w:trPr>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缺失模态</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位置</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ACC（%）</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Macro-F1</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MAE</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Pearson</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62.23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0.5812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0.6133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0.6218</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63.05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0.5941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0.6045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0.6249</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62.36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0.5927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0.6097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0.5952</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63.32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0.5958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0.5978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0.6414</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63.46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0.5961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0.5959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0.6413</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63.32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0.5954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0.5971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0.6404</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63.60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0.5987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0.5973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0.6402</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63.46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0.5981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0.5966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0.6409</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63.32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0.5959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0.5979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0.6396</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62.64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0.5862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0.6125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0.6208</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62.91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0.5916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0.6041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0.6258</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62.64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0.5955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0.6087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0.5953</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61.95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0.5772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0.6151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0.6213</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63.05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0.5940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0.6040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0.6254</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62.50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0.5942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0.6097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0.5962</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63.46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0.5982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0.5965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0.6407</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63.19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0.5936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0.5965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0.6412</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63.46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0.5972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0.5973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0.6400</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62.50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0.5841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0.6131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0.6211</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63.05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0.5935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0.6034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0.6269</w:t>
            </w:r>
          </w:p>
        </w:tc>
      </w:tr>
      <w:tr>
        <w:trPr>
          <w:cantSplit/>
        </w:trPr>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文本+音频+视觉</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62.64</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0.5952</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0.6098</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0.5956</w:t>
            </w:r>
          </w:p>
        </w:tc>
      </w:tr>
    </w:tbl>
    <w:p>
      <w:pPr>
        <w:spacing w:after="0"/>
      </w:pP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表5-28（2/3）历史B₀缺失鲁棒性敏感性分析：30%缺失</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9"/>
        <w:gridCol w:w="1569"/>
        <w:gridCol w:w="1569"/>
        <w:gridCol w:w="1569"/>
        <w:gridCol w:w="1569"/>
        <w:gridCol w:w="1569"/>
      </w:tblGrid>
      <w:tr>
        <w:trPr>
          <w:cantSplit/>
          <w:tblHeader/>
        </w:trPr>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缺失模态</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位置</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ACC（%）</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Macro-F1</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MAE</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Pearson</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60.99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0.5628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0.6292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0.5833</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60.58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0.5695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0.6230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0.5764</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59.34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0.5637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0.6250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0.5844</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62.64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0.5917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0.5962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0.6421</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63.05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0.5921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0.5959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0.6414</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63.60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0.5988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0.5976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0.6397</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64.15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0.6042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0.5955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0.6407</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63.46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0.5979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0.5968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0.6396</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63.32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0.5961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0.5971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0.6396</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60.03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0.5534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0.6323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0.5813</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59.89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0.5659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0.6236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0.5750</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59.62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0.5669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0.6250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0.5821</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60.99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0.5623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0.6286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0.5835</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60.44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0.5708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0.6222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0.5760</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59.34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0.5666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0.6237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0.5825</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63.46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0.5999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0.5949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0.6428</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62.36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0.5849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0.5972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0.6416</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63.32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0.5968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0.5969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0.6372</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60.03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0.5535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0.6321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0.5816</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60.30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0.5704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0.6214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0.5765</w:t>
            </w:r>
          </w:p>
        </w:tc>
      </w:tr>
      <w:tr>
        <w:trPr>
          <w:cantSplit/>
        </w:trPr>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文本+音频+视觉</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59.07</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0.5634</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0.6257</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0.5822</w:t>
            </w:r>
          </w:p>
        </w:tc>
      </w:tr>
    </w:tbl>
    <w:p>
      <w:pPr>
        <w:spacing w:after="0"/>
      </w:pP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表5-28（3/3）历史B₀缺失鲁棒性敏感性分析：50%缺失</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9"/>
        <w:gridCol w:w="1569"/>
        <w:gridCol w:w="1569"/>
        <w:gridCol w:w="1569"/>
        <w:gridCol w:w="1569"/>
        <w:gridCol w:w="1569"/>
      </w:tblGrid>
      <w:tr>
        <w:trPr>
          <w:cantSplit/>
          <w:tblHeader/>
        </w:trPr>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缺失模态</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位置</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ACC（%）</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Macro-F1</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MAE</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Pearson</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59.34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0.5496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0.6556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0.5308</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58.10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0.5500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0.6539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0.5240</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56.59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0.5467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0.6492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0.5152</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62.91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0.5972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0.5954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0.6425</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62.77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0.5881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0.5969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0.6404</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63.19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0.5924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0.5999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0.6373</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63.60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0.5981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0.5986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0.6402</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62.91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0.5916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0.5987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0.6375</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63.60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0.6020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0.5951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0.6380</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59.07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0.5522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0.6549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0.5308</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58.10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0.5480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0.6514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0.5231</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56.18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0.5406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0.6532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0.5056</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59.62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0.5546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0.6532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0.5340</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57.42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0.5411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0.6536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0.5227</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55.77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0.5383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0.6549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0.5071</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62.91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0.5979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0.5964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0.6445</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62.36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0.5823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0.5966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0.6420</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63.87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0.6005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0.5958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0.6352</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58.79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0.5475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0.6528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0.5376</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57.97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0.5455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0.6507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0.5239</w:t>
            </w:r>
          </w:p>
        </w:tc>
      </w:tr>
      <w:tr>
        <w:trPr>
          <w:cantSplit/>
        </w:trPr>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文本+音频+视觉</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55.63</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0.5353</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0.6556</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0.5011</w:t>
            </w:r>
          </w:p>
        </w:tc>
      </w:tr>
    </w:tbl>
    <w:p>
      <w:pPr>
        <w:spacing w:after="0"/>
      </w:pPr>
    </w:p>
    <w:p>
      <w:pPr>
        <w:pStyle w:val="Heading2"/>
      </w:pPr>
      <w:r>
        <w:t>6 三层消融的补做范围与最小对照矩阵</w:t>
      </w:r>
    </w:p>
    <w:p>
      <w:pPr/>
      <w:r>
        <w:t>在历史实验之外，补做22种配置、三个配对种子的统一训练，共66个独立模型、660个epoch。所有模型采用同一fit3004／dev391划分、固定10轮末轮检查点及相同优化器配置，不使用dev选epoch，也不读取official valid或test。本轮不与历史最佳epoch、量化校准结果直接排名；完整数值见第5.3.10节。</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表5-29 最小模块对照矩阵与新增实测对应</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37"/>
        <w:gridCol w:w="3137"/>
        <w:gridCol w:w="3137"/>
      </w:tblGrid>
      <w:tr>
        <w:trPr>
          <w:cantSplit/>
          <w:tblHeader/>
        </w:trPr>
        <w:tc>
          <w:tcPr>
            <w:tcW w:type="dxa" w:w="3137"/>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对照项</w:t>
            </w:r>
          </w:p>
        </w:tc>
        <w:tc>
          <w:tcPr>
            <w:tcW w:type="dxa" w:w="3137"/>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实际操作定义</w:t>
            </w:r>
          </w:p>
        </w:tc>
        <w:tc>
          <w:tcPr>
            <w:tcW w:type="dxa" w:w="3137"/>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补做证据</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完整模型</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原Fusion、顶部两层微调、增强概率0.3、联合损失</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三种子末轮参照，表5-30至表5-32</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无缺失增强</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仅关闭人工连续缺失，保留原始缺失及padding处理</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表5-30，无人工缺失增强</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无有效掩码</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保留原始支持范围，仅隐藏新增人工缺失的显式掩码</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表5-31；不等于取消全部有效掩码</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平均融合替代门控</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可用模态等权，保留池化、拼接和任务头</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表5-31，可用模态平均融合</w:t>
            </w:r>
          </w:p>
        </w:tc>
      </w:tr>
      <w:tr>
        <w:trPr>
          <w:cantSplit/>
        </w:trPr>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CE only</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回归损失权重为零，其他条件相同</w:t>
            </w:r>
          </w:p>
        </w:tc>
        <w:tc>
          <w:tcPr>
            <w:tcW w:type="dxa" w:w="3137"/>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表5-30；回归指标不报告</w:t>
            </w:r>
          </w:p>
        </w:tc>
      </w:tr>
      <w:tr>
        <w:trPr>
          <w:cantSplit/>
        </w:trPr>
        <w:tc>
          <w:tcPr>
            <w:tcW w:type="dxa" w:w="3137"/>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无时序交互</w:t>
            </w:r>
          </w:p>
        </w:tc>
        <w:tc>
          <w:tcPr>
            <w:tcW w:type="dxa" w:w="3137"/>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原Fusion本来无交互，以增加交叉注意力形成对照</w:t>
            </w:r>
          </w:p>
        </w:tc>
        <w:tc>
          <w:tcPr>
            <w:tcW w:type="dxa" w:w="3137"/>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表5-31，原Fusion与加入交互</w:t>
            </w:r>
          </w:p>
        </w:tc>
      </w:tr>
    </w:tbl>
    <w:p>
      <w:pPr>
        <w:spacing w:after="0"/>
      </w:pPr>
    </w:p>
    <w:p>
      <w:pPr/>
      <w:r>
        <w:t>本次三层实验覆盖预定义的训练策略、网络模块和七种独立重训输入组合，不声称穷尽全部实现。例如，掩码实验保留padding和原始缺失处理，检验新增缺失可用性；专家实验是新增联合训练分支，并非第五轮独立预训练专家的重复。表5-26仍属于历史开发选模消融，表5-28仍是历史B₀缺失鲁棒性敏感性分析，两者不因新增实验而改变含义。</w:t>
      </w:r>
    </w:p>
    <w:p>
      <w:pPr>
        <w:pStyle w:val="Heading1"/>
      </w:pPr>
      <w:r>
        <w:t>5.3.10 固定训练预算下的三层消融实测</w:t>
      </w:r>
    </w:p>
    <w:p>
      <w:pPr>
        <w:pStyle w:val="Heading2"/>
      </w:pPr>
      <w:r>
        <w:t>1 统一协议与独立重训</w:t>
      </w:r>
    </w:p>
    <w:p>
      <w:pPr/>
      <w:r>
        <w:t>采用附件2 train内部按视频分组的fit3004和dev391，三个种子为20267001、20267002、20267003，固定训练10轮并取末轮，batch32，AdamW、权重衰减0.01、梯度裁剪1。MiniLM顶部两层学习率2×10⁻⁵，Fusion学习率2×10⁻⁴；基准目标为逆平方根类别频率加权CE＋0.8SmoothL1。除指定因素外，数据顺序、共有参数初始化、训练预算及评价规则保持一致。此处dev沿用已有开发划分，仍不构成独立盲测。</w:t>
      </w:r>
    </w:p>
    <w:p>
      <w:pPr/>
      <w:r>
        <w:t>干净dev和文本、音频、视觉各30%中部连续缺失构成四种评价环境。“缺失Macro-F1”只平均后三种环境，不是63条件均值；每个环境使用相同391条样本。ACC报告三种子均值±样本标准差，其余列为三种子均值。为使回归单任务与联合任务可比，三张表统一报告原始回归MAE和Pearson，不用分类头进行符号校正；它们与前文一致性强度指标不同。</w:t>
      </w:r>
    </w:p>
    <w:p>
      <w:pPr>
        <w:pStyle w:val="Heading2"/>
      </w:pPr>
      <w:r>
        <w:t>2 训练策略消融</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表5-30 训练策略消融：internal dev，FP32，固定10轮末轮</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9"/>
        <w:gridCol w:w="1569"/>
        <w:gridCol w:w="1569"/>
        <w:gridCol w:w="1569"/>
        <w:gridCol w:w="1569"/>
        <w:gridCol w:w="1569"/>
      </w:tblGrid>
      <w:tr>
        <w:trPr>
          <w:cantSplit/>
          <w:tblHeader/>
        </w:trPr>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配置</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dev ACC（%）</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Macro-F1</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原始MAE</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原始Pearson</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缺失Macro-F1</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完整参照（概率0.3）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62.40±2.71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0.5987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0.6167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0.6579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0.5814</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无人工缺失增强</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60.95±0.53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0.5862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0.6156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0.6585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0.5730</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增强概率0.1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62.32±1.94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0.5996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0.6150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0.6594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0.5827</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增强概率0.5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62.92±1.79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0.6029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0.6133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0.6586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0.5906</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固定缺失长度10%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61.47±1.41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0.5903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0.6170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0.6560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0.5755</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固定缺失长度30%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61.81±1.03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0.5935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0.6162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0.6582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0.5826</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固定缺失长度50%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61.72±1.03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0.5907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0.6177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0.6568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0.5748</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无类别权重</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62.40±2.27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0.5882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0.6182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0.6568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0.5748</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CE only</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61.98±2.38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0.5927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0.5729</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SmoothL1 only</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0.6035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0.6644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w:t>
            </w:r>
          </w:p>
        </w:tc>
      </w:tr>
      <w:tr>
        <w:trPr>
          <w:cantSplit/>
        </w:trPr>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冻结文本编码器</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61.81±0.82</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0.5907</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0.6271</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0.6344</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0.5809</w:t>
            </w:r>
          </w:p>
        </w:tc>
      </w:tr>
    </w:tbl>
    <w:p>
      <w:pPr>
        <w:spacing w:after="0"/>
      </w:pPr>
    </w:p>
    <w:p>
      <w:pPr/>
      <w:r>
        <w:t>增强概率决定每条训练样本是否受损，长度比例决定受损片段的跨度。完整参照的长度从10%、20%、30%、50%抽取；固定长度组仅固定该比例，增强概率仍为0.3。概率0.3组即完整参照，不重复训练。CE only的回归头无监督、SmoothL1 only的分类头无监督，对应指标以“—”表示，不把未训练任务输出作为有效能力。</w:t>
      </w:r>
    </w:p>
    <w:p>
      <w:pPr>
        <w:pStyle w:val="Heading2"/>
      </w:pPr>
      <w:r>
        <w:t>3 网络模块消融</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表5-31 网络模块消融：internal dev，FP32，固定10轮末轮</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9"/>
        <w:gridCol w:w="1569"/>
        <w:gridCol w:w="1569"/>
        <w:gridCol w:w="1569"/>
        <w:gridCol w:w="1569"/>
        <w:gridCol w:w="1569"/>
      </w:tblGrid>
      <w:tr>
        <w:trPr>
          <w:cantSplit/>
          <w:tblHeader/>
        </w:trPr>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配置</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dev ACC（%）</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Macro-F1</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原始MAE</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原始Pearson</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缺失Macro-F1</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原Fusion（无交互／专家）</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62.40±2.71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0.5987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0.6167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0.6579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0.5814</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隐藏新增缺失掩码</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62.57±2.48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0.5999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0.6184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0.6589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0.5794</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有效位置平均池化</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61.55±1.62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0.5887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0.6239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0.6535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0.5794</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可用模态平均融合</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62.23±1.95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0.5982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0.6212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0.6538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0.5824</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加入序列交叉注意力</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62.40±2.81</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0.5993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0.6262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0.6478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0.5790</w:t>
            </w:r>
          </w:p>
        </w:tc>
      </w:tr>
      <w:tr>
        <w:trPr>
          <w:cantSplit/>
        </w:trPr>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加入联合训练专家分支</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62.92±0.77</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0.6021</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0.6236</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0.6558</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0.5838</w:t>
            </w:r>
          </w:p>
        </w:tc>
      </w:tr>
    </w:tbl>
    <w:p>
      <w:pPr>
        <w:spacing w:after="0"/>
      </w:pPr>
    </w:p>
    <w:p>
      <w:pPr/>
      <w:r>
        <w:t>隐藏新增缺失掩码时仍将受损输入替换为零或UNK，但池化、可用比例和门控保留缺失前的原始掩码；这隔离新增人工缺失的显式可用性作用，不引入padding污染。均值池化只替换模态内注意力汇聚，平均融合只替换可用模态门控权重。</w:t>
      </w:r>
    </w:p>
    <w:p>
      <w:pPr/>
      <w:r>
        <w:t>交互组在原投影和池化之间增加共享四头序列交叉注意力与残差归一化，故比较的是这个交互模块整体，并非单个运算的纯参数量控制。专家组新增文本、音视频两个线性任务分支，其可用分支均值与原主头输出各占一半，通过相同最终任务损失联合训练；没有额外专家预训练或辅助损失。无交互、无专家均复用完整参照，不重复计为两个新模型。</w:t>
      </w:r>
    </w:p>
    <w:p>
      <w:pPr>
        <w:pStyle w:val="Heading2"/>
      </w:pPr>
      <w:r>
        <w:t>4 输入模态消融</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表5-32 独立重训的输入模态消融：internal dev，FP32，固定10轮末轮</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9"/>
        <w:gridCol w:w="1569"/>
        <w:gridCol w:w="1569"/>
        <w:gridCol w:w="1569"/>
        <w:gridCol w:w="1569"/>
        <w:gridCol w:w="1569"/>
      </w:tblGrid>
      <w:tr>
        <w:trPr>
          <w:cantSplit/>
          <w:tblHeader/>
        </w:trPr>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配置</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dev ACC（%）</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Macro-F1</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原始MAE</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原始Pearson</w:t>
            </w:r>
          </w:p>
        </w:tc>
        <w:tc>
          <w:tcPr>
            <w:tcW w:type="dxa" w:w="1569"/>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缺失Macro-F1</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62.57±0.90</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0.5968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0.6136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0.6695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0.5845</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42.97±2.77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0.3839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0.8454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0.0728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0.3825</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44.67±2.69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0.3796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0.8026</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0.2038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0.3826</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61.47±2.57</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0.5873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0.6233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0.6548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0.5804</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63.00±2.13</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0.6034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0.6072</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0.6689</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0.5899</w:t>
            </w:r>
          </w:p>
        </w:tc>
      </w:tr>
      <w:tr>
        <w:trPr>
          <w:cantSplit/>
        </w:trPr>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音频＋视觉</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44.59±1.64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0.3964</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0.8455</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0.1568</w:t>
            </w:r>
          </w:p>
        </w:tc>
        <w:tc>
          <w:tcPr>
            <w:tcW w:type="dxa" w:w="1569"/>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0.3989</w:t>
            </w:r>
          </w:p>
        </w:tc>
      </w:tr>
      <w:tr>
        <w:trPr>
          <w:cantSplit/>
        </w:trPr>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文本＋音频＋视觉</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62.40±2.71</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0.5987</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0.6167</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0.6579</w:t>
            </w:r>
          </w:p>
        </w:tc>
        <w:tc>
          <w:tcPr>
            <w:tcW w:type="dxa" w:w="1569"/>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0.5814</w:t>
            </w:r>
          </w:p>
        </w:tc>
      </w:tr>
    </w:tbl>
    <w:p>
      <w:pPr>
        <w:spacing w:after="0"/>
      </w:pPr>
    </w:p>
    <w:p>
      <w:pPr/>
      <w:r>
        <w:t>七种输入组合分别独立学习模型参数，未用模态输入与有效掩码均被移除，不向门控传递其观测或可用比例；无文本组不运行文本编码器。保留统一接口与任务头以控制额外结构差异，未用投影不能读取原始观测。训练期与评价期始终使用同一输入组合，因此本表不同于固定模型在推理时遮挡模态的敏感性分析。共享三模态参照只训练一次，表间复用不增加独立样本数。</w:t>
      </w:r>
    </w:p>
    <w:p>
      <w:pPr>
        <w:pStyle w:val="Heading2"/>
      </w:pPr>
      <w:r>
        <w:t>5 配对差值与结论边界</w:t>
      </w:r>
    </w:p>
    <w:p>
      <w:pPr/>
      <w:r>
        <w:t>完整参照的dev ACC为62.40±2.71%，Macro-F1为0.5987。本轮干净dev平均ACC最高的新增配置为“文本＋视觉”，相对完整参照变化+0.60个百分点；三个配对种子差值为+0.26、+1.28、+0.26个百分点。这是本轮开发数据的描述性比较，不代表已通过独立验证，也不据此替换最终预测器。</w:t>
      </w:r>
    </w:p>
    <w:p>
      <w:pPr/>
      <w:r>
        <w:t>不同配置改变了训练分布、监督目标或有效表示能力，改进应结合Macro-F1、强度误差及缺失条件共同解释。单个指标或种子提高不能证明组件普遍必要或无效；参数新增的交互和专家组也不是严格等参数量对照。完整逐种子指标保存在“问题二_三层消融66次训练结果.csv”，缺少监督的任务留空。新增实测填补本次预定义三层对照，但不消除历史验证复用风险；最终S₀及其附件3预测不由这些开发消融结果重新选择。</w:t>
      </w:r>
    </w:p>
    <w:p>
      <w:pPr>
        <w:pStyle w:val="Heading1"/>
      </w:pPr>
      <w:r>
        <w:t>5.3.11 最终S₀的结构示意与缺失条件结果</w:t>
      </w:r>
    </w:p>
    <w:p>
      <w:pPr>
        <w:keepNext/>
        <w:jc w:val="center"/>
      </w:pPr>
      <w:r>
        <w:drawing>
          <wp:inline xmlns:a="http://schemas.openxmlformats.org/drawingml/2006/main" xmlns:pic="http://schemas.openxmlformats.org/drawingml/2006/picture">
            <wp:extent cx="5940000" cy="2493438"/>
            <wp:docPr id="9" name="Picture 9"/>
            <wp:cNvGraphicFramePr>
              <a:graphicFrameLocks noChangeAspect="1"/>
            </wp:cNvGraphicFramePr>
            <a:graphic>
              <a:graphicData uri="http://schemas.openxmlformats.org/drawingml/2006/picture">
                <pic:pic>
                  <pic:nvPicPr>
                    <pic:cNvPr id="0" name="single_final_architecture.png"/>
                    <pic:cNvPicPr/>
                  </pic:nvPicPr>
                  <pic:blipFill>
                    <a:blip r:embed="rId17"/>
                    <a:stretch>
                      <a:fillRect/>
                    </a:stretch>
                  </pic:blipFill>
                  <pic:spPr>
                    <a:xfrm>
                      <a:off x="0" y="0"/>
                      <a:ext cx="5940000" cy="2493438"/>
                    </a:xfrm>
                    <a:prstGeom prst="rect"/>
                  </pic:spPr>
                </pic:pic>
              </a:graphicData>
            </a:graphic>
          </wp:inline>
        </w:drawing>
      </w:r>
    </w:p>
    <w:p>
      <w:pPr>
        <w:pStyle w:val="Caption"/>
        <w:keepLines/>
      </w:pPr>
      <w:r>
        <w:t>图5-21 最终S₀的单模型预测流程。BERT保持冻结；缺失嵌入、模态内Transformer、逐位置动态融合及任务头参与训练。分类与强度分别输出，双视图一致性用于训练期。</w:t>
      </w:r>
    </w:p>
    <w:p>
      <w:pPr/>
      <w:r>
        <w:t>S₀的缺失评估包括两项预定义网格：比例分析采用T、A、V、TAV四种组合、10%、20%、30%、50%、70%五种比例和随机位置；位置分析采用七种非空模态组合、固定30%比例和起始、中部、末尾、随机四种位置。每项使用701、702、703三个扰动种子，分别记录60与84行，共144行。两个网格在随机位置、30%比例的四种组合处重叠，因此144行不是144个独立条件，更不是63条件全因子网格。</w:t>
      </w:r>
    </w:p>
    <w:p>
      <w:pPr/>
      <w:r>
        <w:t>以下表格分别对三个扰动种子取均值。固定起始、中部、末尾时，不同扰动种子可能生成相同区间，重复结果不构成独立重复训练。缺失区间按公共有效内容位置列表选取，与F₀／B₀按跨度定义的协议不同，不能把跨协议差值直接解释为模型鲁棒性增益。三类指标均来自728条official valid；强度保留原始回归头，不做符号校正。</w:t>
      </w: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表5-33 最终S₀缺失比例敏感性（official valid，三个扰动种子均值）</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5"/>
        <w:gridCol w:w="1345"/>
        <w:gridCol w:w="1345"/>
        <w:gridCol w:w="1345"/>
        <w:gridCol w:w="1345"/>
        <w:gridCol w:w="1345"/>
        <w:gridCol w:w="1345"/>
      </w:tblGrid>
      <w:tr>
        <w:trPr>
          <w:cantSplit/>
          <w:tblHeader/>
        </w:trPr>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模态</w:t>
            </w:r>
          </w:p>
        </w:tc>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比例</w:t>
            </w:r>
          </w:p>
        </w:tc>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位置</w:t>
            </w:r>
          </w:p>
        </w:tc>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ACC（%）</w:t>
            </w:r>
          </w:p>
        </w:tc>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Macro-F1</w:t>
            </w:r>
          </w:p>
        </w:tc>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MAE</w:t>
            </w:r>
          </w:p>
        </w:tc>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Pearson</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60.81</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0.5736</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0.6101</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0.6413</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60.58</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0.5715</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0.6232</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0.6191</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59.07</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0.5548</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0.6310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0.6024</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56.00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0.5316</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0.6540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0.5482</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70%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48.31</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0.4645</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0.7060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0.4241</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65.43</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0.6285</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0.5947</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0.6608</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65.52</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0.6294</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0.5948</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0.6609</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65.25</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0.6258</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0.5939</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0.6620</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65.06</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0.6225</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0.5929</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0.6634</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70%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65.34</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0.6257</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0.5919</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0.6648</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64.84</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0.6229</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0.5951</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0.6592</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64.61</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0.6201</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0.5948</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0.6589</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64.01</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0.6114</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0.5954</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0.6582</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64.24</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0.6132</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0.5975</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0.6560</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70%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63.42</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0.6014</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0.6007</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0.6536</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TAV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10%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61.08</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0.5803</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0.6075</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0.6419</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TAV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20%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60.49</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0.5764</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0.6197</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0.6193</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TAV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57.97</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0.5535</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0.6283</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0.6011</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TAV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54.99</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0.5383</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0.6536</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0.5495</w:t>
            </w:r>
          </w:p>
        </w:tc>
      </w:tr>
      <w:tr>
        <w:trPr>
          <w:cantSplit/>
        </w:trPr>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TAV</w:t>
            </w:r>
          </w:p>
        </w:tc>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70%</w:t>
            </w:r>
          </w:p>
        </w:tc>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44.41</w:t>
            </w:r>
          </w:p>
        </w:tc>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0.4434</w:t>
            </w:r>
          </w:p>
        </w:tc>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0.7078</w:t>
            </w:r>
          </w:p>
        </w:tc>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0.4252</w:t>
            </w:r>
          </w:p>
        </w:tc>
      </w:tr>
    </w:tbl>
    <w:p>
      <w:pPr>
        <w:spacing w:after="0"/>
      </w:pP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表5-34（1/2）最终S₀缺失位置敏感性（30%，official valid）</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5"/>
        <w:gridCol w:w="1345"/>
        <w:gridCol w:w="1345"/>
        <w:gridCol w:w="1345"/>
        <w:gridCol w:w="1345"/>
        <w:gridCol w:w="1345"/>
        <w:gridCol w:w="1345"/>
      </w:tblGrid>
      <w:tr>
        <w:trPr>
          <w:cantSplit/>
          <w:tblHeader/>
        </w:trPr>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模态</w:t>
            </w:r>
          </w:p>
        </w:tc>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比例</w:t>
            </w:r>
          </w:p>
        </w:tc>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位置</w:t>
            </w:r>
          </w:p>
        </w:tc>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ACC（%）</w:t>
            </w:r>
          </w:p>
        </w:tc>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Macro-F1</w:t>
            </w:r>
          </w:p>
        </w:tc>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MAE</w:t>
            </w:r>
          </w:p>
        </w:tc>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Pearson</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58.65</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0.5504</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0.6408</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0.5898</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59.75</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0.5666</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0.6302</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0.6039</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57.14</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0.5331</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0.6422</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0.6104</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59.07</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0.5548</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0.6310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0.6024</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65.38</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0.6272</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0.5946</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0.6606</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64.97</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0.6216</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0.5936</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0.6627</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65.66</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0.6313</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0.5926</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0.6626</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65.25</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0.6258</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0.5939</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0.6620</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64.56</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0.6185</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0.5928</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0.6598</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64.15</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0.6119</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0.5963</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0.6574</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64.70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0.6203</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0.5978</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0.6573</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64.01</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0.6114</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0.5954</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0.6582</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TA</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59.48</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0.5610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0.6389</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0.5911</w:t>
            </w:r>
          </w:p>
        </w:tc>
      </w:tr>
      <w:tr>
        <w:trPr>
          <w:cantSplit/>
        </w:trPr>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TA</w:t>
            </w:r>
          </w:p>
        </w:tc>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60.44</w:t>
            </w:r>
          </w:p>
        </w:tc>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0.5761</w:t>
            </w:r>
          </w:p>
        </w:tc>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0.6270</w:t>
            </w:r>
          </w:p>
        </w:tc>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0.6087</w:t>
            </w:r>
          </w:p>
        </w:tc>
      </w:tr>
    </w:tbl>
    <w:p>
      <w:pPr>
        <w:spacing w:after="0"/>
      </w:pPr>
    </w:p>
    <w:p>
      <w:pPr>
        <w:keepNext/>
        <w:keepLines w:val="0"/>
        <w:pageBreakBefore w:val="0"/>
        <w:widowControl w:val="0"/>
        <w:kinsoku/>
        <w:wordWrap/>
        <w:overflowPunct/>
        <w:topLinePunct w:val="0"/>
        <w:autoSpaceDE/>
        <w:autoSpaceDN/>
        <w:bidi w:val="0"/>
        <w:adjustRightInd/>
        <w:snapToGrid/>
        <w:spacing w:before="80" w:after="60" w:line="240" w:lineRule="auto"/>
        <w:ind w:firstLine="420" w:firstLineChars="0"/>
        <w:jc w:val="center"/>
        <w:textAlignment w:val="center"/>
        <w:rPr>
          <w:rFonts w:ascii="Times New Roman" w:hAnsi="Times New Roman" w:eastAsia="宋体"/>
          <w:b w:val="0"/>
          <w:sz w:val="21"/>
        </w:rPr>
      </w:pPr>
      <w:r>
        <w:rPr>
          <w:rFonts w:ascii="Times New Roman" w:hAnsi="Times New Roman" w:eastAsia="宋体"/>
          <w:b w:val="0"/>
          <w:sz w:val="24"/>
        </w:rPr>
        <w:t>表5-34（2/2）最终S₀缺失位置敏感性（30%，official valid）</w:t>
      </w:r>
    </w:p>
    <w:tbl>
      <w:tblPr>
        <w:tblStyle w:val="TableGrid"/>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5"/>
        <w:gridCol w:w="1345"/>
        <w:gridCol w:w="1345"/>
        <w:gridCol w:w="1345"/>
        <w:gridCol w:w="1345"/>
        <w:gridCol w:w="1345"/>
        <w:gridCol w:w="1345"/>
      </w:tblGrid>
      <w:tr>
        <w:trPr>
          <w:cantSplit/>
          <w:tblHeader/>
        </w:trPr>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模态</w:t>
            </w:r>
          </w:p>
        </w:tc>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比例</w:t>
            </w:r>
          </w:p>
        </w:tc>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位置</w:t>
            </w:r>
          </w:p>
        </w:tc>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ACC（%）</w:t>
            </w:r>
          </w:p>
        </w:tc>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Macro-F1</w:t>
            </w:r>
          </w:p>
        </w:tc>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MAE</w:t>
            </w:r>
          </w:p>
        </w:tc>
        <w:tc>
          <w:tcPr>
            <w:tcW w:type="dxa" w:w="1345"/>
            <w:vAlign w:val="center"/>
            <w:shd w:val="clear" w:color="auto" w:fill="auto"/>
            <w:tcBorders>
              <w:bottom w:val="single" w:color="auto" w:sz="6" w:space="0"/>
            </w:tcBorders>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color w:val="000000"/>
                <w:sz w:val="18"/>
              </w:rPr>
              <w:t>Pearson</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TA</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57.01</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0.5322</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0.6401</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0.6113</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TA</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59.39</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0.5586</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0.6286</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0.6065</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57.28</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0.5350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0.6452</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0.5813</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59.07</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0.5572</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0.6395</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0.5864</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57.01</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0.5317</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0.6514</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0.5989</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58.47</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0.5497</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0.6386</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0.5876</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64.29</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0.6135</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0.5975</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0.6608</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64.15</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0.6079</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0.6084</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0.6565</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65.25</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0.6234</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0.6047</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0.6576</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AV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64.42</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0.6132</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0.6054</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0.6568</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TAV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起始</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57.55</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0.5480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0.6368</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0.5861</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TAV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中部</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58.79</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0.5627</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0.6259</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0.6047</w:t>
            </w:r>
          </w:p>
        </w:tc>
      </w:tr>
      <w:tr>
        <w:trPr>
          <w:cantSplit/>
        </w:trPr>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TAV</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末尾</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56.59</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0.5401</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0.6386</w:t>
            </w:r>
          </w:p>
        </w:tc>
        <w:tc>
          <w:tcPr>
            <w:tcW w:type="dxa" w:w="1345"/>
            <w:vAlign w:val="center"/>
            <w:shd w:val="clear" w:color="auto" w:fill="auto"/>
          </w:tcPr>
          <w:p>
            <w:pPr>
              <w:keepNext/>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0.6071</w:t>
            </w:r>
          </w:p>
        </w:tc>
      </w:tr>
      <w:tr>
        <w:trPr>
          <w:cantSplit/>
        </w:trPr>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TAV</w:t>
            </w:r>
          </w:p>
        </w:tc>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30%</w:t>
            </w:r>
          </w:p>
        </w:tc>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随机</w:t>
            </w:r>
          </w:p>
        </w:tc>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57.97</w:t>
            </w:r>
          </w:p>
        </w:tc>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0.5535</w:t>
            </w:r>
          </w:p>
        </w:tc>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0.6283</w:t>
            </w:r>
          </w:p>
        </w:tc>
        <w:tc>
          <w:tcPr>
            <w:tcW w:type="dxa" w:w="1345"/>
            <w:vAlign w:val="center"/>
            <w:shd w:val="clear" w:color="auto" w:fill="auto"/>
          </w:tcPr>
          <w:p>
            <w:pPr>
              <w:keepNext w:val="0"/>
              <w:pageBreakBefore w:val="0"/>
              <w:widowControl w:val="0"/>
              <w:kinsoku/>
              <w:overflowPunct/>
              <w:autoSpaceDE/>
              <w:autoSpaceDN/>
              <w:bidi w:val="0"/>
              <w:adjustRightInd/>
              <w:snapToGrid/>
              <w:spacing w:before="20" w:after="20" w:line="240" w:lineRule="auto"/>
              <w:jc w:val="center"/>
              <w:textAlignment w:val="center"/>
              <w:rPr>
                <w:rFonts w:hint="default" w:asciiTheme="minorHAnsi" w:hAnsiTheme="minorHAnsi" w:eastAsiaTheme="minorEastAsia" w:cstheme="minorBidi"/>
                <w:kern w:val="2"/>
                <w:sz w:val="21"/>
                <w:szCs w:val="24"/>
                <w:lang w:val="en-US" w:eastAsia="zh-CN" w:bidi="ar-SA"/>
              </w:rPr>
            </w:pPr>
            <w:r>
              <w:rPr>
                <w:rFonts w:ascii="Times New Roman" w:hAnsi="Times New Roman" w:eastAsia="宋体"/>
                <w:b w:val="0"/>
                <w:color w:val="000000"/>
                <w:sz w:val="18"/>
              </w:rPr>
              <w:t>0.6011</w:t>
            </w:r>
          </w:p>
        </w:tc>
      </w:tr>
    </w:tbl>
    <w:p>
      <w:pPr>
        <w:spacing w:after="0"/>
      </w:pPr>
    </w:p>
    <w:p>
      <w:pPr/>
      <w:r>
        <w:t>原始144行保存在“问题二_最终S0缺失敏感性144行.csv”，包含kind、modalities、rate、position、mask_seed、accuracy、macro_f1、weighted_f1、mae及pearson；与正文均值表通过前三个条件字段和kind对应。本文分别汇总两个网格，不把交叠行重复加权为单一总体鲁棒性得分。专项预测与上述验证扰动结果用于不同目的，均不提供新独立盲测证据。</w:t>
      </w:r>
    </w:p>
    <w:sectPr w:rsidR="00FC693F" w:rsidRPr="0006063C" w:rsidSect="00034616">
      <w:footerReference w:type="default" r:id="rId18"/>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问题二的模型建立与求解</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