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第三轮：准确率导向训练与文本局部微调的对照实验</w:t>
      </w:r>
    </w:p>
    <w:p>
      <w:pPr/>
      <w:r>
        <w:t>负责人：C。实验完成日期：2026-09-26。状态：</w:t>
      </w:r>
      <w:r>
        <w:rPr>
          <w:b/>
        </w:rPr>
        <w:t>临时论文片段，含实测图表，供A统稿使用</w:t>
      </w:r>
      <w:r>
        <w:t>。本文为Markdown编辑源，Word由同源脚本导出；第一、二轮论文保持原样。</w:t>
      </w:r>
    </w:p>
    <w:p>
      <w:pPr/>
      <w:r>
        <w:rPr>
          <w:b/>
        </w:rPr>
        <w:t>片段摘要。</w:t>
      </w:r>
      <w:r>
        <w:t xml:space="preserve"> 针对前两轮参数与集成搜索未稳定提高准确率的问题，本轮将优化对象前移至训练目标和文本表示，在固定视频分组划分下检验类别加权、回归损失权重、缺失增强强度及MiniLM顶部两层微调。共训练21个模型、378个epoch，比较18种单模型、等权集成及偏置校准候选。联合调整在stop上的三种子平均准确率由63.17%升至63.68%，但收益未迁移至valid；文本微调与偏置校准亦未提供满足退化限制的改进。预设规则最终保留本轮三种子基线等权集成，锁定后干净test准确率为64.51%。本轮结果支持训练后期存在明显过拟合，不支持所测试配置带来稳定的准确率提升。</w:t>
      </w:r>
    </w:p>
    <w:p>
      <w:pPr>
        <w:pStyle w:val="Heading1"/>
      </w:pPr>
      <w:r>
        <w:t>1. 研究动机与训练方法</w:t>
      </w:r>
    </w:p>
    <w:p>
      <w:pPr/>
      <w:r>
        <w:t>第二轮在固定模型库上优化集成权重，内部验证收益未稳定转化为测试收益。第三轮据此检验三个训练因素：类别加权是否与总体准确率目标存在取舍，较强的回归辅助损失是否干扰分类，以及较高的缺失增强概率是否压低完整输入表现。上述机制是实验假设，不应由单因素名称直接推定其成立。</w:t>
      </w:r>
    </w:p>
    <w:p>
      <w:pPr/>
      <w:r>
        <w:t>基础融合网络继续调用B维护的Fusion模型，输入为长度50的对齐序列，文本、音频和视觉维度分别为384、74、35。网络通过带掩码的注意力池化与门控融合，同时输出负向、中性、正向三类概率及[-3,3]范围的强度预测。新增文本缺失先将相应词元替换为[UNK]再编码；音视频缺失保持原序列坐标，掩码同时参与融合，避免先编码后删除造成上下文信息残留。</w:t>
      </w:r>
    </w:p>
    <w:p>
      <w:pPr/>
      <w:r>
        <w:t>一个大小为N的批次采用加权交叉熵与SmoothL1联合损失，类别权重由fit集合频数确定；普通CE组将全部类别权重置为1。记样本真实类别为y，真实强度为s，预测强度为r，H为转折点等于1的SmoothL1函数，则：</w:t>
      </w:r>
    </w:p>
    <w:p>
      <w:pPr>
        <w:keepLines/>
      </w:pPr>
      <m:oMathPara>
        <m:oMath>
          <m:r>
            <m:t>L = −</m:t>
          </m:r>
          <m:f>
            <m:num>
              <m:nary>
                <m:naryPr>
                  <m:chr m:val="∑"/>
                  <m:limLoc m:val="undOvr"/>
                </m:naryPr>
                <m:sub>
                  <m:r>
                    <m:t>i=1</m:t>
                  </m:r>
                </m:sub>
                <m:sup>
                  <m:r>
                    <m:t>N</m:t>
                  </m:r>
                </m:sup>
                <m:e>
                  <m:sSub>
                    <m:e>
                      <m:r>
                        <m:t>w</m:t>
                      </m:r>
                    </m:e>
                    <m:sub>
                      <m:r>
                        <m:t>yᵢ</m:t>
                      </m:r>
                    </m:sub>
                  </m:sSub>
                  <m:r>
                    <m:t> log </m:t>
                  </m:r>
                  <m:sSub>
                    <m:e>
                      <m:r>
                        <m:t>p</m:t>
                      </m:r>
                    </m:e>
                    <m:sub>
                      <m:r>
                        <m:t>i,yᵢ</m:t>
                      </m:r>
                    </m:sub>
                  </m:sSub>
                </m:e>
              </m:nary>
            </m:num>
            <m:den>
              <m:nary>
                <m:naryPr>
                  <m:chr m:val="∑"/>
                  <m:limLoc m:val="undOvr"/>
                </m:naryPr>
                <m:sub>
                  <m:r>
                    <m:t>i=1</m:t>
                  </m:r>
                </m:sub>
                <m:sup>
                  <m:r>
                    <m:t>N</m:t>
                  </m:r>
                </m:sup>
                <m:e>
                  <m:sSub>
                    <m:e>
                      <m:r>
                        <m:t>w</m:t>
                      </m:r>
                    </m:e>
                    <m:sub>
                      <m:r>
                        <m:t>yᵢ</m:t>
                      </m:r>
                    </m:sub>
                  </m:sSub>
                </m:e>
              </m:nary>
            </m:den>
          </m:f>
          <m:r>
            <m:t> + </m:t>
          </m:r>
          <m:f>
            <m:num>
              <m:r>
                <m:t>λ</m:t>
              </m:r>
            </m:num>
            <m:den>
              <m:r>
                <m:t>N</m:t>
              </m:r>
            </m:den>
          </m:f>
          <m:nary>
            <m:naryPr>
              <m:chr m:val="∑"/>
              <m:limLoc m:val="undOvr"/>
            </m:naryPr>
            <m:sub>
              <m:r>
                <m:t>i=1</m:t>
              </m:r>
            </m:sub>
            <m:sup>
              <m:r>
                <m:t>N</m:t>
              </m:r>
            </m:sup>
            <m:e>
              <m:r>
                <m:t>H(</m:t>
              </m:r>
              <m:sSub>
                <m:e>
                  <m:r>
                    <m:t>r</m:t>
                  </m:r>
                </m:e>
                <m:sub>
                  <m:r>
                    <m:t>i</m:t>
                  </m:r>
                </m:sub>
              </m:sSub>
              <m:r>
                <m:t> − </m:t>
              </m:r>
              <m:sSub>
                <m:e>
                  <m:r>
                    <m:t>s</m:t>
                  </m:r>
                </m:e>
                <m:sub>
                  <m:r>
                    <m:t>i</m:t>
                  </m:r>
                </m:sub>
              </m:sSub>
              <m:r>
                <m:t>)</m:t>
              </m:r>
            </m:e>
          </m:nary>
        </m:oMath>
      </m:oMathPara>
    </w:p>
    <w:p>
      <w:pPr/>
      <w:r>
        <w:t>加权组使用类别频数倒数平方根形式，即类别c的权重为fit总样本数除以三倍该类样本数后取平方根。加权CE按批次真实类别权重之和归一化，与实际实现一致。</w:t>
      </w:r>
    </w:p>
    <w:p>
      <w:pPr/>
      <w:r>
        <w:t>表C3-1给出五组消融设置。每组使用20262001、20262002、20262003三个种子，各训练18个epoch；Fusion采用AdamW，学习率0.0008，weight decay为0.01，dropout为0.25，batch为64，梯度范数裁剪上限为1。</w:t>
      </w:r>
    </w:p>
    <w:tbl>
      <w:tblPr>
        <w:tblStyle w:val="TableGrid"/>
        <w:tblW w:type="auto" w:w="0"/>
        <w:tblLayout w:type="fixed"/>
        <w:tblLook w:firstColumn="1" w:firstRow="1" w:lastColumn="0" w:lastRow="0" w:noHBand="0" w:noVBand="1" w:val="04A0"/>
      </w:tblPr>
      <w:tblGrid>
        <w:gridCol w:w="1587"/>
        <w:gridCol w:w="1587"/>
        <w:gridCol w:w="1417"/>
        <w:gridCol w:w="1417"/>
        <w:gridCol w:w="3628"/>
      </w:tblGrid>
      <w:tr>
        <w:trPr>
          <w:cantSplit/>
          <w:tblHeader/>
        </w:trPr>
        <w:tc>
          <w:tcPr>
            <w:tcW w:type="dxa" w:w="1587"/>
          </w:tcPr>
          <w:p>
            <w:pPr>
              <w:keepNext/>
              <w:spacing w:line="240" w:lineRule="auto" w:after="60"/>
            </w:pPr>
            <w:r>
              <w:rPr>
                <w:b/>
                <w:sz w:val="18"/>
              </w:rPr>
              <w:t>配方</w:t>
            </w:r>
          </w:p>
        </w:tc>
        <w:tc>
          <w:tcPr>
            <w:tcW w:type="dxa" w:w="1587"/>
          </w:tcPr>
          <w:p>
            <w:pPr>
              <w:keepNext/>
              <w:spacing w:line="240" w:lineRule="auto" w:after="60"/>
            </w:pPr>
            <w:r>
              <w:rPr>
                <w:b/>
                <w:sz w:val="18"/>
              </w:rPr>
              <w:t>分类损失</w:t>
            </w:r>
          </w:p>
        </w:tc>
        <w:tc>
          <w:tcPr>
            <w:tcW w:type="dxa" w:w="1417"/>
          </w:tcPr>
          <w:p>
            <w:pPr>
              <w:keepNext/>
              <w:spacing w:line="240" w:lineRule="auto" w:after="60"/>
            </w:pPr>
            <w:r>
              <w:rPr>
                <w:b/>
                <w:sz w:val="18"/>
              </w:rPr>
              <w:t>回归权重λ</w:t>
            </w:r>
          </w:p>
        </w:tc>
        <w:tc>
          <w:tcPr>
            <w:tcW w:type="dxa" w:w="1417"/>
          </w:tcPr>
          <w:p>
            <w:pPr>
              <w:keepNext/>
              <w:spacing w:line="240" w:lineRule="auto" w:after="60"/>
            </w:pPr>
            <w:r>
              <w:rPr>
                <w:b/>
                <w:sz w:val="18"/>
              </w:rPr>
              <w:t>期望缺失概率</w:t>
            </w:r>
          </w:p>
        </w:tc>
        <w:tc>
          <w:tcPr>
            <w:tcW w:type="dxa" w:w="3628"/>
          </w:tcPr>
          <w:p>
            <w:pPr>
              <w:keepNext/>
              <w:spacing w:line="240" w:lineRule="auto" w:after="60"/>
            </w:pPr>
            <w:r>
              <w:rPr>
                <w:b/>
                <w:sz w:val="18"/>
              </w:rPr>
              <w:t>stop准确率均值±标准差</w:t>
            </w:r>
          </w:p>
        </w:tc>
      </w:tr>
      <w:tr>
        <w:trPr>
          <w:cantSplit/>
        </w:trPr>
        <w:tc>
          <w:tcPr>
            <w:tcW w:type="dxa" w:w="1587"/>
          </w:tcPr>
          <w:p>
            <w:pPr>
              <w:keepNext/>
              <w:spacing w:line="240" w:lineRule="auto" w:after="60"/>
            </w:pPr>
            <w:r>
              <w:rPr>
                <w:b w:val="0"/>
                <w:sz w:val="18"/>
              </w:rPr>
              <w:t>baseline</w:t>
            </w:r>
          </w:p>
        </w:tc>
        <w:tc>
          <w:tcPr>
            <w:tcW w:type="dxa" w:w="1587"/>
          </w:tcPr>
          <w:p>
            <w:pPr>
              <w:keepNext/>
              <w:spacing w:line="240" w:lineRule="auto" w:after="60"/>
            </w:pPr>
            <w:r>
              <w:rPr>
                <w:b w:val="0"/>
                <w:sz w:val="18"/>
              </w:rPr>
              <w:t>加权CE</w:t>
            </w:r>
          </w:p>
        </w:tc>
        <w:tc>
          <w:tcPr>
            <w:tcW w:type="dxa" w:w="1417"/>
          </w:tcPr>
          <w:p>
            <w:pPr>
              <w:keepNext/>
              <w:spacing w:line="240" w:lineRule="auto" w:after="60"/>
            </w:pPr>
            <w:r>
              <w:rPr>
                <w:b w:val="0"/>
                <w:sz w:val="18"/>
              </w:rPr>
              <w:t>0.8</w:t>
            </w:r>
          </w:p>
        </w:tc>
        <w:tc>
          <w:tcPr>
            <w:tcW w:type="dxa" w:w="1417"/>
          </w:tcPr>
          <w:p>
            <w:pPr>
              <w:keepNext/>
              <w:spacing w:line="240" w:lineRule="auto" w:after="60"/>
            </w:pPr>
            <w:r>
              <w:rPr>
                <w:b w:val="0"/>
                <w:sz w:val="18"/>
              </w:rPr>
              <w:t>0.8</w:t>
            </w:r>
          </w:p>
        </w:tc>
        <w:tc>
          <w:tcPr>
            <w:tcW w:type="dxa" w:w="3628"/>
          </w:tcPr>
          <w:p>
            <w:pPr>
              <w:keepNext/>
              <w:spacing w:line="240" w:lineRule="auto" w:after="60"/>
            </w:pPr>
            <w:r>
              <w:rPr>
                <w:b w:val="0"/>
                <w:sz w:val="18"/>
              </w:rPr>
              <w:t>63.17% ± 0.44个百分点</w:t>
            </w:r>
          </w:p>
        </w:tc>
      </w:tr>
      <w:tr>
        <w:trPr>
          <w:cantSplit/>
        </w:trPr>
        <w:tc>
          <w:tcPr>
            <w:tcW w:type="dxa" w:w="1587"/>
          </w:tcPr>
          <w:p>
            <w:pPr>
              <w:keepNext/>
              <w:spacing w:line="240" w:lineRule="auto" w:after="60"/>
            </w:pPr>
            <w:r>
              <w:rPr>
                <w:b w:val="0"/>
                <w:sz w:val="18"/>
              </w:rPr>
              <w:t>plain_ce</w:t>
            </w:r>
          </w:p>
        </w:tc>
        <w:tc>
          <w:tcPr>
            <w:tcW w:type="dxa" w:w="1587"/>
          </w:tcPr>
          <w:p>
            <w:pPr>
              <w:keepNext/>
              <w:spacing w:line="240" w:lineRule="auto" w:after="60"/>
            </w:pPr>
            <w:r>
              <w:rPr>
                <w:b w:val="0"/>
                <w:sz w:val="18"/>
              </w:rPr>
              <w:t>普通CE</w:t>
            </w:r>
          </w:p>
        </w:tc>
        <w:tc>
          <w:tcPr>
            <w:tcW w:type="dxa" w:w="1417"/>
          </w:tcPr>
          <w:p>
            <w:pPr>
              <w:keepNext/>
              <w:spacing w:line="240" w:lineRule="auto" w:after="60"/>
            </w:pPr>
            <w:r>
              <w:rPr>
                <w:b w:val="0"/>
                <w:sz w:val="18"/>
              </w:rPr>
              <w:t>0.8</w:t>
            </w:r>
          </w:p>
        </w:tc>
        <w:tc>
          <w:tcPr>
            <w:tcW w:type="dxa" w:w="1417"/>
          </w:tcPr>
          <w:p>
            <w:pPr>
              <w:keepNext/>
              <w:spacing w:line="240" w:lineRule="auto" w:after="60"/>
            </w:pPr>
            <w:r>
              <w:rPr>
                <w:b w:val="0"/>
                <w:sz w:val="18"/>
              </w:rPr>
              <w:t>0.8</w:t>
            </w:r>
          </w:p>
        </w:tc>
        <w:tc>
          <w:tcPr>
            <w:tcW w:type="dxa" w:w="3628"/>
          </w:tcPr>
          <w:p>
            <w:pPr>
              <w:keepNext/>
              <w:spacing w:line="240" w:lineRule="auto" w:after="60"/>
            </w:pPr>
            <w:r>
              <w:rPr>
                <w:b w:val="0"/>
                <w:sz w:val="18"/>
              </w:rPr>
              <w:t>63.60% ± 0.97个百分点</w:t>
            </w:r>
          </w:p>
        </w:tc>
      </w:tr>
      <w:tr>
        <w:trPr>
          <w:cantSplit/>
        </w:trPr>
        <w:tc>
          <w:tcPr>
            <w:tcW w:type="dxa" w:w="1587"/>
          </w:tcPr>
          <w:p>
            <w:pPr>
              <w:keepNext/>
              <w:spacing w:line="240" w:lineRule="auto" w:after="60"/>
            </w:pPr>
            <w:r>
              <w:rPr>
                <w:b w:val="0"/>
                <w:sz w:val="18"/>
              </w:rPr>
              <w:t>low_reg</w:t>
            </w:r>
          </w:p>
        </w:tc>
        <w:tc>
          <w:tcPr>
            <w:tcW w:type="dxa" w:w="1587"/>
          </w:tcPr>
          <w:p>
            <w:pPr>
              <w:keepNext/>
              <w:spacing w:line="240" w:lineRule="auto" w:after="60"/>
            </w:pPr>
            <w:r>
              <w:rPr>
                <w:b w:val="0"/>
                <w:sz w:val="18"/>
              </w:rPr>
              <w:t>加权CE</w:t>
            </w:r>
          </w:p>
        </w:tc>
        <w:tc>
          <w:tcPr>
            <w:tcW w:type="dxa" w:w="1417"/>
          </w:tcPr>
          <w:p>
            <w:pPr>
              <w:keepNext/>
              <w:spacing w:line="240" w:lineRule="auto" w:after="60"/>
            </w:pPr>
            <w:r>
              <w:rPr>
                <w:b w:val="0"/>
                <w:sz w:val="18"/>
              </w:rPr>
              <w:t>0.3</w:t>
            </w:r>
          </w:p>
        </w:tc>
        <w:tc>
          <w:tcPr>
            <w:tcW w:type="dxa" w:w="1417"/>
          </w:tcPr>
          <w:p>
            <w:pPr>
              <w:keepNext/>
              <w:spacing w:line="240" w:lineRule="auto" w:after="60"/>
            </w:pPr>
            <w:r>
              <w:rPr>
                <w:b w:val="0"/>
                <w:sz w:val="18"/>
              </w:rPr>
              <w:t>0.8</w:t>
            </w:r>
          </w:p>
        </w:tc>
        <w:tc>
          <w:tcPr>
            <w:tcW w:type="dxa" w:w="3628"/>
          </w:tcPr>
          <w:p>
            <w:pPr>
              <w:keepNext/>
              <w:spacing w:line="240" w:lineRule="auto" w:after="60"/>
            </w:pPr>
            <w:r>
              <w:rPr>
                <w:b w:val="0"/>
                <w:sz w:val="18"/>
              </w:rPr>
              <w:t>62.83% ± 0.64个百分点</w:t>
            </w:r>
          </w:p>
        </w:tc>
      </w:tr>
      <w:tr>
        <w:trPr>
          <w:cantSplit/>
        </w:trPr>
        <w:tc>
          <w:tcPr>
            <w:tcW w:type="dxa" w:w="1587"/>
          </w:tcPr>
          <w:p>
            <w:pPr>
              <w:keepNext/>
              <w:spacing w:line="240" w:lineRule="auto" w:after="60"/>
            </w:pPr>
            <w:r>
              <w:rPr>
                <w:b w:val="0"/>
                <w:sz w:val="18"/>
              </w:rPr>
              <w:t>low_missing</w:t>
            </w:r>
          </w:p>
        </w:tc>
        <w:tc>
          <w:tcPr>
            <w:tcW w:type="dxa" w:w="1587"/>
          </w:tcPr>
          <w:p>
            <w:pPr>
              <w:keepNext/>
              <w:spacing w:line="240" w:lineRule="auto" w:after="60"/>
            </w:pPr>
            <w:r>
              <w:rPr>
                <w:b w:val="0"/>
                <w:sz w:val="18"/>
              </w:rPr>
              <w:t>加权CE</w:t>
            </w:r>
          </w:p>
        </w:tc>
        <w:tc>
          <w:tcPr>
            <w:tcW w:type="dxa" w:w="1417"/>
          </w:tcPr>
          <w:p>
            <w:pPr>
              <w:keepNext/>
              <w:spacing w:line="240" w:lineRule="auto" w:after="60"/>
            </w:pPr>
            <w:r>
              <w:rPr>
                <w:b w:val="0"/>
                <w:sz w:val="18"/>
              </w:rPr>
              <w:t>0.8</w:t>
            </w:r>
          </w:p>
        </w:tc>
        <w:tc>
          <w:tcPr>
            <w:tcW w:type="dxa" w:w="1417"/>
          </w:tcPr>
          <w:p>
            <w:pPr>
              <w:keepNext/>
              <w:spacing w:line="240" w:lineRule="auto" w:after="60"/>
            </w:pPr>
            <w:r>
              <w:rPr>
                <w:b w:val="0"/>
                <w:sz w:val="18"/>
              </w:rPr>
              <w:t>0.4</w:t>
            </w:r>
          </w:p>
        </w:tc>
        <w:tc>
          <w:tcPr>
            <w:tcW w:type="dxa" w:w="3628"/>
          </w:tcPr>
          <w:p>
            <w:pPr>
              <w:keepNext/>
              <w:spacing w:line="240" w:lineRule="auto" w:after="60"/>
            </w:pPr>
            <w:r>
              <w:rPr>
                <w:b w:val="0"/>
                <w:sz w:val="18"/>
              </w:rPr>
              <w:t>62.66% ± 0.26个百分点</w:t>
            </w:r>
          </w:p>
        </w:tc>
      </w:tr>
      <w:tr>
        <w:trPr>
          <w:cantSplit/>
        </w:trPr>
        <w:tc>
          <w:tcPr>
            <w:tcW w:type="dxa" w:w="1587"/>
          </w:tcPr>
          <w:p>
            <w:pPr>
              <w:keepNext w:val="0"/>
              <w:spacing w:line="240" w:lineRule="auto" w:after="60"/>
            </w:pPr>
            <w:r>
              <w:rPr>
                <w:b w:val="0"/>
                <w:sz w:val="18"/>
              </w:rPr>
              <w:t>combined</w:t>
            </w:r>
          </w:p>
        </w:tc>
        <w:tc>
          <w:tcPr>
            <w:tcW w:type="dxa" w:w="1587"/>
          </w:tcPr>
          <w:p>
            <w:pPr>
              <w:keepNext w:val="0"/>
              <w:spacing w:line="240" w:lineRule="auto" w:after="60"/>
            </w:pPr>
            <w:r>
              <w:rPr>
                <w:b w:val="0"/>
                <w:sz w:val="18"/>
              </w:rPr>
              <w:t>普通CE</w:t>
            </w:r>
          </w:p>
        </w:tc>
        <w:tc>
          <w:tcPr>
            <w:tcW w:type="dxa" w:w="1417"/>
          </w:tcPr>
          <w:p>
            <w:pPr>
              <w:keepNext w:val="0"/>
              <w:spacing w:line="240" w:lineRule="auto" w:after="60"/>
            </w:pPr>
            <w:r>
              <w:rPr>
                <w:b w:val="0"/>
                <w:sz w:val="18"/>
              </w:rPr>
              <w:t>0.3</w:t>
            </w:r>
          </w:p>
        </w:tc>
        <w:tc>
          <w:tcPr>
            <w:tcW w:type="dxa" w:w="1417"/>
          </w:tcPr>
          <w:p>
            <w:pPr>
              <w:keepNext w:val="0"/>
              <w:spacing w:line="240" w:lineRule="auto" w:after="60"/>
            </w:pPr>
            <w:r>
              <w:rPr>
                <w:b w:val="0"/>
                <w:sz w:val="18"/>
              </w:rPr>
              <w:t>0.4</w:t>
            </w:r>
          </w:p>
        </w:tc>
        <w:tc>
          <w:tcPr>
            <w:tcW w:type="dxa" w:w="3628"/>
          </w:tcPr>
          <w:p>
            <w:pPr>
              <w:keepNext w:val="0"/>
              <w:spacing w:line="240" w:lineRule="auto" w:after="60"/>
            </w:pPr>
            <w:r>
              <w:rPr>
                <w:b w:val="0"/>
                <w:sz w:val="18"/>
              </w:rPr>
              <w:t>63.68% ± 0.44个百分点</w:t>
            </w:r>
          </w:p>
        </w:tc>
      </w:tr>
    </w:tbl>
    <w:p>
      <w:pPr>
        <w:spacing w:after="0"/>
      </w:pPr>
    </w:p>
    <w:p>
      <w:pPr/>
      <w:r>
        <w:t>训练复用八份固定缺失视图，随机选择模态组合、连续片段位置以及0.1、0.2、0.3、0.5之一的缺失比例。低缺失组采用独立Bernoulli(0.5)保留表，将原视图的一半替换为干净输入，从而保留其余样本原有的缺失片段。实际发生掩码改变的样本—视图比例由78.79%降至39.29%，不将名义抽样概率误写成实际缺失比例。</w:t>
      </w:r>
    </w:p>
    <w:p>
      <w:pPr>
        <w:pStyle w:val="Heading1"/>
      </w:pPr>
      <w:r>
        <w:t>2. 文本微调、集成与校准</w:t>
      </w:r>
    </w:p>
    <w:p>
      <w:pPr/>
      <w:r>
        <w:t>根据stop上的三种子平均指标选择训练配方后，以同一配方开展全精度文本冻结与顶部两层微调的配对实验。两组均从本机预训练all-MiniLM-L6-v2初始化，而非沿用已在valid上筛选过的队友权重；使用同三个种子、batch32、18个epoch和相同Fusion学习率。微调组仅更新第5、6层Transformer参数，文本学习率为0.00002；嵌入层及前四层冻结并保持eval模式，Fusion参与训练。</w:t>
      </w:r>
    </w:p>
    <w:p>
      <w:pPr/>
      <w:r>
        <w:t>全精度冻结对照用于区分更换编码方式、批大小等条件与实际参数微调的作用。int8训练组和全精度组并非只相差一个微调开关，因此二者差异不能全部归因于微调。全精度冻结与微调两组之间才是本轮针对文本更新的配对比较。审计确认应冻结的权重保持不变，顶部两层权重确有更新。</w:t>
      </w:r>
    </w:p>
    <w:p>
      <w:pPr/>
      <w:r>
        <w:t>集成仅使用固定等权，不再搜索连续模型权重。对M个模型的概率p和强度r分别取平均：</w:t>
      </w:r>
    </w:p>
    <w:p>
      <w:pPr>
        <w:keepLines/>
      </w:pPr>
      <m:oMathPara>
        <m:oMath>
          <m:sSub>
            <m:e>
              <m:r>
                <m:t>p̄</m:t>
              </m:r>
            </m:e>
            <m:sub>
              <m:r>
                <m:t>i</m:t>
              </m:r>
            </m:sub>
          </m:sSub>
          <m:r>
            <m:t> = </m:t>
          </m:r>
          <m:f>
            <m:num>
              <m:r>
                <m:t>1</m:t>
              </m:r>
            </m:num>
            <m:den>
              <m:r>
                <m:t>M</m:t>
              </m:r>
            </m:den>
          </m:f>
          <m:nary>
            <m:naryPr>
              <m:chr m:val="∑"/>
              <m:limLoc m:val="undOvr"/>
            </m:naryPr>
            <m:sub>
              <m:r>
                <m:t>m=1</m:t>
              </m:r>
            </m:sub>
            <m:sup>
              <m:r>
                <m:t>M</m:t>
              </m:r>
            </m:sup>
            <m:e>
              <m:sSub>
                <m:e>
                  <m:r>
                    <m:t>p</m:t>
                  </m:r>
                </m:e>
                <m:sub>
                  <m:r>
                    <m:t>mi</m:t>
                  </m:r>
                </m:sub>
              </m:sSub>
            </m:e>
          </m:nary>
          <m:r>
            <m:t>，  </m:t>
          </m:r>
          <m:sSub>
            <m:e>
              <m:r>
                <m:t>r̄</m:t>
              </m:r>
            </m:e>
            <m:sub>
              <m:r>
                <m:t>i</m:t>
              </m:r>
            </m:sub>
          </m:sSub>
          <m:r>
            <m:t> = </m:t>
          </m:r>
          <m:f>
            <m:num>
              <m:r>
                <m:t>1</m:t>
              </m:r>
            </m:num>
            <m:den>
              <m:r>
                <m:t>M</m:t>
              </m:r>
            </m:den>
          </m:f>
          <m:nary>
            <m:naryPr>
              <m:chr m:val="∑"/>
              <m:limLoc m:val="undOvr"/>
            </m:naryPr>
            <m:sub>
              <m:r>
                <m:t>m=1</m:t>
              </m:r>
            </m:sub>
            <m:sup>
              <m:r>
                <m:t>M</m:t>
              </m:r>
            </m:sup>
            <m:e>
              <m:sSub>
                <m:e>
                  <m:r>
                    <m:t>r</m:t>
                  </m:r>
                </m:e>
                <m:sub>
                  <m:r>
                    <m:t>mi</m:t>
                  </m:r>
                </m:sub>
              </m:sSub>
            </m:e>
          </m:nary>
        </m:oMath>
      </m:oMathPara>
    </w:p>
    <w:p>
      <w:pPr/>
      <w:r>
        <w:t>候选包含基线、所选int8配方、全精度冻结和微调的第一种子单模型与三种子等权集成，以及所选int8配方和微调共六模型等权集成。每个候选分别比较无校准与两参数类别偏置校准，共18种。偏置作用于负向、中性两类的对数概率，正向偏置固定为0；每参数在[-0.2,0.2]内以0.05为步长搜索，共81点：</w:t>
      </w:r>
    </w:p>
    <w:p>
      <w:pPr>
        <w:keepLines/>
      </w:pPr>
      <m:oMathPara>
        <m:oMath>
          <m:sSub>
            <m:e>
              <m:r>
                <m:t>p̃</m:t>
              </m:r>
            </m:e>
            <m:sub>
              <m:r>
                <m:t>ic</m:t>
              </m:r>
            </m:sub>
          </m:sSub>
          <m:r>
            <m:t> = </m:t>
          </m:r>
          <m:f>
            <m:num>
              <m:sSub>
                <m:e>
                  <m:r>
                    <m:t>p̄</m:t>
                  </m:r>
                </m:e>
                <m:sub>
                  <m:r>
                    <m:t>ic</m:t>
                  </m:r>
                </m:sub>
              </m:sSub>
              <m:r>
                <m:t> exp(</m:t>
              </m:r>
              <m:sSub>
                <m:e>
                  <m:r>
                    <m:t>b</m:t>
                  </m:r>
                </m:e>
                <m:sub>
                  <m:r>
                    <m:t>c</m:t>
                  </m:r>
                </m:sub>
              </m:sSub>
              <m:r>
                <m:t>)</m:t>
              </m:r>
            </m:num>
            <m:den>
              <m:nary>
                <m:naryPr>
                  <m:chr m:val="∑"/>
                  <m:limLoc m:val="undOvr"/>
                </m:naryPr>
                <m:sub>
                  <m:r>
                    <m:t>k=0</m:t>
                  </m:r>
                </m:sub>
                <m:sup>
                  <m:r>
                    <m:t>2</m:t>
                  </m:r>
                </m:sup>
                <m:e>
                  <m:sSub>
                    <m:e>
                      <m:r>
                        <m:t>p̄</m:t>
                      </m:r>
                    </m:e>
                    <m:sub>
                      <m:r>
                        <m:t>ik</m:t>
                      </m:r>
                    </m:sub>
                  </m:sSub>
                  <m:r>
                    <m:t> exp(</m:t>
                  </m:r>
                  <m:sSub>
                    <m:e>
                      <m:r>
                        <m:t>b</m:t>
                      </m:r>
                    </m:e>
                    <m:sub>
                      <m:r>
                        <m:t>k</m:t>
                      </m:r>
                    </m:sub>
                  </m:sSub>
                  <m:r>
                    <m:t>)</m:t>
                  </m:r>
                </m:e>
              </m:nary>
            </m:den>
          </m:f>
          <m:r>
            <m:t>，  </m:t>
          </m:r>
          <m:sSub>
            <m:e>
              <m:r>
                <m:t>b</m:t>
              </m:r>
            </m:e>
            <m:sub>
              <m:r>
                <m:t>2</m:t>
              </m:r>
            </m:sub>
          </m:sSub>
          <m:r>
            <m:t> = 0</m:t>
          </m:r>
        </m:oMath>
      </m:oMathPara>
    </w:p>
    <w:p>
      <w:pPr/>
      <w:r>
        <w:t>每折偏置仅在valid其余视频组上拟合，再对留出组预测。校准不改变强度回归输出；准确率相同时优先采用偏置平方范数更小的解，零偏置优先。最终候选按干净Accuracy选取，并以模型数更少、无校准、固定名称顺序依次处理平局。</w:t>
      </w:r>
    </w:p>
    <w:p>
      <w:pPr>
        <w:pStyle w:val="Heading1"/>
      </w:pPr>
      <w:r>
        <w:t>3. 数据划分与评价约束</w:t>
      </w:r>
    </w:p>
    <w:p>
      <w:pPr/>
      <w:r>
        <w:t>使用附件2对齐版，保留官方train/valid/test划分。train按原始视频前缀进一步分成fit 3004条与stop 391条；valid为728条，按视频分组三折；test为727条。音视频标准化参数只在fit上估计，fit用于反向传播，stop用于选择epoch和训练配方，valid用于集成与校准选型。视频前缀隔离不等于已经证明主体隔离。</w:t>
      </w:r>
    </w:p>
    <w:p>
      <w:pPr/>
      <w:r>
        <w:t>每个模型以干净stop准确率优先选择epoch，同分时依次考虑宏F1、较低MAE和较早epoch。训练配方在三种子stop均值上筛选，最终方法在valid拼接后的留出折预测上筛选。二者均设置同类型退化限制：相对对应阶段基线，干净宏F1及三种缺失条件的平均宏F1各不得下降超过0.01，四条件平均MAE不得增加超过0.02。校准折内拟合也相对自身无偏置预测限制宏F1退化。这里的0.01是绝对1个百分点，不是相对下降1%。</w:t>
      </w:r>
    </w:p>
    <w:p>
      <w:pPr/>
      <w:r>
        <w:t>开发面板为干净输入及文本、音频、视觉分别中段30%缺失。锁定后的test面板包含干净输入和7种模态组合×3种比例（10%、30%、50%）×3种位置（起始、中段、末尾），共64条件。缺失宏F1约束只覆盖开发面板，不能保证所有缺失场景均不退化。Macro-F1按固定三类计算，强度采用原始回归头输出，Pearson遇常量预测按0处理并记录。</w:t>
      </w:r>
    </w:p>
    <w:p>
      <w:pPr/>
      <w:r>
        <w:t>valid同时用于方法选择，所报告分数属于内部验证；无校准候选的预测本身无需逐折拟合。test已在历史轮次查看，本轮仅在方法锁定后复评，不能称为全新盲测，也不能将本轮基线与历史不同配置成绩的差异解释为单一优化因素的因果效应。</w:t>
      </w:r>
    </w:p>
    <w:p>
      <w:pPr>
        <w:pStyle w:val="Heading1"/>
      </w:pPr>
      <w:r>
        <w:t>4. 实验结果</w:t>
      </w:r>
    </w:p>
    <w:p>
      <w:pPr>
        <w:pStyle w:val="Heading2"/>
      </w:pPr>
      <w:r>
        <w:t>4.1 训练目标调整的收益未迁移</w:t>
      </w:r>
    </w:p>
    <w:p>
      <w:pPr/>
      <w:r>
        <w:t>图C3-1显示，联合调整的stop准确率均值比基线高0.51个百分点，宏F1由0.5996升至0.6032，三种缺失条件平均宏F1由0.5817升至0.5880，通过预设筛选。普通CE单独替换的准确率略升，但宏F1略降；单独降低回归权重或缺失增强概率未提高准确率。低回归权重组的干净宏F1下降超过1个百分点，未通过约束。三个种子的标准差仅刻画这三次训练的离散程度，不是显著性检验或总体置信区间。</w:t>
      </w:r>
    </w:p>
    <w:p>
      <w:pPr>
        <w:keepNext/>
        <w:jc w:val="center"/>
      </w:pPr>
      <w:r>
        <w:drawing>
          <wp:inline xmlns:a="http://schemas.openxmlformats.org/drawingml/2006/main" xmlns:pic="http://schemas.openxmlformats.org/drawingml/2006/picture">
            <wp:extent cx="6120000" cy="2099964"/>
            <wp:docPr id="1" name="Picture 1"/>
            <wp:cNvGraphicFramePr>
              <a:graphicFrameLocks noChangeAspect="1"/>
            </wp:cNvGraphicFramePr>
            <a:graphic>
              <a:graphicData uri="http://schemas.openxmlformats.org/drawingml/2006/picture">
                <pic:pic>
                  <pic:nvPicPr>
                    <pic:cNvPr id="0" name="fig1_stop_ablation.png"/>
                    <pic:cNvPicPr/>
                  </pic:nvPicPr>
                  <pic:blipFill>
                    <a:blip r:embed="rId9"/>
                    <a:stretch>
                      <a:fillRect/>
                    </a:stretch>
                  </pic:blipFill>
                  <pic:spPr>
                    <a:xfrm>
                      <a:off x="0" y="0"/>
                      <a:ext cx="6120000" cy="2099964"/>
                    </a:xfrm>
                    <a:prstGeom prst="rect"/>
                  </pic:spPr>
                </pic:pic>
              </a:graphicData>
            </a:graphic>
          </wp:inline>
        </w:drawing>
      </w:r>
    </w:p>
    <w:p>
      <w:pPr>
        <w:pStyle w:val="Caption"/>
        <w:keepLines/>
      </w:pPr>
      <w:r>
        <w:rPr>
          <w:b/>
        </w:rPr>
        <w:t>图C3-1 五组配方的stop结果。</w:t>
      </w:r>
      <w:r>
        <w:t xml:space="preserve"> 点为三个种子的均值，误差线为样本标准差。横轴使用明确的局部比例刻度。各模型均采用其自身stop最优epoch，不能将本图视为独立测试结果。</w:t>
      </w:r>
    </w:p>
    <w:p>
      <w:pPr/>
      <w:r>
        <w:t>表C3-2与图C3-2给出主要等权候选的valid表现。联合调整等权集成的准确率为61.13%，低于基线61.54%；干净与缺失宏F1也下降。其stop收益未在valid上保留，说明本轮配方选择尚未获得稳定迁移证据。</w:t>
      </w:r>
    </w:p>
    <w:tbl>
      <w:tblPr>
        <w:tblStyle w:val="TableGrid"/>
        <w:tblW w:type="auto" w:w="0"/>
        <w:tblLayout w:type="fixed"/>
        <w:tblLook w:firstColumn="1" w:firstRow="1" w:lastColumn="0" w:lastRow="0" w:noHBand="0" w:noVBand="1" w:val="04A0"/>
      </w:tblPr>
      <w:tblGrid>
        <w:gridCol w:w="2835"/>
        <w:gridCol w:w="1701"/>
        <w:gridCol w:w="1701"/>
        <w:gridCol w:w="1701"/>
        <w:gridCol w:w="1701"/>
      </w:tblGrid>
      <w:tr>
        <w:trPr>
          <w:cantSplit/>
          <w:tblHeader/>
        </w:trPr>
        <w:tc>
          <w:tcPr>
            <w:tcW w:type="dxa" w:w="2835"/>
          </w:tcPr>
          <w:p>
            <w:pPr>
              <w:keepNext/>
              <w:spacing w:line="240" w:lineRule="auto" w:after="60"/>
            </w:pPr>
            <w:r>
              <w:rPr>
                <w:b/>
                <w:sz w:val="18"/>
              </w:rPr>
              <w:t>候选</w:t>
            </w:r>
          </w:p>
        </w:tc>
        <w:tc>
          <w:tcPr>
            <w:tcW w:type="dxa" w:w="1701"/>
          </w:tcPr>
          <w:p>
            <w:pPr>
              <w:keepNext/>
              <w:spacing w:line="240" w:lineRule="auto" w:after="60"/>
            </w:pPr>
            <w:r>
              <w:rPr>
                <w:b/>
                <w:sz w:val="18"/>
              </w:rPr>
              <w:t>valid准确率</w:t>
            </w:r>
          </w:p>
        </w:tc>
        <w:tc>
          <w:tcPr>
            <w:tcW w:type="dxa" w:w="1701"/>
          </w:tcPr>
          <w:p>
            <w:pPr>
              <w:keepNext/>
              <w:spacing w:line="240" w:lineRule="auto" w:after="60"/>
            </w:pPr>
            <w:r>
              <w:rPr>
                <w:b/>
                <w:sz w:val="18"/>
              </w:rPr>
              <w:t>干净宏F1</w:t>
            </w:r>
          </w:p>
        </w:tc>
        <w:tc>
          <w:tcPr>
            <w:tcW w:type="dxa" w:w="1701"/>
          </w:tcPr>
          <w:p>
            <w:pPr>
              <w:keepNext/>
              <w:spacing w:line="240" w:lineRule="auto" w:after="60"/>
            </w:pPr>
            <w:r>
              <w:rPr>
                <w:b/>
                <w:sz w:val="18"/>
              </w:rPr>
              <w:t>缺失平均宏F1</w:t>
            </w:r>
          </w:p>
        </w:tc>
        <w:tc>
          <w:tcPr>
            <w:tcW w:type="dxa" w:w="1701"/>
          </w:tcPr>
          <w:p>
            <w:pPr>
              <w:keepNext/>
              <w:spacing w:line="240" w:lineRule="auto" w:after="60"/>
            </w:pPr>
            <w:r>
              <w:rPr>
                <w:b/>
                <w:sz w:val="18"/>
              </w:rPr>
              <w:t>通过最终约束</w:t>
            </w:r>
          </w:p>
        </w:tc>
      </w:tr>
      <w:tr>
        <w:trPr>
          <w:cantSplit/>
        </w:trPr>
        <w:tc>
          <w:tcPr>
            <w:tcW w:type="dxa" w:w="2835"/>
          </w:tcPr>
          <w:p>
            <w:pPr>
              <w:keepNext/>
              <w:spacing w:line="240" w:lineRule="auto" w:after="60"/>
            </w:pPr>
            <w:r>
              <w:rPr>
                <w:b w:val="0"/>
                <w:sz w:val="18"/>
              </w:rPr>
              <w:t>基线三种子等权</w:t>
            </w:r>
          </w:p>
        </w:tc>
        <w:tc>
          <w:tcPr>
            <w:tcW w:type="dxa" w:w="1701"/>
          </w:tcPr>
          <w:p>
            <w:pPr>
              <w:keepNext/>
              <w:spacing w:line="240" w:lineRule="auto" w:after="60"/>
            </w:pPr>
            <w:r>
              <w:rPr>
                <w:b w:val="0"/>
                <w:sz w:val="18"/>
              </w:rPr>
              <w:t>61.54%</w:t>
            </w:r>
          </w:p>
        </w:tc>
        <w:tc>
          <w:tcPr>
            <w:tcW w:type="dxa" w:w="1701"/>
          </w:tcPr>
          <w:p>
            <w:pPr>
              <w:keepNext/>
              <w:spacing w:line="240" w:lineRule="auto" w:after="60"/>
            </w:pPr>
            <w:r>
              <w:rPr>
                <w:b w:val="0"/>
                <w:sz w:val="18"/>
              </w:rPr>
              <w:t>0.5823</w:t>
            </w:r>
          </w:p>
        </w:tc>
        <w:tc>
          <w:tcPr>
            <w:tcW w:type="dxa" w:w="1701"/>
          </w:tcPr>
          <w:p>
            <w:pPr>
              <w:keepNext/>
              <w:spacing w:line="240" w:lineRule="auto" w:after="60"/>
            </w:pPr>
            <w:r>
              <w:rPr>
                <w:b w:val="0"/>
                <w:sz w:val="18"/>
              </w:rPr>
              <w:t>0.5836</w:t>
            </w:r>
          </w:p>
        </w:tc>
        <w:tc>
          <w:tcPr>
            <w:tcW w:type="dxa" w:w="1701"/>
          </w:tcPr>
          <w:p>
            <w:pPr>
              <w:keepNext/>
              <w:spacing w:line="240" w:lineRule="auto" w:after="60"/>
            </w:pPr>
            <w:r>
              <w:rPr>
                <w:b w:val="0"/>
                <w:sz w:val="18"/>
              </w:rPr>
              <w:t>是，最终保留</w:t>
            </w:r>
          </w:p>
        </w:tc>
      </w:tr>
      <w:tr>
        <w:trPr>
          <w:cantSplit/>
        </w:trPr>
        <w:tc>
          <w:tcPr>
            <w:tcW w:type="dxa" w:w="2835"/>
          </w:tcPr>
          <w:p>
            <w:pPr>
              <w:keepNext/>
              <w:spacing w:line="240" w:lineRule="auto" w:after="60"/>
            </w:pPr>
            <w:r>
              <w:rPr>
                <w:b w:val="0"/>
                <w:sz w:val="18"/>
              </w:rPr>
              <w:t>联合调整三种子等权</w:t>
            </w:r>
          </w:p>
        </w:tc>
        <w:tc>
          <w:tcPr>
            <w:tcW w:type="dxa" w:w="1701"/>
          </w:tcPr>
          <w:p>
            <w:pPr>
              <w:keepNext/>
              <w:spacing w:line="240" w:lineRule="auto" w:after="60"/>
            </w:pPr>
            <w:r>
              <w:rPr>
                <w:b w:val="0"/>
                <w:sz w:val="18"/>
              </w:rPr>
              <w:t>61.13%</w:t>
            </w:r>
          </w:p>
        </w:tc>
        <w:tc>
          <w:tcPr>
            <w:tcW w:type="dxa" w:w="1701"/>
          </w:tcPr>
          <w:p>
            <w:pPr>
              <w:keepNext/>
              <w:spacing w:line="240" w:lineRule="auto" w:after="60"/>
            </w:pPr>
            <w:r>
              <w:rPr>
                <w:b w:val="0"/>
                <w:sz w:val="18"/>
              </w:rPr>
              <w:t>0.5652</w:t>
            </w:r>
          </w:p>
        </w:tc>
        <w:tc>
          <w:tcPr>
            <w:tcW w:type="dxa" w:w="1701"/>
          </w:tcPr>
          <w:p>
            <w:pPr>
              <w:keepNext/>
              <w:spacing w:line="240" w:lineRule="auto" w:after="60"/>
            </w:pPr>
            <w:r>
              <w:rPr>
                <w:b w:val="0"/>
                <w:sz w:val="18"/>
              </w:rPr>
              <w:t>0.5626</w:t>
            </w:r>
          </w:p>
        </w:tc>
        <w:tc>
          <w:tcPr>
            <w:tcW w:type="dxa" w:w="1701"/>
          </w:tcPr>
          <w:p>
            <w:pPr>
              <w:keepNext/>
              <w:spacing w:line="240" w:lineRule="auto" w:after="60"/>
            </w:pPr>
            <w:r>
              <w:rPr>
                <w:b w:val="0"/>
                <w:sz w:val="18"/>
              </w:rPr>
              <w:t>否</w:t>
            </w:r>
          </w:p>
        </w:tc>
      </w:tr>
      <w:tr>
        <w:trPr>
          <w:cantSplit/>
        </w:trPr>
        <w:tc>
          <w:tcPr>
            <w:tcW w:type="dxa" w:w="2835"/>
          </w:tcPr>
          <w:p>
            <w:pPr>
              <w:keepNext/>
              <w:spacing w:line="240" w:lineRule="auto" w:after="60"/>
            </w:pPr>
            <w:r>
              <w:rPr>
                <w:b w:val="0"/>
                <w:sz w:val="18"/>
              </w:rPr>
              <w:t>全精度冻结三种子等权</w:t>
            </w:r>
          </w:p>
        </w:tc>
        <w:tc>
          <w:tcPr>
            <w:tcW w:type="dxa" w:w="1701"/>
          </w:tcPr>
          <w:p>
            <w:pPr>
              <w:keepNext/>
              <w:spacing w:line="240" w:lineRule="auto" w:after="60"/>
            </w:pPr>
            <w:r>
              <w:rPr>
                <w:b w:val="0"/>
                <w:sz w:val="18"/>
              </w:rPr>
              <w:t>61.54%</w:t>
            </w:r>
          </w:p>
        </w:tc>
        <w:tc>
          <w:tcPr>
            <w:tcW w:type="dxa" w:w="1701"/>
          </w:tcPr>
          <w:p>
            <w:pPr>
              <w:keepNext/>
              <w:spacing w:line="240" w:lineRule="auto" w:after="60"/>
            </w:pPr>
            <w:r>
              <w:rPr>
                <w:b w:val="0"/>
                <w:sz w:val="18"/>
              </w:rPr>
              <w:t>0.5613</w:t>
            </w:r>
          </w:p>
        </w:tc>
        <w:tc>
          <w:tcPr>
            <w:tcW w:type="dxa" w:w="1701"/>
          </w:tcPr>
          <w:p>
            <w:pPr>
              <w:keepNext/>
              <w:spacing w:line="240" w:lineRule="auto" w:after="60"/>
            </w:pPr>
            <w:r>
              <w:rPr>
                <w:b w:val="0"/>
                <w:sz w:val="18"/>
              </w:rPr>
              <w:t>0.5521</w:t>
            </w:r>
          </w:p>
        </w:tc>
        <w:tc>
          <w:tcPr>
            <w:tcW w:type="dxa" w:w="1701"/>
          </w:tcPr>
          <w:p>
            <w:pPr>
              <w:keepNext/>
              <w:spacing w:line="240" w:lineRule="auto" w:after="60"/>
            </w:pPr>
            <w:r>
              <w:rPr>
                <w:b w:val="0"/>
                <w:sz w:val="18"/>
              </w:rPr>
              <w:t>否</w:t>
            </w:r>
          </w:p>
        </w:tc>
      </w:tr>
      <w:tr>
        <w:trPr>
          <w:cantSplit/>
        </w:trPr>
        <w:tc>
          <w:tcPr>
            <w:tcW w:type="dxa" w:w="2835"/>
          </w:tcPr>
          <w:p>
            <w:pPr>
              <w:keepNext/>
              <w:spacing w:line="240" w:lineRule="auto" w:after="60"/>
            </w:pPr>
            <w:r>
              <w:rPr>
                <w:b w:val="0"/>
                <w:sz w:val="18"/>
              </w:rPr>
              <w:t>顶部两层微调三种子等权</w:t>
            </w:r>
          </w:p>
        </w:tc>
        <w:tc>
          <w:tcPr>
            <w:tcW w:type="dxa" w:w="1701"/>
          </w:tcPr>
          <w:p>
            <w:pPr>
              <w:keepNext/>
              <w:spacing w:line="240" w:lineRule="auto" w:after="60"/>
            </w:pPr>
            <w:r>
              <w:rPr>
                <w:b w:val="0"/>
                <w:sz w:val="18"/>
              </w:rPr>
              <w:t>61.40%</w:t>
            </w:r>
          </w:p>
        </w:tc>
        <w:tc>
          <w:tcPr>
            <w:tcW w:type="dxa" w:w="1701"/>
          </w:tcPr>
          <w:p>
            <w:pPr>
              <w:keepNext/>
              <w:spacing w:line="240" w:lineRule="auto" w:after="60"/>
            </w:pPr>
            <w:r>
              <w:rPr>
                <w:b w:val="0"/>
                <w:sz w:val="18"/>
              </w:rPr>
              <w:t>0.5694</w:t>
            </w:r>
          </w:p>
        </w:tc>
        <w:tc>
          <w:tcPr>
            <w:tcW w:type="dxa" w:w="1701"/>
          </w:tcPr>
          <w:p>
            <w:pPr>
              <w:keepNext/>
              <w:spacing w:line="240" w:lineRule="auto" w:after="60"/>
            </w:pPr>
            <w:r>
              <w:rPr>
                <w:b w:val="0"/>
                <w:sz w:val="18"/>
              </w:rPr>
              <w:t>0.5504</w:t>
            </w:r>
          </w:p>
        </w:tc>
        <w:tc>
          <w:tcPr>
            <w:tcW w:type="dxa" w:w="1701"/>
          </w:tcPr>
          <w:p>
            <w:pPr>
              <w:keepNext/>
              <w:spacing w:line="240" w:lineRule="auto" w:after="60"/>
            </w:pPr>
            <w:r>
              <w:rPr>
                <w:b w:val="0"/>
                <w:sz w:val="18"/>
              </w:rPr>
              <w:t>否</w:t>
            </w:r>
          </w:p>
        </w:tc>
      </w:tr>
      <w:tr>
        <w:trPr>
          <w:cantSplit/>
        </w:trPr>
        <w:tc>
          <w:tcPr>
            <w:tcW w:type="dxa" w:w="2835"/>
          </w:tcPr>
          <w:p>
            <w:pPr>
              <w:keepNext w:val="0"/>
              <w:spacing w:line="240" w:lineRule="auto" w:after="60"/>
            </w:pPr>
            <w:r>
              <w:rPr>
                <w:b w:val="0"/>
                <w:sz w:val="18"/>
              </w:rPr>
              <w:t>全精度冻结等权＋偏置</w:t>
            </w:r>
          </w:p>
        </w:tc>
        <w:tc>
          <w:tcPr>
            <w:tcW w:type="dxa" w:w="1701"/>
          </w:tcPr>
          <w:p>
            <w:pPr>
              <w:keepNext w:val="0"/>
              <w:spacing w:line="240" w:lineRule="auto" w:after="60"/>
            </w:pPr>
            <w:r>
              <w:rPr>
                <w:b w:val="0"/>
                <w:sz w:val="18"/>
              </w:rPr>
              <w:t>61.81%</w:t>
            </w:r>
          </w:p>
        </w:tc>
        <w:tc>
          <w:tcPr>
            <w:tcW w:type="dxa" w:w="1701"/>
          </w:tcPr>
          <w:p>
            <w:pPr>
              <w:keepNext w:val="0"/>
              <w:spacing w:line="240" w:lineRule="auto" w:after="60"/>
            </w:pPr>
            <w:r>
              <w:rPr>
                <w:b w:val="0"/>
                <w:sz w:val="18"/>
              </w:rPr>
              <w:t>0.5693</w:t>
            </w:r>
          </w:p>
        </w:tc>
        <w:tc>
          <w:tcPr>
            <w:tcW w:type="dxa" w:w="1701"/>
          </w:tcPr>
          <w:p>
            <w:pPr>
              <w:keepNext w:val="0"/>
              <w:spacing w:line="240" w:lineRule="auto" w:after="60"/>
            </w:pPr>
            <w:r>
              <w:rPr>
                <w:b w:val="0"/>
                <w:sz w:val="18"/>
              </w:rPr>
              <w:t>0.5550</w:t>
            </w:r>
          </w:p>
        </w:tc>
        <w:tc>
          <w:tcPr>
            <w:tcW w:type="dxa" w:w="1701"/>
          </w:tcPr>
          <w:p>
            <w:pPr>
              <w:keepNext w:val="0"/>
              <w:spacing w:line="240" w:lineRule="auto" w:after="60"/>
            </w:pPr>
            <w:r>
              <w:rPr>
                <w:b w:val="0"/>
                <w:sz w:val="18"/>
              </w:rPr>
              <w:t>否</w:t>
            </w:r>
          </w:p>
        </w:tc>
      </w:tr>
    </w:tbl>
    <w:p>
      <w:pPr>
        <w:spacing w:after="0"/>
      </w:pPr>
    </w:p>
    <w:p>
      <w:pPr>
        <w:keepNext/>
        <w:jc w:val="center"/>
      </w:pPr>
      <w:r>
        <w:drawing>
          <wp:inline xmlns:a="http://schemas.openxmlformats.org/drawingml/2006/main" xmlns:pic="http://schemas.openxmlformats.org/drawingml/2006/picture">
            <wp:extent cx="6120000" cy="2027650"/>
            <wp:docPr id="2" name="Picture 2"/>
            <wp:cNvGraphicFramePr>
              <a:graphicFrameLocks noChangeAspect="1"/>
            </wp:cNvGraphicFramePr>
            <a:graphic>
              <a:graphicData uri="http://schemas.openxmlformats.org/drawingml/2006/picture">
                <pic:pic>
                  <pic:nvPicPr>
                    <pic:cNvPr id="0" name="fig2_validation_tradeoff.png"/>
                    <pic:cNvPicPr/>
                  </pic:nvPicPr>
                  <pic:blipFill>
                    <a:blip r:embed="rId10"/>
                    <a:stretch>
                      <a:fillRect/>
                    </a:stretch>
                  </pic:blipFill>
                  <pic:spPr>
                    <a:xfrm>
                      <a:off x="0" y="0"/>
                      <a:ext cx="6120000" cy="2027650"/>
                    </a:xfrm>
                    <a:prstGeom prst="rect"/>
                  </pic:spPr>
                </pic:pic>
              </a:graphicData>
            </a:graphic>
          </wp:inline>
        </w:drawing>
      </w:r>
    </w:p>
    <w:p>
      <w:pPr>
        <w:pStyle w:val="Caption"/>
        <w:keepLines/>
      </w:pPr>
      <w:r>
        <w:rPr>
          <w:b/>
        </w:rPr>
        <w:t>图C3-2 准确率与宏F1的取舍。</w:t>
      </w:r>
      <w:r>
        <w:t xml:space="preserve"> 蓝色点为基线，橙色点为候选；竖直点线标记基线，红色虚线标记宏F1允许退化下限。偏置候选使用按视频分组的三折留出预测，未校准候选直接使用固定模型预测。完整18种候选见实验记录。</w:t>
      </w:r>
    </w:p>
    <w:p>
      <w:pPr>
        <w:pStyle w:val="Heading2"/>
      </w:pPr>
      <w:r>
        <w:t>4.2 文本微调与校准未形成可接受改进</w:t>
      </w:r>
    </w:p>
    <w:p>
      <w:pPr/>
      <w:r>
        <w:t>顶部两层微调的valid准确率为61.40%，未超过同条件冻结组的61.54%。微调后的干净宏F1较冻结组升高，但缺失平均宏F1略降，且仍未达到本轮基线约束。微调组三个种子的stop最优epoch为16、3、3，提示学习轨迹存在较大差异；这一现象不足以证明某个特定优化机制是失败的唯一原因。</w:t>
      </w:r>
    </w:p>
    <w:p>
      <w:pPr/>
      <w:r>
        <w:t>全精度冻结等权加偏置取得61.81%的内部验证准确率，比基线多答对2条，但干净宏F1和缺失平均宏F1分别降低约1.30、2.86个百分点，因超限而未采用。由此可见，仅展示最高准确率会掩盖类别间与缺失条件下的性能取舍。实验最终保留无校准的baseline_mean，未将未入选候选追加到test上择优。</w:t>
      </w:r>
    </w:p>
    <w:p>
      <w:pPr>
        <w:pStyle w:val="Heading2"/>
      </w:pPr>
      <w:r>
        <w:t>4.3 训练曲线呈现过拟合迹象</w:t>
      </w:r>
    </w:p>
    <w:p>
      <w:pPr/>
      <w:r>
        <w:t>如图C3-3，基线在各自最优epoch时平均训练损失为1.064、stop准确率为63.17%；训练至18 epoch时，损失降至0.262，而stop准确率降至56.35%。联合调整与全精度冻结组也呈现训练目标持续下降、stop表现未同步改善的趋势。这支持训练后期过拟合的判断，但不能单凭曲线将原因唯一归为文本编码器、模型容量或数据噪声。</w:t>
      </w:r>
    </w:p>
    <w:p>
      <w:pPr>
        <w:keepNext/>
        <w:jc w:val="center"/>
      </w:pPr>
      <w:r>
        <w:drawing>
          <wp:inline xmlns:a="http://schemas.openxmlformats.org/drawingml/2006/main" xmlns:pic="http://schemas.openxmlformats.org/drawingml/2006/picture">
            <wp:extent cx="6120000" cy="2265171"/>
            <wp:docPr id="3" name="Picture 3"/>
            <wp:cNvGraphicFramePr>
              <a:graphicFrameLocks noChangeAspect="1"/>
            </wp:cNvGraphicFramePr>
            <a:graphic>
              <a:graphicData uri="http://schemas.openxmlformats.org/drawingml/2006/picture">
                <pic:pic>
                  <pic:nvPicPr>
                    <pic:cNvPr id="0" name="fig3_learning_curves.png"/>
                    <pic:cNvPicPr/>
                  </pic:nvPicPr>
                  <pic:blipFill>
                    <a:blip r:embed="rId11"/>
                    <a:stretch>
                      <a:fillRect/>
                    </a:stretch>
                  </pic:blipFill>
                  <pic:spPr>
                    <a:xfrm>
                      <a:off x="0" y="0"/>
                      <a:ext cx="6120000" cy="2265171"/>
                    </a:xfrm>
                    <a:prstGeom prst="rect"/>
                  </pic:spPr>
                </pic:pic>
              </a:graphicData>
            </a:graphic>
          </wp:inline>
        </w:drawing>
      </w:r>
    </w:p>
    <w:p>
      <w:pPr>
        <w:pStyle w:val="Caption"/>
        <w:keepLines/>
      </w:pPr>
      <w:r>
        <w:rPr>
          <w:b/>
        </w:rPr>
        <w:t>图C3-3 三种子学习曲线。</w:t>
      </w:r>
      <w:r>
        <w:t xml:space="preserve"> 实线为逐epoch均值，阴影为均值±样本标准差，不是置信区间。左图不同配方的损失系数不同，绝对损失大小不可直接用于跨配方优劣排序；右图使用同一stop准确率口径。图中各epoch均值的峰值与“各模型自身最优epoch再求平均”不必相等。</w:t>
      </w:r>
    </w:p>
    <w:p>
      <w:pPr/>
      <w:r>
        <w:t>本轮已保留stop最优权重，因此简单缩短训练只能减少后续无效计算，不能使已经选出的最优模型再次获得同等幅度的提升。更强正则或分阶段解冻值得另行验证，尚不能写成已经证实的解决方案。</w:t>
      </w:r>
    </w:p>
    <w:p>
      <w:pPr>
        <w:pStyle w:val="Heading2"/>
      </w:pPr>
      <w:r>
        <w:t>4.4 锁定后的缺失复评与类别错误</w:t>
      </w:r>
    </w:p>
    <w:p>
      <w:pPr/>
      <w:r>
        <w:t>最终基线在干净test上Accuracy为64.51%、Macro-F1为0.5837、MAE为0.6762、Pearson为0.6380；64条件等权平均Accuracy为62.74%、Macro-F1为0.5697、MAE为0.6995、Pearson为0.6062。场景均值按每个预设条件等权计算，不代表现实缺失事件发生频率。最终候选与本轮参照基线是同一模型组合，不构成两个独立方法的比较，因此不将其零差异或退化为零的bootstrap区间作为优化有效性的统计证据。</w:t>
      </w:r>
    </w:p>
    <w:p>
      <w:pPr>
        <w:keepNext/>
        <w:jc w:val="center"/>
      </w:pPr>
      <w:r>
        <w:drawing>
          <wp:inline xmlns:a="http://schemas.openxmlformats.org/drawingml/2006/main" xmlns:pic="http://schemas.openxmlformats.org/drawingml/2006/picture">
            <wp:extent cx="6120000" cy="2265171"/>
            <wp:docPr id="4" name="Picture 4"/>
            <wp:cNvGraphicFramePr>
              <a:graphicFrameLocks noChangeAspect="1"/>
            </wp:cNvGraphicFramePr>
            <a:graphic>
              <a:graphicData uri="http://schemas.openxmlformats.org/drawingml/2006/picture">
                <pic:pic>
                  <pic:nvPicPr>
                    <pic:cNvPr id="0" name="fig4_missing_rates.png"/>
                    <pic:cNvPicPr/>
                  </pic:nvPicPr>
                  <pic:blipFill>
                    <a:blip r:embed="rId12"/>
                    <a:stretch>
                      <a:fillRect/>
                    </a:stretch>
                  </pic:blipFill>
                  <pic:spPr>
                    <a:xfrm>
                      <a:off x="0" y="0"/>
                      <a:ext cx="6120000" cy="2265171"/>
                    </a:xfrm>
                    <a:prstGeom prst="rect"/>
                  </pic:spPr>
                </pic:pic>
              </a:graphicData>
            </a:graphic>
          </wp:inline>
        </w:drawing>
      </w:r>
    </w:p>
    <w:p>
      <w:pPr>
        <w:pStyle w:val="Caption"/>
        <w:keepLines/>
      </w:pPr>
      <w:r>
        <w:rPr>
          <w:b/>
        </w:rPr>
        <w:t>图C3-4 锁定基线的受控缺失复评。</w:t>
      </w:r>
      <w:r>
        <w:t xml:space="preserve"> 非零缺失比例处对起始、中段、末尾三种位置取平均；0%共用干净输入值。图中仅展示已锁定基线，不能据此推断未入选微调模型在全部缺失条件下的表现。</w:t>
      </w:r>
    </w:p>
    <w:p>
      <w:pPr>
        <w:keepNext/>
        <w:jc w:val="center"/>
      </w:pPr>
      <w:r>
        <w:drawing>
          <wp:inline xmlns:a="http://schemas.openxmlformats.org/drawingml/2006/main" xmlns:pic="http://schemas.openxmlformats.org/drawingml/2006/picture">
            <wp:extent cx="4320000" cy="3563874"/>
            <wp:docPr id="5" name="Picture 5"/>
            <wp:cNvGraphicFramePr>
              <a:graphicFrameLocks noChangeAspect="1"/>
            </wp:cNvGraphicFramePr>
            <a:graphic>
              <a:graphicData uri="http://schemas.openxmlformats.org/drawingml/2006/picture">
                <pic:pic>
                  <pic:nvPicPr>
                    <pic:cNvPr id="0" name="fig5_test_confusion.png"/>
                    <pic:cNvPicPr/>
                  </pic:nvPicPr>
                  <pic:blipFill>
                    <a:blip r:embed="rId13"/>
                    <a:stretch>
                      <a:fillRect/>
                    </a:stretch>
                  </pic:blipFill>
                  <pic:spPr>
                    <a:xfrm>
                      <a:off x="0" y="0"/>
                      <a:ext cx="4320000" cy="3563874"/>
                    </a:xfrm>
                    <a:prstGeom prst="rect"/>
                  </pic:spPr>
                </pic:pic>
              </a:graphicData>
            </a:graphic>
          </wp:inline>
        </w:drawing>
      </w:r>
    </w:p>
    <w:p>
      <w:pPr>
        <w:pStyle w:val="Caption"/>
        <w:keepLines/>
      </w:pPr>
      <w:r>
        <w:rPr>
          <w:b/>
        </w:rPr>
        <w:t>图C3-5 锁定基线的干净test混淆矩阵。</w:t>
      </w:r>
      <w:r>
        <w:t xml:space="preserve"> 单元格显示样本数及真实类别内比例，颜色按行归一化；共727条。中性类F1为0.3475，低于负向0.6696和正向0.7339，是本模型值得继续诊断的错误来源，但不据此反向调整本轮决策阈值。</w:t>
      </w:r>
    </w:p>
    <w:p>
      <w:pPr>
        <w:pStyle w:val="Heading1"/>
      </w:pPr>
      <w:r>
        <w:t>5. 讨论与结论</w:t>
      </w:r>
    </w:p>
    <w:p>
      <w:pPr/>
      <w:r>
        <w:t>本轮实验没有得到满足准确率、宏F1与回归退化约束的新候选。结果的价值在于缩小有效假设范围：单独减小辅助回归或增强强度不是必然收益；联合调整的stop收益会在valid上消失；本轮顶部两层微调尚未优于同条件冻结对照；小范围偏置校准虽可提高少量样本的准确率，却可能降低宏F1与缺失表现。以上结论仅适用于本轮数据划分、模型、种子和预算，不宜推广为对微调或校准方法的普遍否定。</w:t>
      </w:r>
    </w:p>
    <w:p>
      <w:pPr/>
      <w:r>
        <w:t>后续研究可检验先稳定融合头再以更小文本学习率解冻、更强正则及更稳定的分组模型选择，但这些仍是候选假设。现有结果不支持继续增加训练轮数或扩大集成搜索即可解决问题，也不支持本轮保底模型优于历史最强模型。正式提交包未替换，第一、二轮实验保留。</w:t>
      </w:r>
    </w:p>
    <w:p>
      <w:pPr>
        <w:pStyle w:val="Heading1"/>
      </w:pPr>
      <w:r>
        <w:t>6. 复现与统稿说明</w:t>
      </w:r>
    </w:p>
    <w:p>
      <w:pPr/>
      <w:r>
        <w:t>本轮固定配置、分组边界与执行修复见实验方案，完整候选与种子结果见实验记录。21模型的378个epoch、冻结层不变、微调层更新、折外校准和64条件指标均通过产物审计。训练及stop评估合计约7.14分钟，已记录主阶段约8.53分钟，均不包含开发、依赖修复及独立审计。运行设备为RTX4070 Laptop 8GB，PyTorch 2.7.0+cu128，文本接口为Transformers 4.44.2；预训练权重版本与完整哈希在实验manifest中。</w:t>
      </w:r>
    </w:p>
    <w:p>
      <w:pPr/>
      <w:r>
        <w:t>配图由已保存结果生成，参考A已有问题二作图脚本、B问题三图表与第二轮C论文的白底、中文字体、蓝绿橙配色及带行比例的混淆矩阵形式。五图均提供300dpi PNG和SVG，数值与来源哈希见配图归档。图表编号为临时C3编号，由A统稿统一调整；本片段是对既有方法适用性的实验检验，不主张提出新的损失函数、微调算法或校准方法。</w:t>
      </w:r>
    </w:p>
    <w:sectPr w:rsidR="00FC693F" w:rsidRPr="0006063C" w:rsidSect="00034616">
      <w:footerReference w:type="default" r:id="rId14"/>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第三轮实验临时稿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0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第三轮准确率优化实验论文草稿</dc:title>
  <dc:subject>训练消融、局部微调、校准与负结果分析</dc:subject>
  <dc:creator>python-docx</dc:creator>
  <cp:keywords/>
  <dc:description>Markdown为编辑源；实测图表与原生可编辑公式。</dc:description>
  <cp:lastModifiedBy/>
  <cp:revision>1</cp:revision>
  <dcterms:created xsi:type="dcterms:W3CDTF">2013-12-23T23:15:00Z</dcterms:created>
  <dcterms:modified xsi:type="dcterms:W3CDTF">2013-12-23T23:15:00Z</dcterms:modified>
  <cp:category/>
</cp:coreProperties>
</file>